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15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June 14, 2024, Mereo BioPharma Group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Jefferies LLC, Leerink Partners LLC and Cantor Fitzgerald &amp; Co., as representatives of the several underwriters named therein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offering of 12,531,300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five ordinary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nominal value £0.003 per share (the “</w:t>
      </w:r>
      <w:r>
        <w:rPr>
          <w:rFonts w:ascii="Times New Roman" w:cs="Times New Roman" w:eastAsia="Times New Roman" w:hAnsi="Times New Roman"/>
          <w:sz w:val="17"/>
          <w:szCs w:val="17"/>
          <w:u w:val="single" w:color="auto"/>
          <w:color w:val="auto"/>
        </w:rPr>
        <w:t>Underwritten Securities</w:t>
      </w:r>
      <w:r>
        <w:rPr>
          <w:rFonts w:ascii="Times New Roman" w:cs="Times New Roman" w:eastAsia="Times New Roman" w:hAnsi="Times New Roman"/>
          <w:sz w:val="17"/>
          <w:szCs w:val="17"/>
          <w:color w:val="auto"/>
        </w:rPr>
        <w:t>”). All of the Underwritten Securities are being sold by the Company. The offering price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Underwritten Securities is $3.99 per ADS, and the Underwriters have agreed to purchase the Underwritten Securities from the Company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Underwriting Agreement at a price of $3.75060 per ADS. The Company expects to receive net proceeds from the offering of approximately</w:t>
      </w:r>
    </w:p>
    <w:p>
      <w:pPr>
        <w:spacing w:after="0" w:line="9" w:lineRule="exact"/>
        <w:rPr>
          <w:sz w:val="20"/>
          <w:szCs w:val="20"/>
          <w:color w:val="auto"/>
        </w:rPr>
      </w:pP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$45.9 million, after deducting underwriting discounts and commissions and estimated offering expenses. The offering is expected to close on or about June 17, 2024, subject to the satisfaction of customary closing conditions.</w:t>
      </w:r>
    </w:p>
    <w:p>
      <w:pPr>
        <w:spacing w:after="0" w:line="181"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The Securities will be issued pursuant to the Company’s shelf registration statement on Form S-3 (Registration Statement No. 333-279433) that was previously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May 15, 2024 and became effective on May 22, 2024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base prospectus dated May 22, 2024 and a related prospectus supplement dated June 14, 2024.</w:t>
      </w:r>
    </w:p>
    <w:p>
      <w:pPr>
        <w:spacing w:after="0" w:line="176"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conditions to closing and termination provisions. The Underwriting Agreement provides for indemnification by the Underwriters of the Company, its directors and certain of its executive officers, and by the Company of the Underwriters, for certain liabilities, including liabilities arising under the Securities Act of 1933, as amended, and affords certain rights of contribution with respect thereto. The foregoing description of the Underwriting Agreement is qualified in its entirety by reference to the Underwriting Agreement, which is attached as Exhibit 1.1 hereto and incorporated by reference herein.</w:t>
      </w:r>
    </w:p>
    <w:p>
      <w:pPr>
        <w:spacing w:after="0" w:line="183"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Latham &amp; Watkins (London) LLP relating to the validity of the issuance and sale of the Securities is attached as Exhibit 5.1 hereto and is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On June 14, 2024, the Company issued a press release announcing the pricing of the underwritten offering, a copy of which is attached hereto as Exhibit 99.1 and incorporated herein by reference.</w:t>
      </w:r>
    </w:p>
    <w:p>
      <w:pPr>
        <w:spacing w:after="0" w:line="162"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or the Exchange Act, except as shall be expressly set forth by reference in such a filing.</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40" w:type="dxa"/>
            <w:vAlign w:val="bottom"/>
          </w:tcPr>
          <w:p>
            <w:pPr>
              <w:spacing w:after="0"/>
              <w:rPr>
                <w:sz w:val="24"/>
                <w:szCs w:val="24"/>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4" w:right="78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June 14, 2024, by and among the Company and Jefferies LLC, Leerink Partners LLC and Cantor Fitzgerald &amp; Co. as underwriters.</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Latham &amp; Watkins (London) LLP.</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Latham &amp; Watkins (London) LLP (contained in Exhibit 5.1).</w:t>
            </w:r>
          </w:p>
        </w:tc>
        <w:tc>
          <w:tcPr>
            <w:tcW w:w="600" w:type="dxa"/>
            <w:vAlign w:val="bottom"/>
          </w:tcPr>
          <w:p>
            <w:pPr>
              <w:spacing w:after="0"/>
              <w:rPr>
                <w:sz w:val="18"/>
                <w:szCs w:val="18"/>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14, 2024</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64"/>
          </w:cols>
          <w:pgMar w:left="436"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public limited company incorporated under the laws of England and Wales)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12,531,300 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 62,656,500 Ordinary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Mereo BioPharma Group plc, a public limited company incorporated under the laws of England and Wales with registered number 09481161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confirms its agreement with Jefferies LLC (“</w:t>
      </w:r>
      <w:r>
        <w:rPr>
          <w:rFonts w:ascii="Times New Roman" w:cs="Times New Roman" w:eastAsia="Times New Roman" w:hAnsi="Times New Roman"/>
          <w:sz w:val="18"/>
          <w:szCs w:val="18"/>
          <w:b w:val="1"/>
          <w:bCs w:val="1"/>
          <w:i w:val="1"/>
          <w:iCs w:val="1"/>
          <w:color w:val="auto"/>
        </w:rPr>
        <w:t>Jefferies</w:t>
      </w:r>
      <w:r>
        <w:rPr>
          <w:rFonts w:ascii="Times New Roman" w:cs="Times New Roman" w:eastAsia="Times New Roman" w:hAnsi="Times New Roman"/>
          <w:sz w:val="18"/>
          <w:szCs w:val="18"/>
          <w:color w:val="auto"/>
        </w:rPr>
        <w:t>”), Leerink Partners LLC (“</w:t>
      </w:r>
      <w:r>
        <w:rPr>
          <w:rFonts w:ascii="Times New Roman" w:cs="Times New Roman" w:eastAsia="Times New Roman" w:hAnsi="Times New Roman"/>
          <w:sz w:val="18"/>
          <w:szCs w:val="18"/>
          <w:b w:val="1"/>
          <w:bCs w:val="1"/>
          <w:i w:val="1"/>
          <w:iCs w:val="1"/>
          <w:color w:val="auto"/>
        </w:rPr>
        <w:t>Leerink Partners</w:t>
      </w:r>
      <w:r>
        <w:rPr>
          <w:rFonts w:ascii="Times New Roman" w:cs="Times New Roman" w:eastAsia="Times New Roman" w:hAnsi="Times New Roman"/>
          <w:sz w:val="18"/>
          <w:szCs w:val="18"/>
          <w:color w:val="auto"/>
        </w:rPr>
        <w:t>”), and 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and each of the underwriters named in Schedule A hereto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which term shall also include any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substituted as hereinafter provided in Section 10 hereof), for which Jefferies, Leerink Partners and Cantor are acting as representatives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with respect to the sale by the Company and the purchase by the Underwriters, of 62,656,500 Ordinary Shares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nominal value £0.003 per share to be delivered and for which the Underwriters will subscribe, acting severally and not jointly, in the form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12,531,300 ADSs (as defined below), each representing five Ordinary Shares (the “</w:t>
      </w:r>
      <w:r>
        <w:rPr>
          <w:rFonts w:ascii="Times New Roman" w:cs="Times New Roman" w:eastAsia="Times New Roman" w:hAnsi="Times New Roman"/>
          <w:sz w:val="18"/>
          <w:szCs w:val="18"/>
          <w:b w:val="1"/>
          <w:bCs w:val="1"/>
          <w:i w:val="1"/>
          <w:iCs w:val="1"/>
          <w:color w:val="auto"/>
        </w:rPr>
        <w:t>Offered Securities</w:t>
      </w:r>
      <w:r>
        <w:rPr>
          <w:rFonts w:ascii="Times New Roman" w:cs="Times New Roman" w:eastAsia="Times New Roman" w:hAnsi="Times New Roman"/>
          <w:sz w:val="18"/>
          <w:szCs w:val="18"/>
          <w:color w:val="auto"/>
        </w:rPr>
        <w:t>”). The Offered Securities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represented thereby (the “</w:t>
      </w:r>
      <w:r>
        <w:rPr>
          <w:rFonts w:ascii="Times New Roman" w:cs="Times New Roman" w:eastAsia="Times New Roman" w:hAnsi="Times New Roman"/>
          <w:sz w:val="18"/>
          <w:szCs w:val="18"/>
          <w:b w:val="1"/>
          <w:bCs w:val="1"/>
          <w:i w:val="1"/>
          <w:iCs w:val="1"/>
          <w:color w:val="auto"/>
        </w:rPr>
        <w:t>Underlying Shares</w:t>
      </w:r>
      <w:r>
        <w:rPr>
          <w:rFonts w:ascii="Times New Roman" w:cs="Times New Roman" w:eastAsia="Times New Roman" w:hAnsi="Times New Roman"/>
          <w:sz w:val="18"/>
          <w:szCs w:val="18"/>
          <w:color w:val="auto"/>
        </w:rPr>
        <w:t>”) are herein collectively called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References in this Agreement to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mean ordinary shares of nominal value £0.003 each in the capital of the Company; (ii)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shall mean American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Shares representing Ordinary Shares; (iii) the “sale” of any Offered Securities or any similar or analogous expressions shall,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otherwise requires, be understood to include the allotment and issue by the Company of the Underlying Shares to Citibank, N.A., as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or its nominee, and the Company procuring the issue of ADSs representing such Underlying Shares by the Depositary or its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Underwriters; and (iv) the “purchase”, or “payment” for, of any Offered Securities or any similar or analogous expressions shall,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otherwise requires, be understood to refer to the subscription for the Underlying Shares, as well as deposit of the Underlying Shares for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such Underlying Shares, and the payment of the subscription moneys in respect of such Underlying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Underlying Shares are to be deposited, and the Offered Securities are to be issued and delivered, pursuant to a deposit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dated as of April 23, 2019, by and among the Company, the Depositary, and all holders and beneficial holders of the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thereunder.</w:t>
      </w:r>
    </w:p>
    <w:p>
      <w:pPr>
        <w:spacing w:after="0" w:line="20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an offering of the Offered Securities as soon as the Representatives deems advisable after this Underwriting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been executed and delivered.</w:t>
      </w:r>
    </w:p>
    <w:p>
      <w:pPr>
        <w:spacing w:after="0" w:line="158"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shelf registration statement on Form S-3 (No. 333-279433), including a base prospectus to be used in connection with the offering and sale of the Offered Securities, under the Securities Act of 1933, as 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i w:val="1"/>
          <w:iCs w:val="1"/>
          <w:color w:val="auto"/>
        </w:rPr>
        <w:t>1933 Act Regulations</w:t>
      </w:r>
      <w:r>
        <w:rPr>
          <w:rFonts w:ascii="Times New Roman" w:cs="Times New Roman" w:eastAsia="Times New Roman" w:hAnsi="Times New Roman"/>
          <w:sz w:val="18"/>
          <w:szCs w:val="18"/>
          <w:color w:val="auto"/>
        </w:rPr>
        <w:t>”). Such registration statement, including the amendments thereto, the exhibits thereto and any schedules thereto, at the time it became effective, the documents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18"/>
          <w:szCs w:val="18"/>
          <w:b w:val="1"/>
          <w:bCs w:val="1"/>
          <w:i w:val="1"/>
          <w:iCs w:val="1"/>
          <w:color w:val="auto"/>
        </w:rPr>
        <w:t>Rule 430B</w:t>
      </w:r>
      <w:r>
        <w:rPr>
          <w:rFonts w:ascii="Times New Roman" w:cs="Times New Roman" w:eastAsia="Times New Roman" w:hAnsi="Times New Roman"/>
          <w:sz w:val="18"/>
          <w:szCs w:val="18"/>
          <w:color w:val="auto"/>
        </w:rPr>
        <w:t>”),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Any registration statement filed pursuant to Rule 462(b) of the 1933 Act Regulations is herein called the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and, after such filing,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the Rule 462(b) Registration Statement. Each preliminary prospectus used in connection with the offering of the Offered Securities, including the documents incorporated or deemed to be incorporated by reference therein pursuant to Item 12 of Form S-3 under the 1933 Act, are collectively referred to herein as a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Where no preliminary prospectus supplement is filed and distributed to investors in connection with the offering, the “preliminary prospectus” shall be deemed to be the prospectus included in the Registration Statement (including any documents incorporated therein by reference) as such has been filed with the Commission at the Applicable Time (defined below). Promptly after execution and delivery of this Agreement, the Company will prepare and file a final prospectus relating to the Offered Securities in accordance with the provisions of Rule 424(b) under the 1933 Act Regulations (“</w:t>
      </w:r>
      <w:r>
        <w:rPr>
          <w:rFonts w:ascii="Times New Roman" w:cs="Times New Roman" w:eastAsia="Times New Roman" w:hAnsi="Times New Roman"/>
          <w:sz w:val="18"/>
          <w:szCs w:val="18"/>
          <w:b w:val="1"/>
          <w:bCs w:val="1"/>
          <w:i w:val="1"/>
          <w:iCs w:val="1"/>
          <w:color w:val="auto"/>
        </w:rPr>
        <w:t>Rule 424(b)</w:t>
      </w:r>
      <w:r>
        <w:rPr>
          <w:rFonts w:ascii="Times New Roman" w:cs="Times New Roman" w:eastAsia="Times New Roman" w:hAnsi="Times New Roman"/>
          <w:sz w:val="18"/>
          <w:szCs w:val="18"/>
          <w:color w:val="auto"/>
        </w:rPr>
        <w:t>”). The final prospectus, in the form first furnished to the Underwriters for use in connection with the offering of the Offered Securities, including the documents incorporated by reference therein,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Company and the Depositary have filed with the Commission registration statements on Form F-6 (No. 333-223890, 333-249338 and 333-258824), covering the registration of the ADSs under the 1933 Act. The registration statements relating to the ADSs, as amended at the time they became effective, are hereinafter referred to as the “</w:t>
      </w:r>
      <w:r>
        <w:rPr>
          <w:rFonts w:ascii="Times New Roman" w:cs="Times New Roman" w:eastAsia="Times New Roman" w:hAnsi="Times New Roman"/>
          <w:sz w:val="18"/>
          <w:szCs w:val="18"/>
          <w:b w:val="1"/>
          <w:bCs w:val="1"/>
          <w:i w:val="1"/>
          <w:iCs w:val="1"/>
          <w:color w:val="auto"/>
        </w:rPr>
        <w:t>ADS Registration Statements</w:t>
      </w:r>
      <w:r>
        <w:rPr>
          <w:rFonts w:ascii="Times New Roman" w:cs="Times New Roman" w:eastAsia="Times New Roman" w:hAnsi="Times New Roman"/>
          <w:sz w:val="18"/>
          <w:szCs w:val="18"/>
          <w:color w:val="auto"/>
        </w:rPr>
        <w:t>.” The Company has also filed with the Commission, in accordance with Section 12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and the rules and regulations of the Commission thereunder (the “</w:t>
      </w:r>
      <w:r>
        <w:rPr>
          <w:rFonts w:ascii="Times New Roman" w:cs="Times New Roman" w:eastAsia="Times New Roman" w:hAnsi="Times New Roman"/>
          <w:sz w:val="18"/>
          <w:szCs w:val="18"/>
          <w:b w:val="1"/>
          <w:bCs w:val="1"/>
          <w:i w:val="1"/>
          <w:iCs w:val="1"/>
          <w:color w:val="auto"/>
        </w:rPr>
        <w:t>1934 Act Regulations</w:t>
      </w:r>
      <w:r>
        <w:rPr>
          <w:rFonts w:ascii="Times New Roman" w:cs="Times New Roman" w:eastAsia="Times New Roman" w:hAnsi="Times New Roman"/>
          <w:sz w:val="18"/>
          <w:szCs w:val="18"/>
          <w:color w:val="auto"/>
        </w:rPr>
        <w:t>”), a registration statement on Form 8-A (File No. 001-38452) under the 1934 Act to register, under Section 12(b) of the 1934 Act, the ADSs and the Ordinary Shares. The registration statement relating to the ADSs and the Ordinary Shares, as amended at the time it became effective, is hereinafter referred to as the “</w:t>
      </w:r>
      <w:r>
        <w:rPr>
          <w:rFonts w:ascii="Times New Roman" w:cs="Times New Roman" w:eastAsia="Times New Roman" w:hAnsi="Times New Roman"/>
          <w:sz w:val="18"/>
          <w:szCs w:val="18"/>
          <w:b w:val="1"/>
          <w:bCs w:val="1"/>
          <w:i w:val="1"/>
          <w:iCs w:val="1"/>
          <w:color w:val="auto"/>
        </w:rPr>
        <w:t>1934 Act Registration Statement.</w:t>
      </w:r>
      <w:r>
        <w:rPr>
          <w:rFonts w:ascii="Times New Roman" w:cs="Times New Roman" w:eastAsia="Times New Roman" w:hAnsi="Times New Roman"/>
          <w:sz w:val="18"/>
          <w:szCs w:val="18"/>
          <w:color w:val="auto"/>
        </w:rPr>
        <w:t>” For purposes of this Agreement, all references to the Registration Statement, the ADS Registration Statement, the 1934 Act Registration Statement, any preliminary prospectus, the Prospectus or any amendment or supplement to any of the foregoing shall be deemed to include the copy filed with the Commission pursuant to its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1" w:lineRule="exact"/>
        <w:rPr>
          <w:sz w:val="20"/>
          <w:szCs w:val="20"/>
          <w:color w:val="auto"/>
        </w:rPr>
      </w:pPr>
    </w:p>
    <w:p>
      <w:pPr>
        <w:ind w:right="1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7:35 A.M., New York City time, on June 14, 2024 or such other time as agreed by the Company and the Representatives.</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Disclosure Package</w:t>
      </w:r>
      <w:r>
        <w:rPr>
          <w:rFonts w:ascii="Times New Roman" w:cs="Times New Roman" w:eastAsia="Times New Roman" w:hAnsi="Times New Roman"/>
          <w:sz w:val="18"/>
          <w:szCs w:val="18"/>
          <w:color w:val="auto"/>
        </w:rPr>
        <w:t>”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Issuer Free Writing Prospectus</w:t>
      </w:r>
      <w:r>
        <w:rPr>
          <w:rFonts w:ascii="Times New Roman" w:cs="Times New Roman" w:eastAsia="Times New Roman" w:hAnsi="Times New Roman"/>
          <w:sz w:val="17"/>
          <w:szCs w:val="17"/>
          <w:color w:val="auto"/>
        </w:rPr>
        <w:t>” means any “</w:t>
      </w:r>
      <w:r>
        <w:rPr>
          <w:rFonts w:ascii="Times New Roman" w:cs="Times New Roman" w:eastAsia="Times New Roman" w:hAnsi="Times New Roman"/>
          <w:sz w:val="17"/>
          <w:szCs w:val="17"/>
          <w:b w:val="1"/>
          <w:bCs w:val="1"/>
          <w:i w:val="1"/>
          <w:iCs w:val="1"/>
          <w:color w:val="auto"/>
        </w:rPr>
        <w:t>issuer free writing prospectus,</w:t>
      </w:r>
      <w:r>
        <w:rPr>
          <w:rFonts w:ascii="Times New Roman" w:cs="Times New Roman" w:eastAsia="Times New Roman" w:hAnsi="Times New Roman"/>
          <w:sz w:val="17"/>
          <w:szCs w:val="17"/>
          <w:color w:val="auto"/>
        </w:rPr>
        <w:t>” as defined in Rule 433 of the 1933 Act Regulations (“</w:t>
      </w:r>
      <w:r>
        <w:rPr>
          <w:rFonts w:ascii="Times New Roman" w:cs="Times New Roman" w:eastAsia="Times New Roman" w:hAnsi="Times New Roman"/>
          <w:sz w:val="17"/>
          <w:szCs w:val="17"/>
          <w:b w:val="1"/>
          <w:bCs w:val="1"/>
          <w:i w:val="1"/>
          <w:iCs w:val="1"/>
          <w:color w:val="auto"/>
        </w:rPr>
        <w:t>Rule 433</w:t>
      </w:r>
      <w:r>
        <w:rPr>
          <w:rFonts w:ascii="Times New Roman" w:cs="Times New Roman" w:eastAsia="Times New Roman" w:hAnsi="Times New Roman"/>
          <w:sz w:val="17"/>
          <w:szCs w:val="17"/>
          <w:color w:val="auto"/>
        </w:rPr>
        <w:t>”) relating to the Offered Securities, including without limitation any “free writing prospectus” (as defined in Rule 405 of the 1933 Act Regulations (“Rule 405”))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Offered Securities or of the offering that does not reflect the final terms, in each case in the form filed or required to be filed with the Commission or, if not required to be filed, in the form retained in the Company’s records pursuant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433(g).</w:t>
      </w:r>
    </w:p>
    <w:p>
      <w:pPr>
        <w:spacing w:after="0" w:line="20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“bona fide electronic road show,” as defined in Rule 433 (a “</w:t>
      </w:r>
      <w:r>
        <w:rPr>
          <w:rFonts w:ascii="Times New Roman" w:cs="Times New Roman" w:eastAsia="Times New Roman" w:hAnsi="Times New Roman"/>
          <w:sz w:val="18"/>
          <w:szCs w:val="18"/>
          <w:b w:val="1"/>
          <w:bCs w:val="1"/>
          <w:i w:val="1"/>
          <w:iCs w:val="1"/>
          <w:color w:val="auto"/>
        </w:rPr>
        <w:t>Bona Fide Electronic Road Show</w:t>
      </w:r>
      <w:r>
        <w:rPr>
          <w:rFonts w:ascii="Times New Roman" w:cs="Times New Roman" w:eastAsia="Times New Roman" w:hAnsi="Times New Roman"/>
          <w:sz w:val="18"/>
          <w:szCs w:val="18"/>
          <w:color w:val="auto"/>
        </w:rPr>
        <w:t>”)), as evidenced by its being specified in Schedule B-2 hereto.</w:t>
      </w:r>
    </w:p>
    <w:p>
      <w:pPr>
        <w:spacing w:after="0" w:line="171"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1934 Act incorporated by reference in the Registration Statement, such preliminary prospectus or the Prospectus, as the case may be, at or after the execution and delivery of this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Representations and Warranties by the Company</w:t>
      </w:r>
      <w:r>
        <w:rPr>
          <w:rFonts w:ascii="Times New Roman" w:cs="Times New Roman" w:eastAsia="Times New Roman" w:hAnsi="Times New Roman"/>
          <w:sz w:val="18"/>
          <w:szCs w:val="18"/>
          <w:color w:val="auto"/>
        </w:rPr>
        <w:t>. The Company represents and warrants to each Underwriter as of the date hereof,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 and the Closing Time (as defined below), and agrees with each Underwriter, as follows:</w:t>
      </w:r>
    </w:p>
    <w:p>
      <w:pPr>
        <w:spacing w:after="0" w:line="20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Registration Statements and Prospectuses</w:t>
      </w:r>
      <w:r>
        <w:rPr>
          <w:rFonts w:ascii="Times New Roman" w:cs="Times New Roman" w:eastAsia="Times New Roman" w:hAnsi="Times New Roman"/>
          <w:sz w:val="18"/>
          <w:szCs w:val="18"/>
          <w:color w:val="auto"/>
        </w:rPr>
        <w:t>. The Company meets the requirements to incorporate documents by reference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pursuant to General Instructions II.F to Form S-3 under the 1933 Act and the 1933 Act Regulations. Each of the Registration Statement and any amendment thereto has become effective under the 1933 Act and the 1933 Act Regulations. No stop order suspending the effectiveness of the Registration Statement or any post-effective amendments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87" w:lineRule="exact"/>
        <w:rPr>
          <w:sz w:val="20"/>
          <w:szCs w:val="20"/>
          <w:color w:val="auto"/>
        </w:rPr>
      </w:pPr>
    </w:p>
    <w:p>
      <w:pPr>
        <w:jc w:val="both"/>
        <w:ind w:right="60" w:firstLine="440"/>
        <w:spacing w:after="0" w:line="257" w:lineRule="auto"/>
        <w:rPr>
          <w:sz w:val="20"/>
          <w:szCs w:val="20"/>
          <w:color w:val="auto"/>
        </w:rPr>
      </w:pPr>
      <w:r>
        <w:rPr>
          <w:rFonts w:ascii="Times New Roman" w:cs="Times New Roman" w:eastAsia="Times New Roman" w:hAnsi="Times New Roman"/>
          <w:sz w:val="18"/>
          <w:szCs w:val="18"/>
          <w:color w:val="auto"/>
        </w:rPr>
        <w:t>The Registration Statement and any post-effective amendments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Each preliminary prospectus delivered to the Underwriters for use in connection with the offering of the Offered Securities and the Prospectus was or will be identical to the electronically transmitted copies thereof filed with the Commission pursuant to EDGAR, except to the extent permitted by Regulation S-T.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6" w:name="page7"/>
    <w:bookmarkEnd w:id="6"/>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or deemed incorporated by reference in the Registration Statement and the Prospectus, when they became effective or at the time they were or hereafter are filed with the Commission, complied and will comply in all material respects with the requirements of the 1934 Act and the 1934 Act Regulations.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each of the Registration Statement and the ADS Registration Statement has been duly executed by and on behalf of the Company pursuant to such authorization.</w:t>
      </w:r>
    </w:p>
    <w:p>
      <w:pPr>
        <w:spacing w:after="0" w:line="17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ADS Registration Statement</w:t>
      </w:r>
      <w:r>
        <w:rPr>
          <w:rFonts w:ascii="Times New Roman" w:cs="Times New Roman" w:eastAsia="Times New Roman" w:hAnsi="Times New Roman"/>
          <w:sz w:val="18"/>
          <w:szCs w:val="18"/>
          <w:color w:val="auto"/>
        </w:rPr>
        <w:t>. The ADS Registration Statements have (i) been prepared by the Company in conformity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1933 Act and the rules and regulations thereunder, (ii) been filed with the Commission under the 1933 Act, and (iii) become effective under the 1933 Act. The Commission has not issued any order suspending the effectiveness of any ADS Registration Statement, and no proceeding for that purpose has been instituted or, to the Company’s knowledge, threatened by the Commission. Each ADS Registration Statement, at the time it became effective under the 1933 Act, (i) conformed in all respects to the requirements of the 1933 Act and the rules and regulations thereunder and (ii) and did not, as of the applicable effective date, contain an untrue statement of a material fact or omit to state a material fact required to be stated therein or necessary to make the statements therein not misleading.</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Accurate Disclosure</w:t>
      </w:r>
      <w:r>
        <w:rPr>
          <w:rFonts w:ascii="Times New Roman" w:cs="Times New Roman" w:eastAsia="Times New Roman" w:hAnsi="Times New Roman"/>
          <w:sz w:val="18"/>
          <w:szCs w:val="18"/>
          <w:color w:val="auto"/>
        </w:rPr>
        <w:t>. None of the Registration Statement, the ADS Registration Statements and any amendment thereto,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at the Closing Time,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ADS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statements set forth in the first two sentences of the first paragraph under the section entitled “Commission and Expenses”; and the first two paragraphs under the section entitled “Stabilization,” in each case under the caption “Underwriting” contained in the Prospectus (collectively, the “</w:t>
      </w:r>
      <w:r>
        <w:rPr>
          <w:rFonts w:ascii="Times New Roman" w:cs="Times New Roman" w:eastAsia="Times New Roman" w:hAnsi="Times New Roman"/>
          <w:sz w:val="18"/>
          <w:szCs w:val="18"/>
          <w:b w:val="1"/>
          <w:bCs w:val="1"/>
          <w:i w:val="1"/>
          <w:iCs w:val="1"/>
          <w:color w:val="auto"/>
        </w:rPr>
        <w:t>Underwriter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or the Prospectus, including any document incorporated by reference therein, and any preliminary or other prospectus deemed to be a part thereof that has not been superseded or modified. Any Issuer Free Writing Prospectus that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required to file pursuant to Rule 433(d) under the Securities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w:t>
      </w:r>
    </w:p>
    <w:p>
      <w:pPr>
        <w:spacing w:after="0" w:line="176"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Company Not Ineligible Issuer</w:t>
      </w:r>
      <w:r>
        <w:rPr>
          <w:rFonts w:ascii="Times New Roman" w:cs="Times New Roman" w:eastAsia="Times New Roman" w:hAnsi="Times New Roman"/>
          <w:sz w:val="18"/>
          <w:szCs w:val="18"/>
          <w:color w:val="auto"/>
        </w:rPr>
        <w:t>. At the time of filing the Registration Statement and any post-effective amendments thereto,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time thereafter that the Company or another offering participant made a bona fide offer (within the meaning of Rule 164(h)(2) of the 1933 Act Regulations) of the Offered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79"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Emerging Growth Company Status</w:t>
      </w:r>
      <w:r>
        <w:rPr>
          <w:rFonts w:ascii="Times New Roman" w:cs="Times New Roman" w:eastAsia="Times New Roman" w:hAnsi="Times New Roman"/>
          <w:sz w:val="18"/>
          <w:szCs w:val="18"/>
          <w:color w:val="auto"/>
        </w:rPr>
        <w:t>. From the time of the initial filing of the Registration Statement with the Commission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hereof, the Company has been and is an “emerging growth company,” as defined in Section 2(a) of the Securities Act (an “</w:t>
      </w:r>
      <w:r>
        <w:rPr>
          <w:rFonts w:ascii="Times New Roman" w:cs="Times New Roman" w:eastAsia="Times New Roman" w:hAnsi="Times New Roman"/>
          <w:sz w:val="18"/>
          <w:szCs w:val="18"/>
          <w:b w:val="1"/>
          <w:bCs w:val="1"/>
          <w:i w:val="1"/>
          <w:i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provided however, the Company shall no longer be an Emerging Growth Company on December 31, 2024.</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Stamp Taxes</w:t>
      </w:r>
      <w:r>
        <w:rPr>
          <w:rFonts w:ascii="Times New Roman" w:cs="Times New Roman" w:eastAsia="Times New Roman" w:hAnsi="Times New Roman"/>
          <w:sz w:val="18"/>
          <w:szCs w:val="18"/>
          <w:color w:val="auto"/>
        </w:rPr>
        <w:t>. No stamp duty, stamp duty reserve, registration, documentary, issuance, transfer or other similar taxes or duties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are payable in the United States or United Kingdom by or on behalf of the Underwriters in connection with (i) the issuance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Underlying Shares in the manner contemplated by this Agreement, (ii) the issuance, delivery and sale of the Offered Securities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Depositary Receipts (“</w:t>
      </w:r>
      <w:r>
        <w:rPr>
          <w:rFonts w:ascii="Times New Roman" w:cs="Times New Roman" w:eastAsia="Times New Roman" w:hAnsi="Times New Roman"/>
          <w:sz w:val="18"/>
          <w:szCs w:val="18"/>
          <w:b w:val="1"/>
          <w:bCs w:val="1"/>
          <w:i w:val="1"/>
          <w:iCs w:val="1"/>
          <w:color w:val="auto"/>
        </w:rPr>
        <w:t>ADRs</w:t>
      </w:r>
      <w:r>
        <w:rPr>
          <w:rFonts w:ascii="Times New Roman" w:cs="Times New Roman" w:eastAsia="Times New Roman" w:hAnsi="Times New Roman"/>
          <w:sz w:val="18"/>
          <w:szCs w:val="18"/>
          <w:color w:val="auto"/>
        </w:rPr>
        <w:t>”) evidencing such Offered Securities) to or for the account of the Underwriters in the manner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the Deposit Agreement, (iii) the sale and delivery by the Underwriters of the Offered Securities (or the ADRs evidencing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Securities) to the initial purchasers thereof as contemplated herein, or (iv) the execution and delivery of this Agreement or the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Dividends and Distributions</w:t>
      </w:r>
      <w:r>
        <w:rPr>
          <w:rFonts w:ascii="Times New Roman" w:cs="Times New Roman" w:eastAsia="Times New Roman" w:hAnsi="Times New Roman"/>
          <w:sz w:val="18"/>
          <w:szCs w:val="18"/>
          <w:color w:val="auto"/>
        </w:rPr>
        <w:t>. Except as described in the General Disclosure Package and the Prospectus, all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declared and payable on the Ordinary Shares may under applicable English law and regulations be paid to the Depositary in pounds sterling and may be converted into foreign currency that may be transferred out of the United Kingdom in accordance with the Deposit Agreement. Except as disclosed in the Prospectus, no subsidiary of the Company (each,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3"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Independent Accountants</w:t>
      </w:r>
      <w:r>
        <w:rPr>
          <w:rFonts w:ascii="Times New Roman" w:cs="Times New Roman" w:eastAsia="Times New Roman" w:hAnsi="Times New Roman"/>
          <w:sz w:val="18"/>
          <w:szCs w:val="18"/>
          <w:color w:val="auto"/>
        </w:rPr>
        <w:t>. The accountants who certified the audited financial statements of the Company included or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reference in the Registration Statement and the Prospectus are an independent registered public accounting firm as required by, and delivered their report thereon in compliance with, the Securities Act and the Public Company Accounting Oversight Board (United States)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which is registered as a public accounting firm as defined by the PCAOB whose registration has not been suspended or revoked and who has not requested such registration to be withdrawn.</w:t>
      </w:r>
    </w:p>
    <w:p>
      <w:pPr>
        <w:spacing w:after="0" w:line="179" w:lineRule="exact"/>
        <w:rPr>
          <w:sz w:val="20"/>
          <w:szCs w:val="20"/>
          <w:color w:val="auto"/>
        </w:rPr>
      </w:pPr>
    </w:p>
    <w:p>
      <w:pPr>
        <w:ind w:right="2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Financial Statements</w:t>
      </w:r>
      <w:r>
        <w:rPr>
          <w:rFonts w:ascii="Times New Roman" w:cs="Times New Roman" w:eastAsia="Times New Roman" w:hAnsi="Times New Roman"/>
          <w:sz w:val="18"/>
          <w:szCs w:val="18"/>
          <w:color w:val="auto"/>
        </w:rPr>
        <w:t>. The consolidated financial statements of the Company included or incorporated by reference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the General Disclosure Package and the Prospectus, together with the related notes, comply as to form in all material respects with Regulation S-X under the Securities Act and present fairly, in all material respects, the financial position of the Company and its consolidated Subsidiaries at the dates indicated and the results of operations and cash flows of the Company and its consolidated Subsidiaries for the periods specified; said financial statements have been prepared in conformity with generally accepted accounting principles accepted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may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expressly stated in the related notes thereto.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General Disclosure Package or the Prospectus. The financial data set forth in each of the Registration Statement, the General Disclosure Package and the Prospectus fairly presents the information set forth therein on a basis consistent with that of the audited financial statements contained in the Registration Statement, the General Disclosure Package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190"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the Sarbanes-Oxley Act of 2002</w:t>
      </w:r>
      <w:r>
        <w:rPr>
          <w:rFonts w:ascii="Times New Roman" w:cs="Times New Roman" w:eastAsia="Times New Roman" w:hAnsi="Times New Roman"/>
          <w:sz w:val="18"/>
          <w:szCs w:val="18"/>
          <w:color w:val="auto"/>
        </w:rPr>
        <w:t>. There is and has been no failure on the part of the Company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Material Adverse Effect to Business</w:t>
      </w:r>
      <w:r>
        <w:rPr>
          <w:rFonts w:ascii="Times New Roman" w:cs="Times New Roman" w:eastAsia="Times New Roman" w:hAnsi="Times New Roman"/>
          <w:sz w:val="18"/>
          <w:szCs w:val="18"/>
          <w:color w:val="auto"/>
        </w:rPr>
        <w:t>. Except as otherwise stated therein, since the respective dates as of which information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and (D) there has been no dividend or distribution of any kind declared, paid or made by the Company or any of its Subsidiaries on any class of share capital, or any repurchase or redemption by the Company or any of its Subsidiaries of any class of share capital.</w:t>
      </w:r>
    </w:p>
    <w:p>
      <w:pPr>
        <w:spacing w:after="0" w:line="18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Incorporation and Good Standing of the Company</w:t>
      </w:r>
      <w:r>
        <w:rPr>
          <w:rFonts w:ascii="Times New Roman" w:cs="Times New Roman" w:eastAsia="Times New Roman" w:hAnsi="Times New Roman"/>
          <w:sz w:val="18"/>
          <w:szCs w:val="18"/>
          <w:color w:val="auto"/>
        </w:rPr>
        <w:t>. The Company has been duly incorporated and is validly existing as a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company under the laws of England and Wales and has corporate or similar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(to the extent such concept applies) in each other jurisdiction in which such qualification is required, whether by reason of the ownership or leasing of property or the conduct of business, except where the failure to be so qualified or to be in good standing would not reasonably be expected to result in a Material Adverse Effect.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Incorporation/Organization and Good Standing of the Company’s Subsidiaries</w:t>
      </w:r>
      <w:r>
        <w:rPr>
          <w:rFonts w:ascii="Times New Roman" w:cs="Times New Roman" w:eastAsia="Times New Roman" w:hAnsi="Times New Roman"/>
          <w:sz w:val="18"/>
          <w:szCs w:val="18"/>
          <w:color w:val="auto"/>
        </w:rPr>
        <w:t>. Each Subsidiary has been duly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organized and is validly existing in good standing (to the extent such concept applies)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(to the extent such concept applies) in each jurisdiction in which such qualification is required, whether by reason of the ownership or leasing of property or the conduct of business, except where the failure to be so qualified or to be in good standing (to the extent such concept applies) would not reasonably be expected to result in a Material Adverse Effect. Except as otherwise disclosed in the Registration Statement, the General Disclosure Package and the Prospectus, all of the issued and outstanding share capital or capital stock or other equity ownership interests (as applicable) of each Subsidiary has been duly authorized and validly issued, is fully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9" w:name="page10"/>
    <w:bookmarkEnd w:id="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paid and non-assessable (to the extent such concept applies) and is owned by the Company, directly or through Subsidiaries, free and clear of any security interest, mortgage, pledge, lien, encumbrance, claim or equity. The constitutive or organizational documents of each Subsidiary comply in all material respects with the requirements of applicable laws of its jurisdiction of incorporation and are in full force and effect. None of the issued share capital or capital stock of any Subsidiary was issued in violation of the preemptive or similar rights of any securityholder of such Subsidiary. The only Subsidiaries of the Company are the entities listed on Exhibit 21.1 to the Company’s Annual Report on Form 10-K, as filed with the Commission, for its most recently completed fiscal year.</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Capitalization</w:t>
      </w:r>
      <w:r>
        <w:rPr>
          <w:rFonts w:ascii="Times New Roman" w:cs="Times New Roman" w:eastAsia="Times New Roman" w:hAnsi="Times New Roman"/>
          <w:sz w:val="18"/>
          <w:szCs w:val="18"/>
          <w:color w:val="auto"/>
        </w:rPr>
        <w:t>. (i) The issued and outstanding share capital of the Company is as set forth in the Registration Statement,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Disclosure Package and the Prospectus. The issued and outstanding Ordinary Shares of the Company have been duly authorized and are validly issued and fully paid and no further contribution of capital in respect of such Ordinary Shares will be required to be made to the Company by the holders of such shares by reason solely of them being such holders. The issued and outstanding ADSs have been duly authorized and are validly issued. None of the issued and outstanding Ordinary Shares of the Company was issued in violation of the preemptive or other similar rights of any securityholder of the Company. (ii) The Underlying Shares may be issued to the Custodian or its nominee against payment therefor to the Company following which the Depositary will issue ADSs against the deposit of the Underlying Shares and at the time of issue such issuance of Underlying Shares will be within all authorizations of the directors for the issuance of Ordinary Shares under the U.K. Companies Act 2006 (the “</w:t>
      </w:r>
      <w:r>
        <w:rPr>
          <w:rFonts w:ascii="Times New Roman" w:cs="Times New Roman" w:eastAsia="Times New Roman" w:hAnsi="Times New Roman"/>
          <w:sz w:val="18"/>
          <w:szCs w:val="18"/>
          <w:b w:val="1"/>
          <w:bCs w:val="1"/>
          <w:i w:val="1"/>
          <w:iCs w:val="1"/>
          <w:color w:val="auto"/>
        </w:rPr>
        <w:t>CA 2006</w:t>
      </w:r>
      <w:r>
        <w:rPr>
          <w:rFonts w:ascii="Times New Roman" w:cs="Times New Roman" w:eastAsia="Times New Roman" w:hAnsi="Times New Roman"/>
          <w:sz w:val="18"/>
          <w:szCs w:val="18"/>
          <w:color w:val="auto"/>
        </w:rPr>
        <w:t>”).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and in the Deposit Agreement. Except as disclosed in the Registration Statement, the allotment and issue of the Underlying Shares in the form of ADSs by the Company and the deposit of the Underlying Shares with the Depositary or its nominee and the issuance of the ADSs representing such Underlying Shares as contemplated by this Agreement and the Deposit Agreement will not trigger any anti-dilution or preemptive or similar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will, at the time of allotment of the Underlying Shares, have been validly waived or disapplied. The Deposit Agreement and the ADSs conform in all material respects to each description thereof in the Registration Statement, the General Disclosure Package and the Prospectus. Each holder of ADSs issued pursuant to the Deposit Agreement shall be entitled, subject to the Deposit Agreement, to seek enforcement of its rights in a direct suit, action or proceeding against the Company. (iii) There are no authorized or outstanding options, warrants, preemptive rights, rights of first refusal or other rights to purchase, or equity or debt securities convertible into or exchangeable or exercisable for, any Ordinary Shares of the Company or its Subsidiaries other than those described in the Registration Statement, the General Disclosure Package and the Prospectus.</w:t>
      </w:r>
    </w:p>
    <w:p>
      <w:pPr>
        <w:spacing w:after="0" w:line="187" w:lineRule="exact"/>
        <w:rPr>
          <w:sz w:val="20"/>
          <w:szCs w:val="20"/>
          <w:color w:val="auto"/>
        </w:rPr>
      </w:pPr>
    </w:p>
    <w:p>
      <w:pPr>
        <w:ind w:right="8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This Agreement</w:t>
      </w:r>
      <w:r>
        <w:rPr>
          <w:rFonts w:ascii="Times New Roman" w:cs="Times New Roman" w:eastAsia="Times New Roman" w:hAnsi="Times New Roman"/>
          <w:sz w:val="18"/>
          <w:szCs w:val="18"/>
          <w:color w:val="auto"/>
        </w:rPr>
        <w:t>. The Company has the corporate power to enter into this Agreement and this Agreement has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executed and delivered by the Company.</w:t>
      </w:r>
    </w:p>
    <w:p>
      <w:pPr>
        <w:spacing w:after="0" w:line="15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Authorization and Description of Ordinary Shares</w:t>
      </w:r>
      <w:r>
        <w:rPr>
          <w:rFonts w:ascii="Times New Roman" w:cs="Times New Roman" w:eastAsia="Times New Roman" w:hAnsi="Times New Roman"/>
          <w:sz w:val="18"/>
          <w:szCs w:val="18"/>
          <w:color w:val="auto"/>
        </w:rPr>
        <w:t>. The Company and its directors have the power and authority to allot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and have authorized the allotment and issuance of, the Underlying Shares, to be delivered at the Closing Time pursuant to this Agreement and no further sanction or consent by any securityholder of the Company (including under section 551 of the CA 2006) is required in connection therewith and, when such Underlying Shares are issued and allotted by the Company to the Depositary’s custodian (or its nominee) and the ADSs are issued and delivered pursuant to the Deposit Agreement against payment of the consideration therefor, those ADSs (and the Underlying Shares) will be validly issued and fully paid without any encumbrance or call for payment of further capital; and at the Closing Time, the issuance of the Underlying Shares will not be subject to the preemptive or other similar rights of any securityholder of the Company (including under section 561 of the CA 2006), or any such rights will have been validly disapplied. The Underlying Shares will rank equally in all respects with the existing Ordinary Shares. The Ordinary Shares will conform in all material respects to all statements relating thereto contained in the Registration Statement, the General Disclosure Package and the Prospectus and such description conforms in all material respects to the rights set forth in the instruments defining the same.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Authorization of Deposit Agreement</w:t>
      </w:r>
      <w:r>
        <w:rPr>
          <w:rFonts w:ascii="Times New Roman" w:cs="Times New Roman" w:eastAsia="Times New Roman" w:hAnsi="Times New Roman"/>
          <w:sz w:val="18"/>
          <w:szCs w:val="18"/>
          <w:color w:val="auto"/>
        </w:rPr>
        <w:t>. The Deposit Agreement has been duly authorized, executed and delivered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assuming due authorization, execution and delivery by the Depositary, constitutes a valid and legally binding obligation of the Company, enforceable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respectively, and in the Deposit Agreement; and the Deposit Agreement and the ADSs conform in all material respects to the descriptions thereof contained in the Registration Statement, the General Disclosure Package and the Prospectus. There has been no change in the Company’s agreement with the Depositary in connection with any pre-release of the ADSs and no such change is currently contemplated.</w:t>
      </w:r>
    </w:p>
    <w:p>
      <w:pPr>
        <w:spacing w:after="0" w:line="185" w:lineRule="exact"/>
        <w:rPr>
          <w:sz w:val="20"/>
          <w:szCs w:val="20"/>
          <w:color w:val="auto"/>
        </w:rPr>
      </w:pPr>
    </w:p>
    <w:p>
      <w:pPr>
        <w:ind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(xix)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the Registration Statement or otherwise registered for sale or sold by the Company under the Securities Act pursuant to this Agreement, other than those rights that have been disclosed in the Registration Statement, the General Disclosure Package and the Prospectus and have been waived.</w:t>
      </w:r>
    </w:p>
    <w:p>
      <w:pPr>
        <w:spacing w:after="0" w:line="153"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Absence of Violations, Defaults and Conflicts</w:t>
      </w:r>
      <w:r>
        <w:rPr>
          <w:rFonts w:ascii="Times New Roman" w:cs="Times New Roman" w:eastAsia="Times New Roman" w:hAnsi="Times New Roman"/>
          <w:sz w:val="18"/>
          <w:szCs w:val="18"/>
          <w:color w:val="auto"/>
        </w:rPr>
        <w:t>. Neither the Company nor any Subsidiary is (A) in violation of its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charter, by-laws or similar constitutive or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Times New Roman" w:cs="Times New Roman" w:eastAsia="Times New Roman" w:hAnsi="Times New Roman"/>
          <w:sz w:val="18"/>
          <w:szCs w:val="18"/>
          <w:b w:val="1"/>
          <w:bCs w:val="1"/>
          <w:i w:val="1"/>
          <w:iCs w:val="1"/>
          <w:color w:val="auto"/>
        </w:rPr>
        <w:t>Agreements and Instruments</w:t>
      </w:r>
      <w:r>
        <w:rPr>
          <w:rFonts w:ascii="Times New Roman" w:cs="Times New Roman" w:eastAsia="Times New Roman" w:hAnsi="Times New Roman"/>
          <w:sz w:val="18"/>
          <w:szCs w:val="18"/>
          <w:color w:val="auto"/>
        </w:rPr>
        <w:t>”), or (C) in violation of any applicable law, statute, rule, regulation, judgment, order, writ or decree of any arbitrator, court, governmental body, regulatory body, administrative agency or other authority, body or agency having jurisdiction over the Company or its Subsidiaries or any of their respective properties, assets or operations (each, a “</w:t>
      </w:r>
      <w:r>
        <w:rPr>
          <w:rFonts w:ascii="Times New Roman" w:cs="Times New Roman" w:eastAsia="Times New Roman" w:hAnsi="Times New Roman"/>
          <w:sz w:val="18"/>
          <w:szCs w:val="18"/>
          <w:b w:val="1"/>
          <w:bCs w:val="1"/>
          <w:i w:val="1"/>
          <w:i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except in the case of each of (B) and (C) above, for such defaults or violations that would not, singly or in the aggregate, reasonably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result in a Material Adverse Effect. The execution, delivery and performance of this Agreement and the performance of the Deposit Agreement and the consummation of the transactions contemplated herein or therein and in the Registration Statement, the General Disclosure Package and the Prospectus (including the allotment and issuance of the Underlying Shares and Offered Securities and deposit with the Custodian or its nominee of the Underlying Shares and the use of the proceeds from the sale of the Offered Securities as described therein under the caption “Use of Proceeds”) and compliance by the Company with its obligations hereunder have been duly authorized by all necessary corporate action by the Company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Times New Roman" w:cs="Times New Roman" w:eastAsia="Times New Roman" w:hAnsi="Times New Roman"/>
          <w:sz w:val="18"/>
          <w:szCs w:val="18"/>
          <w:b w:val="1"/>
          <w:bCs w:val="1"/>
          <w:i w:val="1"/>
          <w:iCs w:val="1"/>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 w:name="page12"/>
    <w:bookmarkEnd w:id="11"/>
    <w:p>
      <w:pPr>
        <w:ind w:right="80"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Stock Exchange Listing</w:t>
      </w:r>
      <w:r>
        <w:rPr>
          <w:rFonts w:ascii="Times New Roman" w:cs="Times New Roman" w:eastAsia="Times New Roman" w:hAnsi="Times New Roman"/>
          <w:sz w:val="17"/>
          <w:szCs w:val="17"/>
          <w:color w:val="auto"/>
        </w:rPr>
        <w:t>. Except as disclosed in the Registration Statement, the General Disclosure Package or the Prospectus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ADSs are registered pursuant to Section 12(b) of the 1934 Act and are listed on The Nasdaq Capital Market (the “</w:t>
      </w:r>
      <w:r>
        <w:rPr>
          <w:rFonts w:ascii="Times New Roman" w:cs="Times New Roman" w:eastAsia="Times New Roman" w:hAnsi="Times New Roman"/>
          <w:sz w:val="17"/>
          <w:szCs w:val="17"/>
          <w:b w:val="1"/>
          <w:bCs w:val="1"/>
          <w:i w:val="1"/>
          <w:iCs w:val="1"/>
          <w:color w:val="auto"/>
        </w:rPr>
        <w:t>Principal Market</w:t>
      </w:r>
      <w:r>
        <w:rPr>
          <w:rFonts w:ascii="Times New Roman" w:cs="Times New Roman" w:eastAsia="Times New Roman" w:hAnsi="Times New Roman"/>
          <w:sz w:val="17"/>
          <w:szCs w:val="17"/>
          <w:color w:val="auto"/>
        </w:rPr>
        <w:t>”) and the Company has taken no action designed to, or likely to have the effect of, terminating the registration of the ADSs under the 1934 Act or delisting the ADSs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64"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(xxii)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Absence of Labor Dispute</w:t>
      </w:r>
      <w:r>
        <w:rPr>
          <w:rFonts w:ascii="Times New Roman" w:cs="Times New Roman" w:eastAsia="Times New Roman" w:hAnsi="Times New Roman"/>
          <w:sz w:val="18"/>
          <w:szCs w:val="18"/>
          <w:color w:val="auto"/>
        </w:rPr>
        <w:t>. No labor dispute with the employees of the Company or its Subsidiaries exists or,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imminent, and the Company is not aware of any existing or imminent labor disturbance by the employees of any of its or its Subsidiaries’ principal suppliers, manufacturers, customers or contractors, which, in either case, would reasonably be expected to result in a Material Adverse Effect.</w:t>
      </w:r>
    </w:p>
    <w:p>
      <w:pPr>
        <w:spacing w:after="0" w:line="176"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(xxiii)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Absence of Monitoring Agreements</w:t>
      </w:r>
      <w:r>
        <w:rPr>
          <w:rFonts w:ascii="Times New Roman" w:cs="Times New Roman" w:eastAsia="Times New Roman" w:hAnsi="Times New Roman"/>
          <w:sz w:val="18"/>
          <w:szCs w:val="18"/>
          <w:color w:val="auto"/>
        </w:rPr>
        <w:t>. Neither the Company nor any of its Subsidiaries is a party to any corporate integrity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monitoring agreements, consent decrees, settlement orders, or similar agreements with or imposed by any governmental or regulatory authority. The Company and each 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reasonably be expected to have a Material Adverse Effect.</w:t>
      </w:r>
    </w:p>
    <w:p>
      <w:pPr>
        <w:spacing w:after="0" w:line="182"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(xxiv)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Absence of Further Requirements</w:t>
      </w:r>
      <w:r>
        <w:rPr>
          <w:rFonts w:ascii="Times New Roman" w:cs="Times New Roman" w:eastAsia="Times New Roman" w:hAnsi="Times New Roman"/>
          <w:sz w:val="18"/>
          <w:szCs w:val="18"/>
          <w:color w:val="auto"/>
        </w:rPr>
        <w:t>. No filing with, or authorization, approval, consent, license, order, registration, qualification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decree of, any Governmental Entity is necessary or required for the performance by the Company of its obligations hereunder, in connection with the offering, allotment or issuance of the Offered Securities or the issuance and deposit with the Custodian or its nominee of the Underlying Shares hereunder or the consummation of the transactions contemplated by this Agreement, except such as have been already obtained or as may be required under the Securities Act, the rules of the Principal Market, state securities laws or the rules of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(xxv)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Possession of Licenses and Permits</w:t>
      </w:r>
      <w:r>
        <w:rPr>
          <w:rFonts w:ascii="Times New Roman" w:cs="Times New Roman" w:eastAsia="Times New Roman" w:hAnsi="Times New Roman"/>
          <w:sz w:val="18"/>
          <w:szCs w:val="18"/>
          <w:color w:val="auto"/>
        </w:rPr>
        <w:t>. The Company and each of its Subsidiaries possess all licenses, certificates, authorizations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permits issued by, and has made all declarations and filings with, the appropriate U.S. or non-U.S. governmental or regulatory authorities of competent jurisdiction (including, without limitation, the FDA, the EMA or comparable U.S. or non-U.S. governmental authorities of competent jurisdiction) that are necessary for the ownership or lease of their respective properties or the conduct of their respective businesses as described in the Registration Statement, the General Disclosure Package and the Prospectus (collectively, the “</w:t>
      </w:r>
      <w:r>
        <w:rPr>
          <w:rFonts w:ascii="Times New Roman" w:cs="Times New Roman" w:eastAsia="Times New Roman" w:hAnsi="Times New Roman"/>
          <w:sz w:val="18"/>
          <w:szCs w:val="18"/>
          <w:b w:val="1"/>
          <w:bCs w:val="1"/>
          <w:i w:val="1"/>
          <w:iCs w:val="1"/>
          <w:color w:val="auto"/>
        </w:rPr>
        <w:t>Governmental Permits</w:t>
      </w:r>
      <w:r>
        <w:rPr>
          <w:rFonts w:ascii="Times New Roman" w:cs="Times New Roman" w:eastAsia="Times New Roman" w:hAnsi="Times New Roman"/>
          <w:sz w:val="18"/>
          <w:szCs w:val="18"/>
          <w:color w:val="auto"/>
        </w:rPr>
        <w:t>”),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except where any revocation, modification, suspension, termination or invalidation (or proceedings related thereto) would not, individually or in the aggregate, reasonably be expected to have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material reports, documents, forms, notices, applications, records, claims, submissions and supplements or amendments were complete and accurate on the date filed in all material respects (or were materially corrected or supplemented by a subsequent submission), except where the failure to so file, obtain, maintain or submit, or such incompleteness or inaccuracy, would not reasonably be expected to have a Material Adverse Effect.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2" w:name="page13"/>
    <w:bookmarkEnd w:id="12"/>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Company Studies and Trials</w:t>
      </w:r>
      <w:r>
        <w:rPr>
          <w:rFonts w:ascii="Times New Roman" w:cs="Times New Roman" w:eastAsia="Times New Roman" w:hAnsi="Times New Roman"/>
          <w:sz w:val="18"/>
          <w:szCs w:val="18"/>
          <w:color w:val="auto"/>
        </w:rPr>
        <w:t>. The studies, tests and preclinical studies or clinical trials conducted by or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Subsidiaries that are described in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to the Company’s knowledge, in all material respects in accordance with applicable laws and regulations; the descriptions of the results of the Company Studies and Trials contained in the Registration Statement, the General Disclosure Package and the Prospectus are, to the Company’s knowledge, accurate in all material respects; except to the extent disclosed in the Registration Statement, the General Disclosure Package and the Prospectus, the Company has no knowledge of any other studies or trials not described in the Prospectus, the results of which materially call into question the results described or referred to in the Prospectus when viewed in the context in which such results are described and the clinical state of development; and except to the extent disclosed in the Registration Statement, the General Disclosure Package and the Prospectus, 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 Adverse Effect.</w:t>
      </w:r>
    </w:p>
    <w:p>
      <w:pPr>
        <w:spacing w:after="0" w:line="182"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(xxvii)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Relationships</w:t>
      </w:r>
      <w:r>
        <w:rPr>
          <w:rFonts w:ascii="Times New Roman" w:cs="Times New Roman" w:eastAsia="Times New Roman" w:hAnsi="Times New Roman"/>
          <w:sz w:val="18"/>
          <w:szCs w:val="18"/>
          <w:color w:val="auto"/>
        </w:rPr>
        <w:t>. There are no business relationships or related-party transactions involving the Company or any Subsidiary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required to be described in the Registration Statement, the General Disclosure Package or the Prospectus which have not been described as required.</w:t>
      </w:r>
    </w:p>
    <w:p>
      <w:pPr>
        <w:spacing w:after="0" w:line="171"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(xxviii)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Title to Property</w:t>
      </w:r>
      <w:r>
        <w:rPr>
          <w:rFonts w:ascii="Times New Roman" w:cs="Times New Roman" w:eastAsia="Times New Roman" w:hAnsi="Times New Roman"/>
          <w:sz w:val="18"/>
          <w:szCs w:val="18"/>
          <w:color w:val="auto"/>
        </w:rPr>
        <w:t>. The Company and its Subsidiaries do not own any real property and any material real property and buildings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under lease by the Company and its Subsidiaries is held by them under valid, subsisting and enforceable leases with such exceptions as are not material and do not materially interfere with the use made and proposed to be made of such property by the Company and its Subsidiaries. The Company and its Subsidiaries have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would not, individually or in the aggregate, reasonably be expected to have a Material Adverse Effect; and all of the leases and subleases material to the business of the Company and its Subsidiaries, considered as one enterprise, and under which the Company or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(xxix)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Title to Intellectual Property; Privacy and Data Protection</w:t>
      </w:r>
      <w:r>
        <w:rPr>
          <w:rFonts w:ascii="Times New Roman" w:cs="Times New Roman" w:eastAsia="Times New Roman" w:hAnsi="Times New Roman"/>
          <w:sz w:val="18"/>
          <w:szCs w:val="18"/>
          <w:color w:val="auto"/>
        </w:rPr>
        <w:t>. Except as disclosed in the Registration Statement,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Package or the Prospectus and except as would not individually or in the aggregate reasonably be expected to have a Material Adverse Effect, (i) the Company and each of its Subsidiaries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formulae, know how, Internet domain names and all other intellectual property (including trade secrets and other unpatented and/or unpatentable proprietary confidential information, systems, or procedures) and all rights associated with any of the foregoing in any jurisdiction ((A) and (B) collectively, “</w:t>
      </w:r>
      <w:r>
        <w:rPr>
          <w:rFonts w:ascii="Times New Roman" w:cs="Times New Roman" w:eastAsia="Times New Roman" w:hAnsi="Times New Roman"/>
          <w:sz w:val="18"/>
          <w:szCs w:val="18"/>
          <w:b w:val="1"/>
          <w:bCs w:val="1"/>
          <w:i w:val="1"/>
          <w:i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 Rights</w:t>
      </w:r>
      <w:r>
        <w:rPr>
          <w:rFonts w:ascii="Times New Roman" w:cs="Times New Roman" w:eastAsia="Times New Roman" w:hAnsi="Times New Roman"/>
          <w:sz w:val="18"/>
          <w:szCs w:val="18"/>
          <w:color w:val="auto"/>
        </w:rPr>
        <w:t>”) that are necessary to conduct their respective businesses as currently conducted, or otherwise used or held for use in,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as currently conducted, and as proposed to be conducted as described in the Registration Statement, the General Disclosure Package or the Prospectus, (ii) to the Company’s knowledge, the Company’s and its respective Subsidiaries’ businesses as now conducted and as proposed to be conducted as described in the Registration Statement, the General Disclosure Package or the Prospectus do not and will not give rise to any infringement of, 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 w:name="page14"/>
    <w:bookmarkEnd w:id="13"/>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misappropriation of, or other violation of, any valid and enforceable Intellectual Property Rights of any other Person, and neither the Company nor any of its respective Subsidiaries has in the past 3 years infringed, misappropriated, or otherwise violated, any Intellectual Property Rights of any other Person, and the Intellectual Property of the Company has not been adjudged by a court of competent jurisdiction to be invalid or unenforceable, in whole or in part, and the Company is unaware of any facts which would form a reasonable basis for any such adjudication by a court of competent jurisdiction that any Intellectual Property Rights of the Company in the United States are invalid or unenforceable or in the case of any Intellectual Property Rights in territories outside the United States would be wholly invalid or unenforceable, (iii) there are no third parties who have any rights to the Intellectual Property Rights described in the Registration Statement, the General Disclosure Package or the Prospectus as being owned by or exclusively licensed to the Company or any of its Subsidiaries (collectively, and together with all other Intellectual Property Rights owned by the Company or exclusively licensed to the Company or any of its Subsidiaries, the “</w:t>
      </w:r>
      <w:r>
        <w:rPr>
          <w:rFonts w:ascii="Times New Roman" w:cs="Times New Roman" w:eastAsia="Times New Roman" w:hAnsi="Times New Roman"/>
          <w:sz w:val="18"/>
          <w:szCs w:val="18"/>
          <w:b w:val="1"/>
          <w:bCs w:val="1"/>
          <w:i w:val="1"/>
          <w:iCs w:val="1"/>
          <w:color w:val="auto"/>
        </w:rPr>
        <w:t>Company Intellectual Property Rights</w:t>
      </w:r>
      <w:r>
        <w:rPr>
          <w:rFonts w:ascii="Times New Roman" w:cs="Times New Roman" w:eastAsia="Times New Roman" w:hAnsi="Times New Roman"/>
          <w:sz w:val="18"/>
          <w:szCs w:val="18"/>
          <w:color w:val="auto"/>
        </w:rPr>
        <w:t>”), including no liens, security interests, or other encumbrances, except for customary reversionary rights of third-party licensors with respect to Intellectual Property Rights that are disclosed as licensed to the Company or one or more of its Subsidiaries and non-exclusive licenses of Intellectual Property Rights granted by the Company or its Subsidiaries in the ordinary course of business, (iv) to the Company’s knowledge, there is no infringement, misappropriation or other violation by third parties of any Company Owned IP (as defined below), (v) there is no pending, and neither the Company nor or any of its Subsidiaries has received written notice of any threatened, action, suit, proceeding, or claim against the Company or any of its Subsidiaries (A) alleging the infringement, misappropriation or other violation, or the infringement, misappropriation or other violation upon commercialization of any product or service described in the Registration Statement, the General Disclosure Package or the Prospectus as under development, by the Company or any of its Subsidiaries of any Intellectual Property Right of any Person; or (B) challenging the ownership, validity, enforceability, patentability or scope of any Company Intellectual Property Rights or other Intellectual Property Rights owned by, or to the Company’s knowledge, exclusively licensed to, the Company or any of its Subsidiaries (collectively, “</w:t>
      </w:r>
      <w:r>
        <w:rPr>
          <w:rFonts w:ascii="Times New Roman" w:cs="Times New Roman" w:eastAsia="Times New Roman" w:hAnsi="Times New Roman"/>
          <w:sz w:val="18"/>
          <w:szCs w:val="18"/>
          <w:b w:val="1"/>
          <w:bCs w:val="1"/>
          <w:i w:val="1"/>
          <w:iCs w:val="1"/>
          <w:color w:val="auto"/>
        </w:rPr>
        <w:t>Company Owned IP</w:t>
      </w:r>
      <w:r>
        <w:rPr>
          <w:rFonts w:ascii="Times New Roman" w:cs="Times New Roman" w:eastAsia="Times New Roman" w:hAnsi="Times New Roman"/>
          <w:sz w:val="18"/>
          <w:szCs w:val="18"/>
          <w:color w:val="auto"/>
        </w:rPr>
        <w:t>”), or to the Company’s knowledge, exclusively licensed to, the Company or any of its Subsidiaries, including no interferences, oppositions, reexaminations, or government proceedings, and the Company is unaware of any facts which would form a reasonable basis for any such action, suit, proceeding, or claim, (vi) the Company and its Subsidiaries maintain commercially reasonable policies and procedures designed to protect the security, integrity and privacy of personally identifiable information (“</w:t>
      </w:r>
      <w:r>
        <w:rPr>
          <w:rFonts w:ascii="Times New Roman" w:cs="Times New Roman" w:eastAsia="Times New Roman" w:hAnsi="Times New Roman"/>
          <w:sz w:val="18"/>
          <w:szCs w:val="18"/>
          <w:b w:val="1"/>
          <w:bCs w:val="1"/>
          <w:i w:val="1"/>
          <w:iCs w:val="1"/>
          <w:color w:val="auto"/>
        </w:rPr>
        <w:t>Protected Information</w:t>
      </w:r>
      <w:r>
        <w:rPr>
          <w:rFonts w:ascii="Times New Roman" w:cs="Times New Roman" w:eastAsia="Times New Roman" w:hAnsi="Times New Roman"/>
          <w:sz w:val="18"/>
          <w:szCs w:val="18"/>
          <w:color w:val="auto"/>
        </w:rPr>
        <w:t>”), as defined under any applicable law and have taken all reasonable steps to protect, maintain and safeguard the confidentiality of any confidential Company Owned IP, including the execution of appropriate nondisclosure, confidentiality agreements and invention assignments with their employees, (vii) the Company and its Subsidiaries are presently and were in the past 3 years at all times in compliance in all material respects with all applicable U.S. and/or non-U.S. laws relating to privacy, data protection, data security, or the collection and use of personal information collected, used, or held for use by the Company or any of its Subsidiaries, or on behalf of the Company or any of its subsidiaries, in the conduct of their respective businesses there has been no unauthorized access to, or any unauthorized use, disclosure, losses or theft of, or security breaches relating to, any Protected Information received, or transmitted, by, on behalf of, or in the possession, custody or control of the Company or any of its Subsidiaries, (viii) no claims have been asserted or threatened in writing against the Company or any of its Subsidiaries alleging a violation of any person’s privacy or personal information or data rights,</w:t>
      </w:r>
    </w:p>
    <w:p>
      <w:pPr>
        <w:spacing w:after="0" w:line="4" w:lineRule="exact"/>
        <w:rPr>
          <w:sz w:val="20"/>
          <w:szCs w:val="20"/>
          <w:color w:val="auto"/>
        </w:rPr>
      </w:pPr>
    </w:p>
    <w:p>
      <w:pPr>
        <w:ind w:left="4" w:hanging="4"/>
        <w:spacing w:after="0" w:line="251"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solely owns all right, title and interest in and to all Intellectual Property Rights created or otherwise developed by any present or former employee, consultant or contractor of the Company or any of its Subsidiaries in the course of his, her, or its employment or other relationship with the Company or such Subsidiaries, free of any restrictions on the use or ownership of such Intellectual Property Rights, (x) the Company Owned IP is subsisting, in full force and effect, is being duly maintained, and, to the Company’s knowledge, if issued or registered, is valid and enforceable or contains valid and enforceable claims, (xi)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(xii)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Patents and Patent Applications</w:t>
      </w:r>
      <w:r>
        <w:rPr>
          <w:rFonts w:ascii="Times New Roman" w:cs="Times New Roman" w:eastAsia="Times New Roman" w:hAnsi="Times New Roman"/>
          <w:sz w:val="18"/>
          <w:szCs w:val="18"/>
          <w:color w:val="auto"/>
        </w:rPr>
        <w:t>. All patents and patent applications owned by or licensed to the Company or under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rights have, to the knowledge of the Company, been duly and properly filed and maintained; to the knowledge of the Company, the parties prosecuting such patent applications have complied or will comply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w:t>
      </w:r>
      <w:r>
        <w:rPr>
          <w:rFonts w:ascii="Times New Roman" w:cs="Times New Roman" w:eastAsia="Times New Roman" w:hAnsi="Times New Roman"/>
          <w:sz w:val="18"/>
          <w:szCs w:val="18"/>
          <w:b w:val="1"/>
          <w:bCs w:val="1"/>
          <w:i w:val="1"/>
          <w:iCs w:val="1"/>
          <w:color w:val="auto"/>
        </w:rPr>
        <w:t>Company Patent Rights</w:t>
      </w:r>
      <w:r>
        <w:rPr>
          <w:rFonts w:ascii="Times New Roman" w:cs="Times New Roman" w:eastAsia="Times New Roman" w:hAnsi="Times New Roman"/>
          <w:sz w:val="18"/>
          <w:szCs w:val="18"/>
          <w:color w:val="auto"/>
        </w:rPr>
        <w:t>”) and all patents and patent applications in-licensed by the Company and filed with the USPTO or any foreign or international patent authority (the “</w:t>
      </w:r>
      <w:r>
        <w:rPr>
          <w:rFonts w:ascii="Times New Roman" w:cs="Times New Roman" w:eastAsia="Times New Roman" w:hAnsi="Times New Roman"/>
          <w:sz w:val="18"/>
          <w:szCs w:val="18"/>
          <w:b w:val="1"/>
          <w:bCs w:val="1"/>
          <w:i w:val="1"/>
          <w:iCs w:val="1"/>
          <w:color w:val="auto"/>
        </w:rPr>
        <w:t>In-licensed Patent Rights</w:t>
      </w:r>
      <w:r>
        <w:rPr>
          <w:rFonts w:ascii="Times New Roman" w:cs="Times New Roman" w:eastAsia="Times New Roman" w:hAnsi="Times New Roman"/>
          <w:sz w:val="18"/>
          <w:szCs w:val="18"/>
          <w:color w:val="auto"/>
        </w:rPr>
        <w:t>”) have been duly and properly filed; the Company believes it has complied or will comply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(xxxi)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FDA Compliance</w:t>
      </w:r>
      <w:r>
        <w:rPr>
          <w:rFonts w:ascii="Times New Roman" w:cs="Times New Roman" w:eastAsia="Times New Roman" w:hAnsi="Times New Roman"/>
          <w:sz w:val="18"/>
          <w:szCs w:val="18"/>
          <w:color w:val="auto"/>
        </w:rPr>
        <w:t>. Except as described in the Registration Statement, the General Disclosure Package and the Prospectus,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(A) is and at all times has been in material compliance with all statutes, rules or regulations of the FDA and other comparable Governmental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Entities applicable to the ownership, testing, development, manufacture, packaging, processing, use, distribution, marketing, labeling, promotion, sale,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 for sale, storage, import, export or disposal of any product under development, manufactured or distributed by the Company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hanging="4"/>
        <w:spacing w:after="0" w:line="251"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any FDA Form 483, notice of adverse finding, warning letter, untitled letter or other correspondence or notice from the FDA or any Governmental Entity alleging or asserting material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(C) possesses all material Authorizations and such Authorizations are valid and in full force and effect and the Company is not in material violation of any term of any such Authorizations; (D) has not received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Governmental Entity or third party is considering any such claim, litigation, arbitration, action, suit, investigation or proceeding; (E) has not received notice that the FDA or any Governmental Entity has taken, is taking or intends to take action to limit, suspend, modify or revoke any material Authorizations and has no knowledge that the FDA or any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188"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(xxxii)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Health Care Laws</w:t>
      </w:r>
      <w:r>
        <w:rPr>
          <w:rFonts w:ascii="Times New Roman" w:cs="Times New Roman" w:eastAsia="Times New Roman" w:hAnsi="Times New Roman"/>
          <w:sz w:val="18"/>
          <w:szCs w:val="18"/>
          <w:color w:val="auto"/>
        </w:rPr>
        <w:t>. The Company has operated and currently is in material compliance with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laws, rules and regulations, including, without limitation, (i) the Federal, Food, Drug and Cosmetic Act (21 U.S.C. §§ 301 et seq.) and Public Health Service Act (42 U.S.C. §§ 262 et seq.); (ii) all applicable federal, state, local and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(42 U.S.C. Section 1320d et seq.), the exclusions law (42 U.S.C. § 1320a-7), and the civil monetary penalties law (42 U.S.C. § 1320a-7a); (iii) HIPAA, as amended by the Health Information Technology for Economic Clinical Health Act (42 U.S.C. Section 17921 et seq.); (iv) Medicare (Title XVIII</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5" w:name="page16"/>
    <w:bookmarkEnd w:id="1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Social Security Act); (v) Medicaid (Title XIX of the Social Security Act); (vi) the Patient Protection and Affordable Care Act (Pub. Law 111-148), as amended by the Health Care and Education Affordability Reconciliation Act of 2010 (Pub. Law 111-152); (vii) the regulations promulgated pursuant to such laws; and (viii) any other local, state, federal, or foreign health care laws applicable to the Company, including those relating to the ownership, testing, development, manufacture, packaging, processing, use, distribution, marketing, advertising, labeling, promotion, sale, offer for sale, storage, import, export or disposal of any product manufactured or distributed by or for the Company (collectively, the “</w:t>
      </w:r>
      <w:r>
        <w:rPr>
          <w:rFonts w:ascii="Times New Roman" w:cs="Times New Roman" w:eastAsia="Times New Roman" w:hAnsi="Times New Roman"/>
          <w:sz w:val="18"/>
          <w:szCs w:val="18"/>
          <w:b w:val="1"/>
          <w:bCs w:val="1"/>
          <w:i w:val="1"/>
          <w:iCs w:val="1"/>
          <w:color w:val="auto"/>
        </w:rPr>
        <w:t>Health Care Laws</w:t>
      </w:r>
      <w:r>
        <w:rPr>
          <w:rFonts w:ascii="Times New Roman" w:cs="Times New Roman" w:eastAsia="Times New Roman" w:hAnsi="Times New Roman"/>
          <w:sz w:val="18"/>
          <w:szCs w:val="18"/>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any of its employees, officers, directors or, to the Company’s knowledge, its agents, has been excluded, suspended or debarred from participation in any U.S. state or federal health care program or human clinical research or is subject to a governmental inquiry, investigation, proceeding, or other similar action that could reasonably be expected to result in debarment, suspension, or exclusion.</w:t>
      </w:r>
    </w:p>
    <w:p>
      <w:pPr>
        <w:spacing w:after="0" w:line="191"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(xxxiii)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Environmental Laws</w:t>
      </w:r>
      <w:r>
        <w:rPr>
          <w:rFonts w:ascii="Times New Roman" w:cs="Times New Roman" w:eastAsia="Times New Roman" w:hAnsi="Times New Roman"/>
          <w:sz w:val="18"/>
          <w:szCs w:val="18"/>
          <w:color w:val="auto"/>
        </w:rPr>
        <w:t>. Except as described in the Registration Statement, the General Disclosure Package and the Prospectus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not, singly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i w:val="1"/>
          <w:i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185" w:lineRule="exact"/>
        <w:rPr>
          <w:sz w:val="20"/>
          <w:szCs w:val="20"/>
          <w:color w:val="auto"/>
        </w:rPr>
      </w:pPr>
    </w:p>
    <w:p>
      <w:pPr>
        <w:ind w:left="4" w:right="120"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(xxxiv)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Accounting Controls and Disclosure Controls</w:t>
      </w:r>
      <w:r>
        <w:rPr>
          <w:rFonts w:ascii="Times New Roman" w:cs="Times New Roman" w:eastAsia="Times New Roman" w:hAnsi="Times New Roman"/>
          <w:sz w:val="17"/>
          <w:szCs w:val="17"/>
          <w:color w:val="auto"/>
        </w:rPr>
        <w:t>. The Company and its Subsidiaries make and keep accurate books and records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maintain effective internal control over financial reporting (as defined under Rule 13a-15 and 15d-15 under the 1934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spacing w:after="0" w:line="4" w:lineRule="exact"/>
        <w:rPr>
          <w:sz w:val="20"/>
          <w:szCs w:val="20"/>
          <w:color w:val="auto"/>
        </w:rPr>
      </w:pPr>
    </w:p>
    <w:p>
      <w:pPr>
        <w:ind w:left="4" w:right="120" w:hanging="4"/>
        <w:spacing w:after="0" w:line="255" w:lineRule="auto"/>
        <w:tabs>
          <w:tab w:leader="none" w:pos="2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 Except as described in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maintains disclosure controls and procedures (as defined in Rule 13a-15 and Rule 15d-15 under the 1934 Act)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(xxxv)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Payment of Taxes</w:t>
      </w:r>
      <w:r>
        <w:rPr>
          <w:rFonts w:ascii="Times New Roman" w:cs="Times New Roman" w:eastAsia="Times New Roman" w:hAnsi="Times New Roman"/>
          <w:sz w:val="18"/>
          <w:szCs w:val="18"/>
          <w:color w:val="auto"/>
        </w:rPr>
        <w:t>. All tax returns of the Company and its Subsidiaries required by law to be filed have been timely filed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account any properly requested extensions which have been obtained) pursuant to applicable U.S. or non-U.S. (including United Kingdom), state, local or other law (and were when filed, and remain, complete and correct), except insofar as the failure to file such tax returns would not, individually or in the aggregate, reasonably be expected to result in a Material Adverse Effect. The Company and its Subsidiaries have timely paid all taxes required to be paid by any of them and, if due and payable, any related or similar assessment, fine or penalty levied against any of them, except (i) as are being contested in good faith and as to which adequate reserves have been established by the Company or its Subsidiary (as applicable) in conformity with GAAP or (ii) insofar as the failure to pay would not, individually or in the aggregate, reasonably be expected to result in a Material Adverse Effect. The Company and its Subsidiaries do not have any tax deficiencies or claims outstanding or assessed or, to the Company’s knowledge, proposed against them except as would not, individually or in the aggregate, reasonably be expected to result in a Material Adverse Effect. The charges, accruals and reserves on the books of the Company in respect of any tax liability for any years not finally determined are, in conformity with GAAP, adequate to meet any assessments or re-assessments for additional tax for any years not finally determined, except to the extent of any inadequacy that would not, individually or in the aggregate, reasonably be expected to result in a Material Adverse Effect.</w:t>
      </w:r>
    </w:p>
    <w:p>
      <w:pPr>
        <w:spacing w:after="0" w:line="19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(xxxvi)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Insurance</w:t>
      </w:r>
      <w:r>
        <w:rPr>
          <w:rFonts w:ascii="Times New Roman" w:cs="Times New Roman" w:eastAsia="Times New Roman" w:hAnsi="Times New Roman"/>
          <w:sz w:val="18"/>
          <w:szCs w:val="18"/>
          <w:color w:val="auto"/>
        </w:rPr>
        <w:t>. Except as disclosed in the Registration Statement, the General Disclosure Package or the Prospectus,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 carry or are entitled to the benefits of insurance, with financially sound and reputable insurers, in such amounts and covering such risks as is generally maintained by companies of established repute and similar size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w:t>
      </w:r>
    </w:p>
    <w:p>
      <w:pPr>
        <w:spacing w:after="0" w:line="183"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(xxxvii)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Investment Company Act</w:t>
      </w:r>
      <w:r>
        <w:rPr>
          <w:rFonts w:ascii="Times New Roman" w:cs="Times New Roman" w:eastAsia="Times New Roman" w:hAnsi="Times New Roman"/>
          <w:sz w:val="18"/>
          <w:szCs w:val="18"/>
          <w:color w:val="auto"/>
        </w:rPr>
        <w:t>. The Company is not required, and upon the allotment and issuance of the Underlying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with the Custodian or its nominee of the Underlying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(xxxviii)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Absence of Manipulation</w:t>
      </w:r>
      <w:r>
        <w:rPr>
          <w:rFonts w:ascii="Times New Roman" w:cs="Times New Roman" w:eastAsia="Times New Roman" w:hAnsi="Times New Roman"/>
          <w:sz w:val="18"/>
          <w:szCs w:val="18"/>
          <w:color w:val="auto"/>
        </w:rPr>
        <w:t>. Neither the Company nor, to the Company’s knowledge, any Affiliate (as used herein,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405 of the 1933 Act Regulations)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Offered Securities or to result in a violation of Regulation M under the 1934 Act (“</w:t>
      </w:r>
      <w:r>
        <w:rPr>
          <w:rFonts w:ascii="Times New Roman" w:cs="Times New Roman" w:eastAsia="Times New Roman" w:hAnsi="Times New Roman"/>
          <w:sz w:val="18"/>
          <w:szCs w:val="18"/>
          <w:b w:val="1"/>
          <w:bCs w:val="1"/>
          <w:i w:val="1"/>
          <w:iCs w:val="1"/>
          <w:color w:val="auto"/>
        </w:rPr>
        <w:t>Regulation M</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Neither the Company, nor any of its Subsidiaries, nor any person acting on its or their behalf (save for the Underwriters, in respect of whom no representation is provided) will take, directly or indirectly, any action designed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or to result in, or that has constituted or that might reasonably be expected to cause or result in, the stabilization of the Offered Securities in violation of applicable European Union or English laws or manipulation of the price of any security of the Company to facilitate the sale or resale of the Offered Securities.</w:t>
      </w:r>
    </w:p>
    <w:p>
      <w:pPr>
        <w:spacing w:after="0" w:line="17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(xxxix)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Anti-Corruption Laws</w:t>
      </w:r>
      <w:r>
        <w:rPr>
          <w:rFonts w:ascii="Times New Roman" w:cs="Times New Roman" w:eastAsia="Times New Roman" w:hAnsi="Times New Roman"/>
          <w:sz w:val="18"/>
          <w:szCs w:val="18"/>
          <w:color w:val="auto"/>
        </w:rPr>
        <w:t>. None of the Company, its Subsidiaries or to the knowledge of the Company, any director, officer,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Affiliate or other person acting on behalf of the Company or its Subsidiaries (i) has used any corporate funds for any unlawful contribution, gift, entertainment, or other unlawful expense relating to political activity; (ii) is aware of or has taken any action, directly or indirectly, in furtherance of an offer, payment, promise to pay or authorization of the payment of any money, or other property, gift, promise to give, or authorization of the giving of anything of value to any foreign or domestic government official or employee, including of any government-owned or controlled entity or public international organization, or any political party or official thereof, or any candidate for political office; (iii) has violated or is in violation of the U.S. Foreign Corrupt Practices Act of 1977, as amended, and the rules and regulations thereunder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the UK Bribery Act 2010, or any other applicable anti-bribery or anti-corruption law; and (iv) made, offered, authorized, requested, or taken an act in furtherance of any unlawful bribe, rebate, payoff, influence payment, kickback or other unlawful payment or benefit. The Company and its subsidiaries have conducted their business in compliance with applicable anti-corruption laws and have instituted and maintain policies and procedures designed to ensure, and which are reasonably expected to continue to ensure, continued compliance therewith.</w:t>
      </w:r>
    </w:p>
    <w:p>
      <w:pPr>
        <w:spacing w:after="0" w:line="182"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(xl)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its Subsidiaries with respect to the Money Laundering Laws is pending or, to the knowledge of the Company, threatened.</w:t>
      </w:r>
    </w:p>
    <w:p>
      <w:pPr>
        <w:spacing w:after="0" w:line="182"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(xli)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Sanctions</w:t>
      </w:r>
      <w:r>
        <w:rPr>
          <w:rFonts w:ascii="Times New Roman" w:cs="Times New Roman" w:eastAsia="Times New Roman" w:hAnsi="Times New Roman"/>
          <w:sz w:val="18"/>
          <w:szCs w:val="18"/>
          <w:color w:val="auto"/>
        </w:rPr>
        <w:t>. None of the Company, its Subsidiaries or to the knowledge of the Company, any director, officer, agent,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representative is a Person that is currently the subject or target of any sanctions administered or enforced by the United States Government (including, without limitation, the U.S. Department of the Treasury’s Office of Foreign Assets Control, or the U.S. Department of State),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and the Company will not directly or indirectly use the proceeds of the sale of the Securities, or lend, contribute or otherwise make available such proceeds to any Subsidiary, joint venture partners or other Person, to fund any activities of or business with any Person, or in any country or territory, that, at the time of such funding, is the subject or target of Sanctions or in any other manner that will result in a violation by any Person (including any Person participating in the transaction, whether as agent, advisor, investor or otherwise) of Sanctions. For the past five years, the Company and its subsidiaries have not knowingly engaged in and are not now knowingly engaged in any dealings or transactions with any Person, or with any country or territory, that at the time of the dealing or transaction is or was the subject or target of Sanctions.</w:t>
      </w:r>
    </w:p>
    <w:p>
      <w:pPr>
        <w:spacing w:after="0" w:line="190"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(xlii)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Lending Relationship</w:t>
      </w:r>
      <w:r>
        <w:rPr>
          <w:rFonts w:ascii="Times New Roman" w:cs="Times New Roman" w:eastAsia="Times New Roman" w:hAnsi="Times New Roman"/>
          <w:sz w:val="18"/>
          <w:szCs w:val="18"/>
          <w:color w:val="auto"/>
        </w:rPr>
        <w:t>. Except as disclosed in the Registration Statement, the General Disclosure Package and the Prospectus,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does not have any material lending or other material relationship with any banking or lending Affiliate of the Underwriters and (ii) does not intend to use any of the proceeds from the sale of the Offered Securities to repay any outstanding debt owed to any Affiliate of any Underwriters.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(xliii)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71"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(xliv)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Rated Securities</w:t>
      </w:r>
      <w:r>
        <w:rPr>
          <w:rFonts w:ascii="Times New Roman" w:cs="Times New Roman" w:eastAsia="Times New Roman" w:hAnsi="Times New Roman"/>
          <w:sz w:val="18"/>
          <w:szCs w:val="18"/>
          <w:color w:val="auto"/>
        </w:rPr>
        <w:t>. The Company has no debt securities or preferred stock that is rated by any “nationally recognized statistical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rating organization” (as that term is defined by the Commission for purposes of Rule 436(g)(2) under the Securities Act).</w:t>
      </w:r>
    </w:p>
    <w:p>
      <w:pPr>
        <w:spacing w:after="0" w:line="15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b w:val="1"/>
          <w:bCs w:val="1"/>
          <w:color w:val="auto"/>
        </w:rPr>
        <w:t>(xlv)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Privacy and Data Protection</w:t>
      </w:r>
      <w:r>
        <w:rPr>
          <w:rFonts w:ascii="Times New Roman" w:cs="Times New Roman" w:eastAsia="Times New Roman" w:hAnsi="Times New Roman"/>
          <w:sz w:val="18"/>
          <w:szCs w:val="18"/>
          <w:color w:val="auto"/>
        </w:rPr>
        <w:t>. The Company and its Subsidiaries have operated their business in a manner compliant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Privacy Laws, and the Company and its subsidiaries have taken commercially reasonable actions to prepare to comply with, and since May 25, 2018, have been and currently are compliant in all material aspects with,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 including the GDPR as it forms part of United Kingdom law by virtue of section 3 of the European Union (Withdrawal) Act 2018. The Company and its Subsidiaries have been and are in compliance in all material respects with internal policies and procedures designed to ensure the integrity, availability and security of the data collected, handled, stored or otherwise processed in connection with its business and with all external privacy policies and notices, and all such notices have been legally adequate and accurate; the Company and its Subsidiaries have been and are in compliance in all material respects with internal policies and procedures designed to ensure compliance with the Privacy Laws and Health Care Laws that govern privacy and data security and take, and have taken, commercially reasonable steps designed to assure compliance with such policies and procedures. The Company, its Subsidiaries, and, to the their knowledge, any third parties processing information on behalf of the Company have taken commercially reasonable steps to maintain the confidentiality of its Personal Information, protected health information, consumer information and other confidential information of the Company, its Subsidiaries and any third parties in its possession or control (collectively, “</w:t>
      </w:r>
      <w:r>
        <w:rPr>
          <w:rFonts w:ascii="Times New Roman" w:cs="Times New Roman" w:eastAsia="Times New Roman" w:hAnsi="Times New Roman"/>
          <w:sz w:val="18"/>
          <w:szCs w:val="18"/>
          <w:b w:val="1"/>
          <w:bCs w:val="1"/>
          <w:i w:val="1"/>
          <w:iCs w:val="1"/>
          <w:color w:val="auto"/>
        </w:rPr>
        <w:t>Sensitive Company Data</w:t>
      </w:r>
      <w:r>
        <w:rPr>
          <w:rFonts w:ascii="Times New Roman" w:cs="Times New Roman" w:eastAsia="Times New Roman" w:hAnsi="Times New Roman"/>
          <w:sz w:val="18"/>
          <w:szCs w:val="18"/>
          <w:color w:val="auto"/>
        </w:rPr>
        <w:t>”). The Company and its Subsidiaries have contractually obligated all third parties that process Sensitive Company Data on their behalf to data protection obligations that comply with applicable Privacy Laws, including (i) to comply with applicable Privacy Laws, (ii) to take reasonable steps to protect and security Sensitive Company Data, and (iii) to act only in accordance with the instructions of the Company.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w:t>
      </w:r>
      <w:r>
        <w:rPr>
          <w:rFonts w:ascii="Times New Roman" w:cs="Times New Roman" w:eastAsia="Times New Roman" w:hAnsi="Times New Roman"/>
          <w:sz w:val="18"/>
          <w:szCs w:val="18"/>
          <w:b w:val="1"/>
          <w:bCs w:val="1"/>
          <w:i w:val="1"/>
          <w:iCs w:val="1"/>
          <w:color w:val="auto"/>
        </w:rPr>
        <w:t>Company IT Assets</w:t>
      </w:r>
      <w:r>
        <w:rPr>
          <w:rFonts w:ascii="Times New Roman" w:cs="Times New Roman" w:eastAsia="Times New Roman" w:hAnsi="Times New Roman"/>
          <w:sz w:val="18"/>
          <w:szCs w:val="18"/>
          <w:color w:val="auto"/>
        </w:rPr>
        <w:t>”) are adequate and operational for, in accordance with their documentation and functional specifications, the business of the Company and its Subsidiaries as now operated and as currently proposed to be conducted as described in the Registration Statement, the General Disclosure Package and the Prospectus. The Company, its Subsidiaries, and, to the their knowledge, any third-parties processing information on behalf of the Company have used commercially reasonable efforts to establish, and have established, commercially reasonable disaster recovery and security plans, procedures and facilities for the business consistent with industry standards and practices in all material respects, including, without limitation, for the Company IT Assets and data held or used by or for the Company and its Subsidiaries. The Company and its Subsidiaries have not suffered or incurred any security breaches, compromises or incidents with respect to any Company IT Asset, except where such breaches, compromises or incidents would not reasonably be expected to, singly or in the aggregate, result in a Material Adverse Effect; and, there has been no unauthorized or illegal use of or access to any Company IT Asset by any unauthorized third party. The Company and its Subsidiaries have not been required to notify any individual, regulator or other third party of any information security breach, compromise or incident involving Sensitive Company Data.</w:t>
      </w:r>
    </w:p>
    <w:p>
      <w:pPr>
        <w:spacing w:after="0" w:line="203"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(xlvi)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Broker Fees</w:t>
      </w:r>
      <w:r>
        <w:rPr>
          <w:rFonts w:ascii="Times New Roman" w:cs="Times New Roman" w:eastAsia="Times New Roman" w:hAnsi="Times New Roman"/>
          <w:sz w:val="18"/>
          <w:szCs w:val="18"/>
          <w:color w:val="auto"/>
        </w:rPr>
        <w:t>. Except as disclosed in the General Disclosure Package and the Prospectus, there are no contracts,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understandings between the Company and any Person that would give rise to a valid claim against the Company or the Agent for a brokerage commission, finder’s fee or other like payment in connection with the offering of the Securities contemplated hereby.</w:t>
      </w:r>
    </w:p>
    <w:p>
      <w:pPr>
        <w:spacing w:after="0" w:line="1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(xlvii)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Valid Choice of Laws</w:t>
      </w:r>
      <w:r>
        <w:rPr>
          <w:rFonts w:ascii="Times New Roman" w:cs="Times New Roman" w:eastAsia="Times New Roman" w:hAnsi="Times New Roman"/>
          <w:sz w:val="18"/>
          <w:szCs w:val="18"/>
          <w:color w:val="auto"/>
        </w:rPr>
        <w:t>. The choice of the laws of the State of New York as the governing law of this Agreement is a valid choice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 under the laws of England and Wales and will be recognized by courts in England and Wales except as may be limited by general principles of equity and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where to do so would be inconsistent with or overridden by the Regulation (EC) No 593/2008 on the Law Applicable to Contractual Obligations (Rome I) (as it forms part of English domestic law pursuant to European Union (Withdrawal) Act 2018). The Company has the corporate power to submit, and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this Agreement, has legally, validly, effectively and irrevocably submitted, to the personal jurisdiction of each New York State and United States federal court sitting in The City of New York, New York (each, a “</w:t>
      </w:r>
      <w:r>
        <w:rPr>
          <w:rFonts w:ascii="Times New Roman" w:cs="Times New Roman" w:eastAsia="Times New Roman" w:hAnsi="Times New Roman"/>
          <w:sz w:val="18"/>
          <w:szCs w:val="18"/>
          <w:b w:val="1"/>
          <w:bCs w:val="1"/>
          <w:i w:val="1"/>
          <w:iCs w:val="1"/>
          <w:color w:val="auto"/>
        </w:rPr>
        <w:t>New York Court</w:t>
      </w:r>
      <w:r>
        <w:rPr>
          <w:rFonts w:ascii="Times New Roman" w:cs="Times New Roman" w:eastAsia="Times New Roman" w:hAnsi="Times New Roman"/>
          <w:sz w:val="18"/>
          <w:szCs w:val="18"/>
          <w:color w:val="auto"/>
        </w:rPr>
        <w: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General Disclosure Package, the Prospectus or the offering of the Offered Securities in any New York Court and service of process effected on such authorized agent will be effective to notify the Company of any action under this Agreement.</w:t>
      </w:r>
    </w:p>
    <w:p>
      <w:pPr>
        <w:spacing w:after="0" w:line="188"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(xlviii)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Sovereign Immunity</w:t>
      </w:r>
      <w:r>
        <w:rPr>
          <w:rFonts w:ascii="Times New Roman" w:cs="Times New Roman" w:eastAsia="Times New Roman" w:hAnsi="Times New Roman"/>
          <w:sz w:val="18"/>
          <w:szCs w:val="18"/>
          <w:color w:val="auto"/>
        </w:rPr>
        <w:t>. Neither the Company nor any of its Subsidiaries nor any of their respective properties,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Offered Securities.</w:t>
      </w:r>
    </w:p>
    <w:p>
      <w:pPr>
        <w:spacing w:after="0" w:line="176"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(xlix)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Proper Form</w:t>
      </w:r>
      <w:r>
        <w:rPr>
          <w:rFonts w:ascii="Times New Roman" w:cs="Times New Roman" w:eastAsia="Times New Roman" w:hAnsi="Times New Roman"/>
          <w:sz w:val="18"/>
          <w:szCs w:val="18"/>
          <w:color w:val="auto"/>
        </w:rPr>
        <w:t>. This Agreement and the Deposit Agreement are each in proper form to be enforceable in England and Wales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Enforceability of Judgment</w:t>
      </w:r>
      <w:r>
        <w:rPr>
          <w:rFonts w:ascii="Times New Roman" w:cs="Times New Roman" w:eastAsia="Times New Roman" w:hAnsi="Times New Roman"/>
          <w:sz w:val="18"/>
          <w:szCs w:val="18"/>
          <w:color w:val="auto"/>
        </w:rPr>
        <w:t>. Any final judgment for a fixed or readily calculable sum of money rendered by a New York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generally be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w:t>
      </w:r>
    </w:p>
    <w:p>
      <w:pPr>
        <w:spacing w:after="0" w:line="193"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Immunity from Suit</w:t>
      </w:r>
      <w:r>
        <w:rPr>
          <w:rFonts w:ascii="Times New Roman" w:cs="Times New Roman" w:eastAsia="Times New Roman" w:hAnsi="Times New Roman"/>
          <w:sz w:val="18"/>
          <w:szCs w:val="18"/>
          <w:color w:val="auto"/>
        </w:rPr>
        <w:t>. Except as provided by laws or statutes generally applicable to transactions of the type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this Agreement.</w:t>
      </w:r>
    </w:p>
    <w:p>
      <w:pPr>
        <w:spacing w:after="0" w:line="183" w:lineRule="exact"/>
        <w:rPr>
          <w:sz w:val="20"/>
          <w:szCs w:val="20"/>
          <w:color w:val="auto"/>
        </w:rPr>
      </w:pPr>
    </w:p>
    <w:p>
      <w:pPr>
        <w:jc w:val="both"/>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(lii)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Parties to Lock-Up Agreements</w:t>
      </w:r>
      <w:r>
        <w:rPr>
          <w:rFonts w:ascii="Times New Roman" w:cs="Times New Roman" w:eastAsia="Times New Roman" w:hAnsi="Times New Roman"/>
          <w:sz w:val="18"/>
          <w:szCs w:val="18"/>
          <w:color w:val="auto"/>
        </w:rPr>
        <w:t>. The Company has furnished to the Underwriters a letter agreement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from each of its directors and executive officers and certain shareholders. If any additional persons shall become directors or executive officers of the Company prior to the end of the 60 day period from the date of the Prospectus, the Company shall cause each such person, prior to or contemporaneously with their appointment or election as a director or executive officer of the Company, to execute and deliver to the Representatives a Lock-up Agreement.</w:t>
      </w:r>
    </w:p>
    <w:p>
      <w:pPr>
        <w:spacing w:after="0" w:line="179"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(liii)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PFIC Status</w:t>
      </w:r>
      <w:r>
        <w:rPr>
          <w:rFonts w:ascii="Times New Roman" w:cs="Times New Roman" w:eastAsia="Times New Roman" w:hAnsi="Times New Roman"/>
          <w:sz w:val="18"/>
          <w:szCs w:val="18"/>
          <w:color w:val="auto"/>
        </w:rPr>
        <w:t>. The Company does not believe it was a “passive foreign investment company,” or PFIC, for U.S. federal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as defined in Section 1297 of the U.S. Internal Revenue Code of 1986, as amended, for the Company’s taxable year ended December 31, 2023. For the avoidance of doubt, the Company makes no representation with respect to its PFIC status for the Company’s current taxable year or any particular taxable year in the future.</w:t>
      </w:r>
    </w:p>
    <w:p>
      <w:pPr>
        <w:spacing w:after="0" w:line="176"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(liv)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FINRA Matters</w:t>
      </w:r>
      <w:r>
        <w:rPr>
          <w:rFonts w:ascii="Times New Roman" w:cs="Times New Roman" w:eastAsia="Times New Roman" w:hAnsi="Times New Roman"/>
          <w:sz w:val="18"/>
          <w:szCs w:val="18"/>
          <w:color w:val="auto"/>
        </w:rPr>
        <w:t>. All of the information provided to the Underwriters or to counsel for the Underwriters by the Company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knowledge, its counsel, its officers and directors and the holders of any securities (debt or equity) or options to acquire any securities of the Company in connection with the offering of the Offered Securities is true, complete, correct and compliant in all material respects with FINRA rules and any letters, filings or other supplemental information provided to FINRA pursuant to FINRA Rules or NASD Conduct Rules is true, complete and correct in all material respects. As of the date of this Agreement, the Company meets the definition of the term “experienced issuer” specified in FINRA Rule 5110(j)(6).</w:t>
      </w:r>
    </w:p>
    <w:p>
      <w:pPr>
        <w:spacing w:after="0" w:line="182" w:lineRule="exact"/>
        <w:rPr>
          <w:sz w:val="20"/>
          <w:szCs w:val="20"/>
          <w:color w:val="auto"/>
        </w:rPr>
      </w:pPr>
    </w:p>
    <w:p>
      <w:pPr>
        <w:ind w:right="4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(lv)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Forward-Looking Statements</w:t>
      </w:r>
      <w:r>
        <w:rPr>
          <w:rFonts w:ascii="Times New Roman" w:cs="Times New Roman" w:eastAsia="Times New Roman" w:hAnsi="Times New Roman"/>
          <w:sz w:val="18"/>
          <w:szCs w:val="18"/>
          <w:color w:val="auto"/>
        </w:rPr>
        <w:t>. Each financial or operational projection or other “forward-looking statement” (as defined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27A of the Securities Act or Section 21E of the 1934 Act)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2"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(lvi)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Disclosure Package or the Prospectus or to be filed as exhibits to the Registration Statement which have not been so described and filed as required.</w:t>
      </w:r>
    </w:p>
    <w:p>
      <w:pPr>
        <w:spacing w:after="0" w:line="17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Subsidiary and delivered to the Underwriters or counsel for the Underwriters in connection with an issuance of Offered Securities shall be deemed a representation and warranty by the Company to the Underwriters as to the matters covered thereby on the date of such certificate.</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that the Underwriters and, for purposes of the opinions to be delivered pursuant to Sections 5(b) and 5(c) hereof, counsel to the Company and counsel to the Underwriters, will rely upon the accuracy and truthfulness of the foregoing representations and hereby consents to such reliance.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ALE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ELIVERY TO</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NDERWRITERS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Offered Securities</w:t>
      </w:r>
      <w:r>
        <w:rPr>
          <w:rFonts w:ascii="Times New Roman" w:cs="Times New Roman" w:eastAsia="Times New Roman" w:hAnsi="Times New Roman"/>
          <w:sz w:val="17"/>
          <w:szCs w:val="17"/>
          <w:color w:val="auto"/>
        </w:rPr>
        <w:t>. On the basis of the representations and warranties herein contained and subject to the terms and conditions herein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the Company agrees to cause the Depositary or its nominee to allot and issue to each Underwriter, severally and not jointly, and each Underwriter, severally and not jointly, agrees to subscribe for, at the price per ADS set forth in Schedule A, that number of Offered Securities set forth in Schedule A opposite the name of such Underwriter (representing the number of Underlying Shares set forth therein), plus any additional number of Offered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ADSs.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[Reserved]</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Payment</w:t>
      </w:r>
      <w:r>
        <w:rPr>
          <w:rFonts w:ascii="Times New Roman" w:cs="Times New Roman" w:eastAsia="Times New Roman" w:hAnsi="Times New Roman"/>
          <w:sz w:val="18"/>
          <w:szCs w:val="18"/>
          <w:color w:val="auto"/>
        </w:rPr>
        <w:t>. Payment of the subscription price for the Offered Securities (and the allotment and issue of the Underlying Shares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against the undertaking to pay such subscription price pursuant to this Section 2(c)) and the delivery of the Offered Securities shall be made at the offices of Cooley LLP, or at such other place as shall be agreed upon by the Representatives and the Company, at 9:00 A.M. (New York City time) on the first (second,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Times New Roman" w:cs="Times New Roman" w:eastAsia="Times New Roman" w:hAnsi="Times New Roman"/>
          <w:sz w:val="18"/>
          <w:szCs w:val="18"/>
          <w:b w:val="1"/>
          <w:bCs w:val="1"/>
          <w:i w:val="1"/>
          <w:iCs w:val="1"/>
          <w:color w:val="auto"/>
        </w:rPr>
        <w:t>Closing Time</w:t>
      </w:r>
      <w:r>
        <w:rPr>
          <w:rFonts w:ascii="Times New Roman" w:cs="Times New Roman" w:eastAsia="Times New Roman" w:hAnsi="Times New Roman"/>
          <w:sz w:val="18"/>
          <w:szCs w:val="18"/>
          <w:color w:val="auto"/>
        </w:rPr>
        <w:t>”). Delivery of the Offered Securities at the Closing Time shall be made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unless the Representatives shall otherwise instruct, to the DTC accounts of the Underwriters and in such denominations as the Representatives shall request.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Payment of the subscription monies due in respect of the Underlying Shares shall be made to the Company by wire transfer of immediately available funds to a bank account designated by the Company immediately at the Closing Time upon the satisfaction of all conditions to be performed or satisfied at or prior to the Closing Time, and the Company shall as soon as possible after receipt thereof against the Representatives undertaking to pay the subscription monies due in respect of the relevant Underlying Shares pursuant to this Section 2(c), issue the relevant number of Underlying Shares to the Custodian and procure the delivery of the Offered Securities, as the case may be, to the Underwriters as soon as possible thereafter.</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It is understood that each Underwriter has authorized Jefferies, for its account, to accept delivery of, receipt for, and make payment of the purchase price for, the Offered Securities which it has agreed to purchase. Jefferies, may (but shall not be obligated to) make payment of the purchase price for the Offered Securities to be purchased by any Underwriter whose funds have not been received by the Closing Time, but such payment shall not relieve such Underwriter from its obligations hereunder.</w:t>
      </w:r>
    </w:p>
    <w:p>
      <w:pPr>
        <w:spacing w:after="0" w:line="176" w:lineRule="exact"/>
        <w:rPr>
          <w:sz w:val="20"/>
          <w:szCs w:val="20"/>
          <w:color w:val="auto"/>
        </w:rPr>
      </w:pPr>
    </w:p>
    <w:p>
      <w:pPr>
        <w:ind w:right="10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Registration</w:t>
      </w:r>
      <w:r>
        <w:rPr>
          <w:rFonts w:ascii="Times New Roman" w:cs="Times New Roman" w:eastAsia="Times New Roman" w:hAnsi="Times New Roman"/>
          <w:sz w:val="18"/>
          <w:szCs w:val="18"/>
          <w:color w:val="auto"/>
        </w:rPr>
        <w:t>. The ADSs evidencing the Offered Securities shall be registered in such names and in such denominations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may request not less than one full business day prior to the Closing Time.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color w:val="auto"/>
        </w:rPr>
        <w:t>. The Company covenants with each Underwriter as follows: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Securities Regulations and Commission Requests</w:t>
      </w:r>
      <w:r>
        <w:rPr>
          <w:rFonts w:ascii="Times New Roman" w:cs="Times New Roman" w:eastAsia="Times New Roman" w:hAnsi="Times New Roman"/>
          <w:sz w:val="18"/>
          <w:szCs w:val="18"/>
          <w:color w:val="auto"/>
        </w:rPr>
        <w:t>. The Company, subject to Section 3(b), will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Rule 430B, and will notify the Representatives as soon as practicable, and confirm the notice in writing, (i) when any post-effective amendment to the Registration Statement or any ADS Registration Statement shall become effective or any amendment or supplement to the Prospectus shall have been filed, (ii) of the receipt of any comments from the Commission, (iii) of any request by the Commission for any amendment to the Registration Statement or any ADS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2" w:name="page23"/>
    <w:bookmarkEnd w:id="22"/>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post-effective amendment or of any order preventing or suspending the use of any preliminary prospectus or the Prospectus, or of the suspension of the qualification of the Offered Securities for offering or sale in any jurisdiction, or of the initiation or threatening of any proceedings for any of such purposes or of any examination pursuant to Section 8(d) or 8(e) of the 1933 Act concerning the Registration Statement or any ADS Registration Statement and (v) if the Company becomes the subject of a proceeding under Section 8A of the 1933 Act in connection with the offering of the Offered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8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1934 Act Regulations so as to permit the completion of the distribution of the Offered Securities as contemplated in this Agreement and in the Registration Statement, the General Disclosure Package and the Prospectus. If at any time when a prospectus relating to the Offered Securities is (or, but for the exception afforded by Rule 172 of the 1933 Act Regulations (“</w:t>
      </w:r>
      <w:r>
        <w:rPr>
          <w:rFonts w:ascii="Times New Roman" w:cs="Times New Roman" w:eastAsia="Times New Roman" w:hAnsi="Times New Roman"/>
          <w:sz w:val="18"/>
          <w:szCs w:val="18"/>
          <w:b w:val="1"/>
          <w:bCs w:val="1"/>
          <w:i w:val="1"/>
          <w:iCs w:val="1"/>
          <w:color w:val="auto"/>
        </w:rPr>
        <w:t>Rule 172</w:t>
      </w:r>
      <w:r>
        <w:rPr>
          <w:rFonts w:ascii="Times New Roman" w:cs="Times New Roman" w:eastAsia="Times New Roman" w:hAnsi="Times New Roman"/>
          <w:sz w:val="18"/>
          <w:szCs w:val="18"/>
          <w:color w:val="auto"/>
        </w:rPr>
        <w:t xml:space="preserve">”), would be) required by the 1933 Act to be delivered in connection with sales of the Offered Securities, any event shall occur or condition shall exist as a result of which it is necessary, in the opinion of counsel for the Underwriters or for the Company, to (i) amend the Registration Statement or any ADS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any ADS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any ADS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the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87"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charge, signed copies of the Registration Statement, any ADS Registration Statement and the 1934 Act Registration Statement, each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any ADS Registration Statement, the 1934 Act Registration Statement and each amendment thereto furnished to the Underwriters will be identical to the electronically transmitted copies thereof filed with the Commission pursuant to EDGAR, except to the extent permitted by Regulation 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3" w:name="page24"/>
    <w:bookmarkEnd w:id="23"/>
    <w:p>
      <w:pPr>
        <w:ind w:left="4"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such Underwriter reasonably requested, and the Company hereby consents to the use of such copies for purposes permitted by the 1933 Act. The Company will furnish to each Underwriter, without charge, during the period when a prospectus relating to the Offered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3"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Blue Sky Qualifications</w:t>
      </w:r>
      <w:r>
        <w:rPr>
          <w:rFonts w:ascii="Times New Roman" w:cs="Times New Roman" w:eastAsia="Times New Roman" w:hAnsi="Times New Roman"/>
          <w:sz w:val="18"/>
          <w:szCs w:val="18"/>
          <w:color w:val="auto"/>
        </w:rPr>
        <w:t>. The Company will use commercially reasonable efforts, in cooperation with the Underwriters, to qualify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Offered Securities for offering and sale under the applicable securities laws of such states and other jurisdictions (domestic or foreign) as the Representatives may reasonably designate and to maintain such qualifications in effect so long as required to complete the distribution of the Offered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1"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Use of Proceeds</w:t>
      </w:r>
      <w:r>
        <w:rPr>
          <w:rFonts w:ascii="Times New Roman" w:cs="Times New Roman" w:eastAsia="Times New Roman" w:hAnsi="Times New Roman"/>
          <w:sz w:val="18"/>
          <w:szCs w:val="18"/>
          <w:color w:val="auto"/>
        </w:rPr>
        <w:t>. The Company will use the net proceeds received by it from the sale of the Offered Securities in all material respects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specified in the Registration Statement, the General Disclosure Package and the Prospectus under the heading “Use of Proceeds.”</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Listing</w:t>
      </w:r>
      <w:r>
        <w:rPr>
          <w:rFonts w:ascii="Times New Roman" w:cs="Times New Roman" w:eastAsia="Times New Roman" w:hAnsi="Times New Roman"/>
          <w:sz w:val="18"/>
          <w:szCs w:val="18"/>
          <w:color w:val="auto"/>
        </w:rPr>
        <w:t>. The Company will use its reasonable best efforts to maintain the listing for ADSs issued and sold by the Company on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w:t>
      </w:r>
    </w:p>
    <w:p>
      <w:pPr>
        <w:spacing w:after="0" w:line="15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Restriction on Sale of Securities</w:t>
      </w:r>
      <w:r>
        <w:rPr>
          <w:rFonts w:ascii="Times New Roman" w:cs="Times New Roman" w:eastAsia="Times New Roman" w:hAnsi="Times New Roman"/>
          <w:sz w:val="18"/>
          <w:szCs w:val="18"/>
          <w:color w:val="auto"/>
        </w:rPr>
        <w:t>. During a period of 60 days from the date of the Prospectus, the Company will not,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the Representatives, (i) directly or indirectly, offer, pledge, sell, contract to sell, sell any option or contract to purchase, purchase any option or contract to sell, grant any option, right or warrant to purchase or otherwise transfer or dispose of any ADSs or Ordinary Shares or any securities convertible into or exercisable or exchangeable for ADSs or Ordinary Shares or file any registration statement under the 1933 Act with respect to any of the foregoing, (ii) enter into any swap or any other agreement or any transaction that transfers, in whole or in part, directly or indirectly, the economic consequence of ownership of ADSs or Ordinary Shares, whether any such swap or transaction described in clause (i) or (ii) above is to be settled by delivery of ADSs or Ordinary Shares or such other securities, in cash or otherwise or (iii) publicly announce an intention to effect any such swap, agreement or other transaction described in clauses (i) and (ii). The foregoing sentence shall not apply to (A) the Offered Securities to be sold hereunder and the Underlying Shares to be deposited with the Depositary or its nominee in connection therewith; (B) any ADSs or Ordinary Shares issued by the Company or the Depositary under, or upon the exercise of any option, warrant, convertible note or other instrument, or contingent value right, in each case, outstanding on the date hereof and referred to in the Registration Statement, the General Disclosure Package and the Prospectus;</w:t>
      </w:r>
    </w:p>
    <w:p>
      <w:pPr>
        <w:spacing w:after="0" w:line="8" w:lineRule="exact"/>
        <w:rPr>
          <w:sz w:val="20"/>
          <w:szCs w:val="20"/>
          <w:color w:val="auto"/>
        </w:rPr>
      </w:pPr>
    </w:p>
    <w:p>
      <w:pPr>
        <w:ind w:left="4" w:right="240" w:hanging="4"/>
        <w:spacing w:after="0" w:line="252" w:lineRule="auto"/>
        <w:tabs>
          <w:tab w:leader="none" w:pos="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ADSs or Ordinary Shares issued or options to purchase ADSs or Ordinary Shares or other awards granted pursuant to any existing director or employee benefit plan, stock ownership plan or dividend reinvestment plan of the Company referred to in the Registration Statement, the General Disclosure Package and the Prospectus; (D) any ADSs or Ordinary Shares issued in connection with any joint venture, commercial or collaborative relationship or the acquisition or license by the Company of the securities, business, property or other assets of another person or entity or pursuant to any employee benefit plan as assumed by the Company in connection with any such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ADSs and Ordinary Shares issued under this clause (D) shall not in the aggregate exceed five percent (5%) of the Company’s outstanding share capital immediately following the consummation of the offering or the Offered Securities contemplated by this Agreement, (E) the filing 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4" w:name="page25"/>
    <w:bookmarkEnd w:id="24"/>
    <w:p>
      <w:pPr>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of any registration statement on Form S-8 or a successor form thereto or (F) the offer and sale of ADSs under the Company’s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as of May 15, 2024, by and between the Company and Jefferies.</w:t>
      </w:r>
    </w:p>
    <w:p>
      <w:pPr>
        <w:spacing w:after="0" w:line="20" w:lineRule="exact"/>
        <w:rPr>
          <w:sz w:val="20"/>
          <w:szCs w:val="20"/>
          <w:color w:val="auto"/>
        </w:rPr>
      </w:pPr>
    </w:p>
    <w:p>
      <w:pPr>
        <w:jc w:val="both"/>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Reporting Requirements</w:t>
      </w:r>
      <w:r>
        <w:rPr>
          <w:rFonts w:ascii="Times New Roman" w:cs="Times New Roman" w:eastAsia="Times New Roman" w:hAnsi="Times New Roman"/>
          <w:sz w:val="18"/>
          <w:szCs w:val="18"/>
          <w:color w:val="auto"/>
        </w:rPr>
        <w:t>. The Company, during the period when a Prospectus relating to the Offered Securities is (or, but for the 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Offered Securities as may be required under Rule 463 under the 1933 Act.</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Issuer Free Writing Prospectuses</w:t>
      </w:r>
      <w:r>
        <w:rPr>
          <w:rFonts w:ascii="Times New Roman" w:cs="Times New Roman" w:eastAsia="Times New Roman" w:hAnsi="Times New Roman"/>
          <w:sz w:val="18"/>
          <w:szCs w:val="18"/>
          <w:color w:val="auto"/>
        </w:rPr>
        <w:t>. The Company agrees that, unless it obtains the prior written consent of the Representatives, it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offer relating to the Offered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Deposit of Underlying Shares</w:t>
      </w:r>
      <w:r>
        <w:rPr>
          <w:rFonts w:ascii="Times New Roman" w:cs="Times New Roman" w:eastAsia="Times New Roman" w:hAnsi="Times New Roman"/>
          <w:sz w:val="18"/>
          <w:szCs w:val="18"/>
          <w:color w:val="auto"/>
        </w:rPr>
        <w:t>. The Deposit Agreement shall be in full force and effect and the Company and the Depositary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all actions to permit the deposit of underlying Ordinary Shares and the issuance of the ADSs in accordance with the Deposit Agreement.</w:t>
      </w:r>
    </w:p>
    <w:p>
      <w:pPr>
        <w:spacing w:after="0" w:line="15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Company at any time prior to the later of (i) completion of the distribution of the Offered Securities within the meaning of the 1933 Act and (ii) completion of the 60-day restricted period referred to in Section 3(i).</w:t>
      </w:r>
    </w:p>
    <w:p>
      <w:pPr>
        <w:spacing w:after="0" w:line="171"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Deductions or Withholdings</w:t>
      </w:r>
      <w:r>
        <w:rPr>
          <w:rFonts w:ascii="Times New Roman" w:cs="Times New Roman" w:eastAsia="Times New Roman" w:hAnsi="Times New Roman"/>
          <w:sz w:val="17"/>
          <w:szCs w:val="17"/>
          <w:color w:val="auto"/>
        </w:rPr>
        <w:t>. All sums payable by the Company under this Agreement shall be paid free and clear of and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deductions or withholdings for or on account of any and all present or future taxes, levies, imposts or duties, unless the deduction or withholding is required by applicable law, in which case the Company shall pay such additional amount as will result in the receipt by each Underwriter of the full amount that would have been received had no deduction or withholding been made, except to the extent of withholding or deduction for (i) any income, capital gains or franchise taxes that would not have been imposed but for a present or former connection between an Underwriter and the jurisdiction imposing such taxes or duties, other than as a result of this Agreement and the transactions contemplated hereunder, or (ii) taxes that would not have been imposed but for a failure to comply with a reasonable request in writing for indemnification, documentation or certification required in order to reduce or eliminate such withholding or deduction, other than as a result of any binding confidentiality or other legal obligations of any Underwriter.</w:t>
      </w:r>
    </w:p>
    <w:p>
      <w:pPr>
        <w:spacing w:after="0" w:line="172"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Treatment of Value Added Tax</w:t>
      </w:r>
      <w:r>
        <w:rPr>
          <w:rFonts w:ascii="Times New Roman" w:cs="Times New Roman" w:eastAsia="Times New Roman" w:hAnsi="Times New Roman"/>
          <w:sz w:val="18"/>
          <w:szCs w:val="18"/>
          <w:color w:val="auto"/>
        </w:rPr>
        <w:t>. The Company agrees that, if the performance by the Underwriters of any of their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represent for VAT purposes under any applicable law the making by the Underwriters of any supply of goods or services to the Company (to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is paid or reimbursed to the Underwriters pursuant to this Agreement in respect of any cost, expense or other amount and that cost, expense or other amount includes an amount in respect of irrecoverable VAT (the “</w:t>
      </w:r>
      <w:r>
        <w:rPr>
          <w:rFonts w:ascii="Times New Roman" w:cs="Times New Roman" w:eastAsia="Times New Roman" w:hAnsi="Times New Roman"/>
          <w:sz w:val="18"/>
          <w:szCs w:val="18"/>
          <w:b w:val="1"/>
          <w:bCs w:val="1"/>
          <w:i w:val="1"/>
          <w:iCs w:val="1"/>
          <w:color w:val="auto"/>
        </w:rPr>
        <w:t>VAT Element</w:t>
      </w:r>
      <w:r>
        <w:rPr>
          <w:rFonts w:ascii="Times New Roman" w:cs="Times New Roman" w:eastAsia="Times New Roman" w:hAnsi="Times New Roman"/>
          <w:sz w:val="18"/>
          <w:szCs w:val="18"/>
          <w:color w:val="auto"/>
        </w:rPr>
        <w:t>”), then the Company, to the extent applicable, shall, in addition, pay an amount equal to the VAT Element to the Underwriters. For the purposes of this Agreement, “</w:t>
      </w:r>
      <w:r>
        <w:rPr>
          <w:rFonts w:ascii="Times New Roman" w:cs="Times New Roman" w:eastAsia="Times New Roman" w:hAnsi="Times New Roman"/>
          <w:sz w:val="18"/>
          <w:szCs w:val="18"/>
          <w:b w:val="1"/>
          <w:bCs w:val="1"/>
          <w:i w:val="1"/>
          <w:iCs w:val="1"/>
          <w:color w:val="auto"/>
        </w:rPr>
        <w:t>VAT</w:t>
      </w:r>
      <w:r>
        <w:rPr>
          <w:rFonts w:ascii="Times New Roman" w:cs="Times New Roman" w:eastAsia="Times New Roman" w:hAnsi="Times New Roman"/>
          <w:sz w:val="18"/>
          <w:szCs w:val="18"/>
          <w:color w:val="auto"/>
        </w:rPr>
        <w:t>” means value added tax as provided for in the Value Added Tax Act 1994 (“</w:t>
      </w:r>
      <w:r>
        <w:rPr>
          <w:rFonts w:ascii="Times New Roman" w:cs="Times New Roman" w:eastAsia="Times New Roman" w:hAnsi="Times New Roman"/>
          <w:sz w:val="18"/>
          <w:szCs w:val="18"/>
          <w:b w:val="1"/>
          <w:bCs w:val="1"/>
          <w:i w:val="1"/>
          <w:iCs w:val="1"/>
          <w:color w:val="auto"/>
        </w:rPr>
        <w:t>VATA</w:t>
      </w:r>
      <w:r>
        <w:rPr>
          <w:rFonts w:ascii="Times New Roman" w:cs="Times New Roman" w:eastAsia="Times New Roman" w:hAnsi="Times New Roman"/>
          <w:sz w:val="18"/>
          <w:szCs w:val="18"/>
          <w:color w:val="auto"/>
        </w:rPr>
        <w:t>”) and subordinate legislation made under VATA as amended, modified or re-enacted (whether before or after the date of this Agreement) and any similar sales, consumption, use or turnover tax whether within the United Kingdom or elsewhere in the world.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Expenses</w:t>
      </w:r>
      <w:r>
        <w:rPr>
          <w:rFonts w:ascii="Times New Roman" w:cs="Times New Roman" w:eastAsia="Times New Roman" w:hAnsi="Times New Roman"/>
          <w:sz w:val="17"/>
          <w:szCs w:val="17"/>
          <w:color w:val="auto"/>
        </w:rPr>
        <w:t>. The Company will pay or cause to be paid all expenses incidental to the performance of its obligations under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(i) the preparation, printing and filing of the Registration Statement (including financial statements and exhibits) each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ADSs representing the Offered Securities to the Underwriters, including any Transfer Taxes payable upon the allotment, issuance or delivery of the Offered Securities to the Underwriters in the manner contemplated herein, (iv) the fees and disbursements of the Company’s counsel, accountants and other advisors, (v) the qualification of the Offered Securities (and if necessary, the Underlying Shares)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registrar, and/or depositary for the Offered Securities, (vii) the costs and expenses of the Company relating to investor presentations on any “road show” undertaken in connection with the marketing of the Offered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Offered Securities (which fees and expenses of counsel, together with the fees and expenses of counsel described in clause (v) above shall not exceed $25,000 in the aggregate) and (ix) the fees and expenses incurred in connection with the listing of the Offered Securities on the Principal Market.</w:t>
      </w:r>
    </w:p>
    <w:p>
      <w:pPr>
        <w:spacing w:after="0" w:line="177" w:lineRule="exact"/>
        <w:rPr>
          <w:sz w:val="20"/>
          <w:szCs w:val="20"/>
          <w:color w:val="auto"/>
        </w:rPr>
      </w:pPr>
    </w:p>
    <w:p>
      <w:pPr>
        <w:ind w:right="6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9(a)(i), Section 9(a)(iii) or Section 10 hereof, the Company shall reimburse the Underwriters for all of their reasonably documented out-of-pocket expenses, including the reasonable fees and disbursements of counsel for the Underwriters.</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ONDITIONS OF</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NDERWRITERS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color w:val="auto"/>
        </w:rPr>
        <w:t>. The obligations of the several Underwriters hereunder are subject to the accuracy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76"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Effectiveness of Registration Statement; Rule 430B Information</w:t>
      </w:r>
      <w:r>
        <w:rPr>
          <w:rFonts w:ascii="Times New Roman" w:cs="Times New Roman" w:eastAsia="Times New Roman" w:hAnsi="Times New Roman"/>
          <w:sz w:val="18"/>
          <w:szCs w:val="18"/>
          <w:color w:val="auto"/>
        </w:rPr>
        <w:t>. The Registration Statement, including any Rule 462(b)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the ADS Registration Statements have become effective and, at the Closing Time, no stop order suspending the effectiveness of the Registration Statement, the ADS Registration Statements or any post-effective amendment thereto has been issued under the 1933 Act, no order preventing or suspending the use of any preliminary prospectus or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6" w:name="page27"/>
    <w:bookmarkEnd w:id="26"/>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The Prospectus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430B.</w:t>
      </w:r>
    </w:p>
    <w:p>
      <w:pPr>
        <w:spacing w:after="0" w:line="179"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Opinion of Counsel for Company</w:t>
      </w:r>
      <w:r>
        <w:rPr>
          <w:rFonts w:ascii="Times New Roman" w:cs="Times New Roman" w:eastAsia="Times New Roman" w:hAnsi="Times New Roman"/>
          <w:sz w:val="18"/>
          <w:szCs w:val="18"/>
          <w:color w:val="auto"/>
        </w:rPr>
        <w:t>. At the Closing Time, the Representatives shall have received the opinion and the negative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each dated the Closing Time, of Mayer Brown LLP and Mayer Brown International LLP, U.S. counsel for the Company, together with the opinion of each of Carpmaels &amp; Ransford LLP, Gill Jennings &amp; Every LLP and Wolff IP, P.C., each special counsel for the Company with respect to intellectual property matters, and Latham &amp; Watkins (London) LLP, English counsel for the Company, each substantially in the form as previously agreed with, and satisfactory to, counsel for the Representatives.</w:t>
      </w:r>
    </w:p>
    <w:p>
      <w:pPr>
        <w:spacing w:after="0" w:line="179"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Opinion of Counsel for Underwriters</w:t>
      </w:r>
      <w:r>
        <w:rPr>
          <w:rFonts w:ascii="Times New Roman" w:cs="Times New Roman" w:eastAsia="Times New Roman" w:hAnsi="Times New Roman"/>
          <w:sz w:val="18"/>
          <w:szCs w:val="18"/>
          <w:color w:val="auto"/>
        </w:rPr>
        <w:t>. At the Closing Time, the Representatives shall have received the opinion and the negative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each dated the Closing Time, of Cooley LLP, counsel for the Underwriters, in substantially the form as previously agreed with, and satisfactory to, the Representatives. Such counsel may also state that, insofar as such opinions involve factual matters, they have relied, to the extent they deem proper, upon certificates of officers and other representatives of the Company and its Subsidiaries and certificates of public officials.</w:t>
      </w:r>
    </w:p>
    <w:p>
      <w:pPr>
        <w:spacing w:after="0" w:line="176"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Opinion of Counsel for Depositary</w:t>
      </w:r>
      <w:r>
        <w:rPr>
          <w:rFonts w:ascii="Times New Roman" w:cs="Times New Roman" w:eastAsia="Times New Roman" w:hAnsi="Times New Roman"/>
          <w:sz w:val="18"/>
          <w:szCs w:val="18"/>
          <w:color w:val="auto"/>
        </w:rPr>
        <w:t>. At the Closing Time, the Representatives shall have received the opinion, dated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Patterson Belknap Webb &amp; Tyler LLP, counsel for the Depositary, substantially in the form as previously agreed with, and satisfactory to, the Representatives.</w:t>
      </w:r>
    </w:p>
    <w:p>
      <w:pPr>
        <w:spacing w:after="0" w:line="171" w:lineRule="exact"/>
        <w:rPr>
          <w:sz w:val="20"/>
          <w:szCs w:val="20"/>
          <w:color w:val="auto"/>
        </w:rPr>
      </w:pPr>
    </w:p>
    <w:p>
      <w:pPr>
        <w:ind w:left="4"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is most recently given in the Registration Statement, the General Disclosure Package or the Prospectus, any Material Adverse Effect, and the Representatives shall have received a certificate of the principal executive officer of the Company and of the principal financial officer of the Company, dated the Closing Time, to the effect that (i) there has been no such Material Adverse Effect,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w:t>
      </w:r>
    </w:p>
    <w:p>
      <w:pPr>
        <w:spacing w:after="0" w:line="4" w:lineRule="exact"/>
        <w:rPr>
          <w:sz w:val="20"/>
          <w:szCs w:val="20"/>
          <w:color w:val="auto"/>
        </w:rPr>
      </w:pPr>
    </w:p>
    <w:p>
      <w:pPr>
        <w:ind w:left="4" w:hanging="4"/>
        <w:spacing w:after="0" w:line="255"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2"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Depositary’s Certificate</w:t>
      </w:r>
      <w:r>
        <w:rPr>
          <w:rFonts w:ascii="Times New Roman" w:cs="Times New Roman" w:eastAsia="Times New Roman" w:hAnsi="Times New Roman"/>
          <w:sz w:val="18"/>
          <w:szCs w:val="18"/>
          <w:color w:val="auto"/>
        </w:rPr>
        <w:t>. The Depositary shall have furnished or caused to be furnished to the Underwriters a certificate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one of its authorized officers with respect to the deposit with it of the Underlying Shares, the issuance of the ADSs evidencing the Underlying Shares pursuant to the Deposit Agreement and other such other customary matters related thereto as the Representatives may reasonably request.</w:t>
      </w:r>
    </w:p>
    <w:p>
      <w:pPr>
        <w:spacing w:after="0" w:line="176"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Accountants’ Comfort Letter</w:t>
      </w:r>
      <w:r>
        <w:rPr>
          <w:rFonts w:ascii="Times New Roman" w:cs="Times New Roman" w:eastAsia="Times New Roman" w:hAnsi="Times New Roman"/>
          <w:sz w:val="18"/>
          <w:szCs w:val="18"/>
          <w:color w:val="auto"/>
        </w:rPr>
        <w:t>. At the time of the execution of this Agreement, the Representatives shall have received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of the Company contained in the Registration Statement, the General Disclosure Package and the Prospectus.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7" w:name="page28"/>
    <w:bookmarkEnd w:id="27"/>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Bring-down Comfort Letter</w:t>
      </w:r>
      <w:r>
        <w:rPr>
          <w:rFonts w:ascii="Times New Roman" w:cs="Times New Roman" w:eastAsia="Times New Roman" w:hAnsi="Times New Roman"/>
          <w:sz w:val="18"/>
          <w:szCs w:val="18"/>
          <w:color w:val="auto"/>
        </w:rPr>
        <w:t>. At the Closing Time, the Representatives shall have received from PricewaterhouseCoopers LLP a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the 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Effective Deposit Agreement</w:t>
      </w:r>
      <w:r>
        <w:rPr>
          <w:rFonts w:ascii="Times New Roman" w:cs="Times New Roman" w:eastAsia="Times New Roman" w:hAnsi="Times New Roman"/>
          <w:sz w:val="18"/>
          <w:szCs w:val="18"/>
          <w:color w:val="auto"/>
        </w:rPr>
        <w:t>. The Deposit Agreement shall be in full force and effect.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arrangements relating to the offering of the Offered Securities.</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A hereto signed by all of the Company’s directors and officers.</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Chief Financial Officer’s Certificate</w:t>
      </w:r>
      <w:r>
        <w:rPr>
          <w:rFonts w:ascii="Times New Roman" w:cs="Times New Roman" w:eastAsia="Times New Roman" w:hAnsi="Times New Roman"/>
          <w:sz w:val="18"/>
          <w:szCs w:val="18"/>
          <w:color w:val="auto"/>
        </w:rPr>
        <w:t>. On the date of this Agreement and at the Closing Time, if necessary,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from the Company a certificate of its principal financial officer with respect to certain financial data contained in the General Disclosure Package and the Prospectus.</w:t>
      </w:r>
    </w:p>
    <w:p>
      <w:pPr>
        <w:spacing w:after="0" w:line="171"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Additional Documents</w:t>
      </w:r>
      <w:r>
        <w:rPr>
          <w:rFonts w:ascii="Times New Roman" w:cs="Times New Roman" w:eastAsia="Times New Roman" w:hAnsi="Times New Roman"/>
          <w:sz w:val="18"/>
          <w:szCs w:val="18"/>
          <w:color w:val="auto"/>
        </w:rPr>
        <w:t>. At the Closing Time, counsel for the Underwriters shall have been furnished with such other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opinions as they may reasonably require for the purpose of enabling them to pass upon the allotment and issuance of the Offered Securities as herein contemplated, or in order to evidence the accuracy of any of the representations or warranties, or the fulfillment of any of the conditions, herein contained; and all proceedings taken by the Company in connection with the allotment and issuance of the Offered Securities as herein contemplated shall be reasonably satisfactory in form and substance to the Representatives and counsel for the Underwriters.</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terminated by the Representatives by notice to the Company at any time at or prior to Closing Time, and such termination shall be without liability of any party to any other party except as provided in Section 4(b) and except that Sections 1, 4(b), 6, 7, 8, 13, 14, 15 and 16 shall survive any such termination and remain in full force and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Rule 501(b) under the 1933 Act (each, an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its officers and employees and each person, if any, who controls any Underwriter within the meaning of the 1933 Act or the 1934 Act as follows:</w:t>
      </w:r>
    </w:p>
    <w:p>
      <w:pPr>
        <w:spacing w:after="0" w:line="171"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against any and all loss, liability, claim, damage and expense whatsoever, as incurred, arising out of any untrue statement or alleged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on behalf of, the Company in connection with the marketing of the offering of the Offered Securities (“</w:t>
      </w:r>
      <w:r>
        <w:rPr>
          <w:rFonts w:ascii="Times New Roman" w:cs="Times New Roman" w:eastAsia="Times New Roman" w:hAnsi="Times New Roman"/>
          <w:sz w:val="18"/>
          <w:szCs w:val="18"/>
          <w:b w:val="1"/>
          <w:bCs w:val="1"/>
          <w:i w:val="1"/>
          <w:iCs w:val="1"/>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6" w:right="499" w:bottom="1440" w:gutter="0" w:footer="0" w:header="0"/>
        </w:sectPr>
      </w:pPr>
    </w:p>
    <w:bookmarkStart w:id="28" w:name="page29"/>
    <w:bookmarkEnd w:id="28"/>
    <w:p>
      <w:pPr>
        <w:ind w:left="4"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w:t>
      </w:r>
      <w:r>
        <w:rPr>
          <w:rFonts w:ascii="Times New Roman" w:cs="Times New Roman" w:eastAsia="Times New Roman" w:hAnsi="Times New Roman"/>
          <w:sz w:val="18"/>
          <w:szCs w:val="18"/>
          <w:color w:val="auto"/>
        </w:rPr>
        <w:t xml:space="preserve">  against any and all loss, liability, claim, damage and expense whatsoever, as incurred, to the extent of the aggregate amount paid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6(d) below) any such settlement is effected with the written consent of the Company;</w:t>
      </w:r>
    </w:p>
    <w:p>
      <w:pPr>
        <w:spacing w:after="0" w:line="176" w:lineRule="exact"/>
        <w:rPr>
          <w:sz w:val="20"/>
          <w:szCs w:val="20"/>
          <w:color w:val="auto"/>
        </w:rPr>
      </w:pPr>
    </w:p>
    <w:p>
      <w:pPr>
        <w:ind w:left="4"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against any and all expense whatsoever as incurred (including the reasonable fees and disbursements of counsel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reasonably incurred and documented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and</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against any Transfer Taxes, and any interest and penalties, that are payable by or on behalf of the Underwriters in connection with</w:t>
      </w:r>
    </w:p>
    <w:p>
      <w:pPr>
        <w:spacing w:after="0" w:line="31" w:lineRule="exact"/>
        <w:rPr>
          <w:sz w:val="20"/>
          <w:szCs w:val="20"/>
          <w:color w:val="auto"/>
        </w:rPr>
      </w:pPr>
    </w:p>
    <w:p>
      <w:pPr>
        <w:ind w:left="4" w:right="120" w:hanging="4"/>
        <w:spacing w:after="0" w:line="265" w:lineRule="auto"/>
        <w:tabs>
          <w:tab w:leader="none" w:pos="2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and delivery of the Underlying Shares in the manner contemplated by this Agreement; (ii) the issuance, delivery and sale of the Offered Securities (or the ADRs evidencing such Offered Securities) to or for the account of the Underwriters in the manner contemplated by this Agreement;</w:t>
      </w:r>
    </w:p>
    <w:p>
      <w:pPr>
        <w:jc w:val="both"/>
        <w:ind w:left="4" w:right="80" w:hanging="4"/>
        <w:spacing w:after="0" w:line="255"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delivery by the Underwriters of the Offered Securities (or the ADRs evidencing such Offered Securities) to the initial purchasers thereof in the manner contemplated by this Agreement; or (iv) the execution and delivery of this Agreement or the Deposit Agreement (and the Company will pay any of the foregoing Transfer Taxes, interest and penalties as provided in this clause (iv));</w:t>
      </w:r>
    </w:p>
    <w:p>
      <w:pPr>
        <w:spacing w:after="0" w:line="184"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8"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the 1933 Act or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counsel to the indemnifying party shall not (except with the consent of the indemnified party) also be counsel to the indemnified party. In no event shall the indemnifying parties be liable for the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6" w:right="439" w:bottom="1440" w:gutter="0" w:footer="0" w:header="0"/>
        </w:sectPr>
      </w:pPr>
    </w:p>
    <w:bookmarkStart w:id="29" w:name="page30"/>
    <w:bookmarkEnd w:id="29"/>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 the indemnified party for reasonable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Offered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Offered Securities pursuant to this Agreement shall be deemed to be in the same respective proportions as the total net proceeds from the offering of the Offered Securities pursuant to this Agreement (before deducting expenses) received by the Company, on the one hand, and the total underwriting discount received by the Underwriters, on the other hand, in each case as set forth on the cover of the Prospectus, bear to the aggregate offering price of the Offered Securities as set forth on the cover of the Prospectus.</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Notwithstanding the provisions of this Section 7, no Underwriter shall be required to contribute any amount in excess of the underwriting discounts and commissions received by such Underwriter in connection with the Offered Securities underwritten by it and distributed to the public.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0" w:name="page31"/>
    <w:bookmarkEnd w:id="30"/>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Offered Securities set forth opposite their respective names in Schedule A hereto and not joint.</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ARRANTIES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URVIVE</w:t>
      </w:r>
      <w:r>
        <w:rPr>
          <w:rFonts w:ascii="Times New Roman" w:cs="Times New Roman" w:eastAsia="Times New Roman" w:hAnsi="Times New Roman"/>
          <w:sz w:val="18"/>
          <w:szCs w:val="18"/>
          <w:color w:val="auto"/>
        </w:rPr>
        <w:t>. All representations, warranties and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Offered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Representatives may terminate this Agreement, by written notice to the Company, at any time at or prior to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 if there has been, in the reasonable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the United Kingdom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reasonable judgment of the Representatives, impracticable or inadvisable to proceed with the completion of the offering or to enforce contracts for the sale of the Offered Securities, or (iii) if trading in any securities of the Company has been suspended or materially limited by the Commission or the Principal Market, or (iv) if trading generally on the Principal Market has been suspended or materially limited, or minimum or maximum prices for trading have been fixed, or maximum ranges for prices have been required, by any of said exchanges or markets or by order of the Commission, FINRA or any other governmental authority, or (v) a material disruption has occurred in commercial banking or securities settlement or clearance services in the United States, in the United Kingdom or with respect to Clearstream or Euroclear systems in Europe, or (vi) if a banking moratorium has been declared by either Federal or New York authorities or authorities in the United Kingdom.</w:t>
      </w:r>
    </w:p>
    <w:p>
      <w:pPr>
        <w:spacing w:after="0" w:line="18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as provided in Section 4 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Sections 1, 4(b), 6, 7, 8, 14, 15 and 16 shall survive such termination and remain in full force and effect.</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 BY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NE 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ORE OF THE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NDERWRITERS</w:t>
      </w:r>
      <w:r>
        <w:rPr>
          <w:rFonts w:ascii="Times New Roman" w:cs="Times New Roman" w:eastAsia="Times New Roman" w:hAnsi="Times New Roman"/>
          <w:sz w:val="18"/>
          <w:szCs w:val="18"/>
          <w:color w:val="auto"/>
        </w:rPr>
        <w:t>. This section will apply only if more than one Underwriter is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 hereto. In such case, if one or more of the Underwriters shall fail at the Closing Time to subscribe for the Offered Securities which it or for which they are obligated to subscribe under this Agreement (the “</w:t>
      </w:r>
      <w:r>
        <w:rPr>
          <w:rFonts w:ascii="Times New Roman" w:cs="Times New Roman" w:eastAsia="Times New Roman" w:hAnsi="Times New Roman"/>
          <w:sz w:val="18"/>
          <w:szCs w:val="18"/>
          <w:b w:val="1"/>
          <w:bCs w:val="1"/>
          <w:i w:val="1"/>
          <w:iCs w:val="1"/>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to subscribe for all, but not less than all, of the Defaulted Securities in such amounts as may be agreed upon and upon the terms herein set forth; if, however, the Representatives shall not have completed such arrangements within such 24-hour period, then:</w:t>
      </w:r>
    </w:p>
    <w:p>
      <w:pPr>
        <w:spacing w:after="0" w:line="182" w:lineRule="exact"/>
        <w:rPr>
          <w:sz w:val="20"/>
          <w:szCs w:val="20"/>
          <w:color w:val="auto"/>
        </w:rPr>
      </w:pPr>
    </w:p>
    <w:p>
      <w:pPr>
        <w:jc w:val="both"/>
        <w:ind w:right="4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the number of Defaulted Securities does not exceed 10% of the number of Securities to be purchased on such date,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1" w:name="page32"/>
    <w:bookmarkEnd w:id="31"/>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w:t>
      </w:r>
      <w:r>
        <w:rPr>
          <w:rFonts w:ascii="Times New Roman" w:cs="Times New Roman" w:eastAsia="Times New Roman" w:hAnsi="Times New Roman"/>
          <w:sz w:val="18"/>
          <w:szCs w:val="18"/>
          <w:color w:val="auto"/>
        </w:rPr>
        <w:t xml:space="preserve">  if the number of Defaulted Securities exceeds 10% of the number of Offered Securities to be purchased on such date,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terminate without liability on the part of any non-defaulting Underwriter.</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either the (i) Representatives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includes any person substituted for an Underwriter under this Section 10.</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transmitted by any standard form of telecommunication. Notices to the Underwriters shall be directed to Jefferies LLC at 520 Madison Avenue, New York, NY 10022, attention of General Counsel, Leerink Partners LLC at 1301 Avenue of the Americas, 12th Floor, New York, NY 10019, attention of Stuart R. Nayman, and Cantor Fitzgerald &amp; Co. at 110 East 59th Street New York, NY 10022, attention General Counsel, with a copy (which shall not constitute notice) to Cooley LLP, 51 Hudson Yards, New York, New York 10001, attention of Eric Blanchard and Daniel Goldberg. Notices to the Company shall be directed to Mereo BioPharma Group plc at One Cavendish Place, 4th Floor, London W1G 0QF United Kingdom, attention of Charles Sermon, with a copy (which shall not constitute notice) to Mayer Brown LLP at 1221 Avenue of the Americas, New York, New York 10020, attention of David Bakst.</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DVISORY 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IDUCIARY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ELATIONSHIP</w:t>
      </w:r>
      <w:r>
        <w:rPr>
          <w:rFonts w:ascii="Times New Roman" w:cs="Times New Roman" w:eastAsia="Times New Roman" w:hAnsi="Times New Roman"/>
          <w:sz w:val="18"/>
          <w:szCs w:val="18"/>
          <w:color w:val="auto"/>
        </w:rPr>
        <w:t>. The Company acknowledges and agrees that (a) the purchase and sale of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pursuant to this Agreement, including the determination of the offering price of the Offered Securities and any related discounts and commissions, is an arm’s-length commercial transaction between the Company, on the one hand, and the several Underwriters, on the other hand, (b) in connection with the offering of the Offered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Offered Securities or the process leading thereto (irrespective of whether such Underwriter has advised or is currently advising the Company or any of its Subsidiaries on other matters) and no Underwriter has any obligation to the Company with respect to the offering of the Offered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Offered Securities and the Company has consulted its own respective legal, accounting, regulatory and tax advisors to the extent it deemed appropriate.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ECOGNITION OF THE</w:t>
      </w:r>
      <w:r>
        <w:rPr>
          <w:rFonts w:ascii="Times New Roman" w:cs="Times New Roman" w:eastAsia="Times New Roman" w:hAnsi="Times New Roman"/>
          <w:sz w:val="18"/>
          <w:szCs w:val="18"/>
          <w:b w:val="1"/>
          <w:bCs w:val="1"/>
          <w:color w:val="auto"/>
        </w:rPr>
        <w:t xml:space="preserve"> U.S. S</w:t>
      </w:r>
      <w:r>
        <w:rPr>
          <w:rFonts w:ascii="Times New Roman" w:cs="Times New Roman" w:eastAsia="Times New Roman" w:hAnsi="Times New Roman"/>
          <w:sz w:val="14"/>
          <w:szCs w:val="14"/>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ESOLUTION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the event that any Underwriter that is a Covered Entity becomes subject to a proceeding under a U.S. Special Resolution Regime,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2" w:name="page33"/>
    <w:bookmarkEnd w:id="32"/>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In the event that any Underwriter that is a Covered Entity and becomes subject to, or a BHC Act Affiliate of such Underwriter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For purposes of this Section 13, (i) “BHC Act Affiliate” has the meaning assigned to the term “affiliate” in, and shall be interpreted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12 U.S.C. § 1841(k); (ii)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promulgated thereunder and (B) Title II of the Dodd-Frank Wall Street Reform and Consumer Protection Act and the regulations promulgated thereunder.</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ARTIES</w:t>
      </w:r>
      <w:r>
        <w:rPr>
          <w:rFonts w:ascii="Times New Roman" w:cs="Times New Roman" w:eastAsia="Times New Roman" w:hAnsi="Times New Roman"/>
          <w:sz w:val="18"/>
          <w:szCs w:val="18"/>
          <w:color w:val="auto"/>
        </w:rPr>
        <w:t>. This Agreement shall each inure to the benefit of and be binding upon the Underwriters and the Company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8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RIAL BY</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URY</w:t>
      </w:r>
      <w:r>
        <w:rPr>
          <w:rFonts w:ascii="Times New Roman" w:cs="Times New Roman" w:eastAsia="Times New Roman" w:hAnsi="Times New Roman"/>
          <w:sz w:val="18"/>
          <w:szCs w:val="18"/>
          <w:color w:val="auto"/>
        </w:rPr>
        <w:t>. The Company (on its behalf and, to the extent permitted by applicable law, on behalf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GOVERNING LAW</w:t>
      </w:r>
      <w:r>
        <w:rPr>
          <w:rFonts w:ascii="Times New Roman" w:cs="Times New Roman" w:eastAsia="Times New Roman" w:hAnsi="Times New Roman"/>
          <w:sz w:val="18"/>
          <w:szCs w:val="18"/>
          <w:color w:val="auto"/>
        </w:rPr>
        <w:t>. THIS AGREEMENT AND ANY CLAIM, CONTROVERSY OR DISPUTE ARISING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THIS AGREEMENT SHALL BE GOVERNED BY, AND CONSTRUED IN ACCORDANCE WITH THE LAWS OF, THE STATE OF NEW YORK WITHOUT REGARD TO ITS CHOICE OF LAW PROVISIONS.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URISDICTION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MMUNITY</w:t>
      </w:r>
      <w:r>
        <w:rPr>
          <w:rFonts w:ascii="Times New Roman" w:cs="Times New Roman" w:eastAsia="Times New Roman" w:hAnsi="Times New Roman"/>
          <w:sz w:val="18"/>
          <w:szCs w:val="18"/>
          <w:color w:val="auto"/>
        </w:rPr>
        <w:t>. Any legal suit, action or proceeding arising out of or based upon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the transactions contemplated hereby (“</w:t>
      </w:r>
      <w:r>
        <w:rPr>
          <w:rFonts w:ascii="Times New Roman" w:cs="Times New Roman" w:eastAsia="Times New Roman" w:hAnsi="Times New Roman"/>
          <w:sz w:val="18"/>
          <w:szCs w:val="18"/>
          <w:b w:val="1"/>
          <w:bCs w:val="1"/>
          <w:i w:val="1"/>
          <w:iCs w:val="1"/>
          <w:color w:val="auto"/>
        </w:rPr>
        <w:t>Related Proceedings</w:t>
      </w:r>
      <w:r>
        <w:rPr>
          <w:rFonts w:ascii="Times New Roman" w:cs="Times New Roman" w:eastAsia="Times New Roman" w:hAnsi="Times New Roman"/>
          <w:sz w:val="18"/>
          <w:szCs w:val="18"/>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i w:val="1"/>
          <w:i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irrevocably appoints Mereo US Holdings Inc. as its agent to receive service of process or other legal summons for purposes of any such suit, action or proceeding that may be instituted in any state or federal court in the City and County of New York. With respect to any Related Proceeding, each party irrevocably waives, 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3" w:name="page34"/>
    <w:bookmarkEnd w:id="3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UDGMENT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URRENCY</w:t>
      </w:r>
      <w:r>
        <w:rPr>
          <w:rFonts w:ascii="Times New Roman" w:cs="Times New Roman" w:eastAsia="Times New Roman" w:hAnsi="Times New Roman"/>
          <w:sz w:val="18"/>
          <w:szCs w:val="18"/>
          <w:color w:val="auto"/>
        </w:rPr>
        <w:t>. The obligations of the Company pursuant to this Agreement in respect of any sum due to any Underwriter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notwithstanding any judgment in a currency other than U.S. dollars, not be discharged until the first business day following receipt by such Underwriter of any sum adjudged to be so due in such other currency on which (and only to the extent that) such Underwriter may in accordance with normal banking procedures purchase U.S. dollars with such other currency. If the U.S. dollars so purchased are less than the sum originally due to such Underwriter hereunder, the Company agrees, as a separate obligation and notwithstanding any such judgment, to indemnify such Underwriter against such loss. If the U.S.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SECTION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TIME</w:t>
      </w:r>
      <w:r>
        <w:rPr>
          <w:rFonts w:ascii="Times New Roman" w:cs="Times New Roman" w:eastAsia="Times New Roman" w:hAnsi="Times New Roman"/>
          <w:sz w:val="18"/>
          <w:szCs w:val="18"/>
          <w:color w:val="auto"/>
        </w:rPr>
        <w:t>. TIME SHALL BE OF THE ESSENCE OF THIS AGREEMENT. EXCEPT AS OTHERWISE SET FORTH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TIMES OF DAY REFER TO NEW YORK CITY TIME.</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SECTION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ARTIAL</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NENFORCEABILITY</w:t>
      </w:r>
      <w:r>
        <w:rPr>
          <w:rFonts w:ascii="Times New Roman" w:cs="Times New Roman" w:eastAsia="Times New Roman" w:hAnsi="Times New Roman"/>
          <w:sz w:val="18"/>
          <w:szCs w:val="18"/>
          <w:color w:val="auto"/>
        </w:rPr>
        <w:t>. The invalidity or unenforceability of any Section, paragraph or provision of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color w:val="auto"/>
        </w:rPr>
        <w:t>. This Agreement may be executed in any number of counterparts (which may include counterparts delivered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FFECT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This Agreement supersedes all prior agreements and understandings (whether written or oral)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Underwriters, or any of them, with respect to the subject matter hereof.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4" w:name="page35"/>
    <w:bookmarkEnd w:id="34"/>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EREO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IOPHARMA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ROUP</w:t>
      </w:r>
      <w:r>
        <w:rPr>
          <w:rFonts w:ascii="Times New Roman" w:cs="Times New Roman" w:eastAsia="Times New Roman" w:hAnsi="Times New Roman"/>
          <w:sz w:val="18"/>
          <w:szCs w:val="18"/>
          <w:b w:val="1"/>
          <w:bCs w:val="1"/>
          <w:color w:val="auto"/>
        </w:rPr>
        <w:t xml:space="preserve"> PLC</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ONFIRMED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EFFERIES</w:t>
      </w:r>
      <w:r>
        <w:rPr>
          <w:rFonts w:ascii="Times New Roman" w:cs="Times New Roman" w:eastAsia="Times New Roman" w:hAnsi="Times New Roman"/>
          <w:sz w:val="18"/>
          <w:szCs w:val="18"/>
          <w:b w:val="1"/>
          <w:bCs w:val="1"/>
          <w:color w:val="auto"/>
        </w:rPr>
        <w:t xml:space="preserv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EERINK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ARTNERS</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ANTOR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ITZGERALD</w:t>
      </w:r>
      <w:r>
        <w:rPr>
          <w:rFonts w:ascii="Times New Roman" w:cs="Times New Roman" w:eastAsia="Times New Roman" w:hAnsi="Times New Roman"/>
          <w:sz w:val="18"/>
          <w:szCs w:val="18"/>
          <w:b w:val="1"/>
          <w:bCs w:val="1"/>
          <w:color w:val="auto"/>
        </w:rPr>
        <w:t xml:space="preserve">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EFFERIES</w:t>
      </w:r>
      <w:r>
        <w:rPr>
          <w:rFonts w:ascii="Times New Roman" w:cs="Times New Roman" w:eastAsia="Times New Roman" w:hAnsi="Times New Roman"/>
          <w:sz w:val="18"/>
          <w:szCs w:val="18"/>
          <w:b w:val="1"/>
          <w:bCs w:val="1"/>
          <w:color w:val="auto"/>
        </w:rPr>
        <w:t xml:space="preserve">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Fabbri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Jack Fabbri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EERINK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ARTNERS</w:t>
            </w:r>
            <w:r>
              <w:rPr>
                <w:rFonts w:ascii="Times New Roman" w:cs="Times New Roman" w:eastAsia="Times New Roman" w:hAnsi="Times New Roman"/>
                <w:sz w:val="18"/>
                <w:szCs w:val="18"/>
                <w:b w:val="1"/>
                <w:bCs w:val="1"/>
                <w:color w:val="auto"/>
              </w:rPr>
              <w:t xml:space="preserve"> LLC</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Gabriel P. Cavazos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Gabriel P. Cavazos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ANTOR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ITZGERALD</w:t>
            </w:r>
            <w:r>
              <w:rPr>
                <w:rFonts w:ascii="Times New Roman" w:cs="Times New Roman" w:eastAsia="Times New Roman" w:hAnsi="Times New Roman"/>
                <w:sz w:val="18"/>
                <w:szCs w:val="18"/>
                <w:b w:val="1"/>
                <w:bCs w:val="1"/>
                <w:color w:val="auto"/>
              </w:rPr>
              <w:t xml:space="preserve"> &amp; C</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Sage Kelly</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Sage Kelly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Global Head of Investment Banking</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35" w:name="page36"/>
    <w:bookmarkEnd w:id="35"/>
    <w:p>
      <w:pPr>
        <w:ind w:left="4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18"/>
          <w:szCs w:val="18"/>
          <w:b w:val="1"/>
          <w:bCs w:val="1"/>
          <w:color w:val="auto"/>
        </w:rPr>
        <w:t xml:space="preserv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price per ADS shall be $3.99.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price per ADS to be paid by the several Underwriters shall be $3.7506.</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Underwriter</w:t>
            </w:r>
          </w:p>
        </w:tc>
        <w:tc>
          <w:tcPr>
            <w:tcW w:w="5220" w:type="dxa"/>
            <w:vAlign w:val="bottom"/>
            <w:vMerge w:val="restart"/>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92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5,263,146</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4,636,581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2,631,573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12,531,300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579"/>
          </w:cols>
          <w:pgMar w:left="880" w:top="266" w:right="1440" w:bottom="1440" w:gutter="0" w:footer="0" w:header="0"/>
        </w:sectPr>
      </w:pPr>
    </w:p>
    <w:bookmarkStart w:id="36" w:name="page37"/>
    <w:bookmarkEnd w:id="36"/>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18"/>
          <w:szCs w:val="18"/>
          <w:b w:val="1"/>
          <w:bCs w:val="1"/>
          <w:color w:val="auto"/>
        </w:rPr>
        <w:t xml:space="preserve"> B-1</w:t>
      </w:r>
    </w:p>
    <w:p>
      <w:pPr>
        <w:spacing w:after="0" w:line="225"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b w:val="1"/>
          <w:bCs w:val="1"/>
          <w:color w:val="auto"/>
        </w:rPr>
        <w:t>PRICING TERMS</w:t>
      </w:r>
    </w:p>
    <w:p>
      <w:pPr>
        <w:spacing w:after="0" w:line="135"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12,531,300 Offered Securities.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shall be $3.99 per Offered Security.</w:t>
      </w:r>
    </w:p>
    <w:p>
      <w:pPr>
        <w:sectPr>
          <w:pgSz w:w="11900" w:h="16838" w:orient="portrait"/>
          <w:cols w:equalWidth="0" w:num="1">
            <w:col w:w="10023"/>
          </w:cols>
          <w:pgMar w:left="436" w:top="266" w:right="1440" w:bottom="1440" w:gutter="0" w:footer="0" w:header="0"/>
        </w:sectPr>
      </w:pPr>
    </w:p>
    <w:bookmarkStart w:id="37" w:name="page38"/>
    <w:bookmarkEnd w:id="37"/>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18"/>
          <w:szCs w:val="18"/>
          <w:b w:val="1"/>
          <w:bCs w:val="1"/>
          <w:color w:val="auto"/>
        </w:rPr>
        <w:t xml:space="preserve"> B-2</w:t>
      </w:r>
    </w:p>
    <w:p>
      <w:pPr>
        <w:spacing w:after="0" w:line="225"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LOCK-UP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(as defined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Proposed Public Offering by Mereo BioPharma Group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color w:val="auto"/>
        </w:rPr>
        <w:t>The undersigned, in its capacity as a securityholder, officer and/or director of Mereo BioPharma Group plc, a public limited company incorporated under the laws of England and Wales with registered number 09481161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understands that the Company proposes to enter into an Underwriting Agreement (the “</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with Jefferies LLC (“</w:t>
      </w:r>
      <w:r>
        <w:rPr>
          <w:rFonts w:ascii="Times New Roman" w:cs="Times New Roman" w:eastAsia="Times New Roman" w:hAnsi="Times New Roman"/>
          <w:sz w:val="17"/>
          <w:szCs w:val="17"/>
          <w:u w:val="single" w:color="auto"/>
          <w:color w:val="auto"/>
        </w:rPr>
        <w:t>Jefferies</w:t>
      </w:r>
      <w:r>
        <w:rPr>
          <w:rFonts w:ascii="Times New Roman" w:cs="Times New Roman" w:eastAsia="Times New Roman" w:hAnsi="Times New Roman"/>
          <w:sz w:val="17"/>
          <w:szCs w:val="17"/>
          <w:color w:val="auto"/>
        </w:rPr>
        <w:t>”), Leerink Partners LLC (“</w:t>
      </w:r>
      <w:r>
        <w:rPr>
          <w:rFonts w:ascii="Times New Roman" w:cs="Times New Roman" w:eastAsia="Times New Roman" w:hAnsi="Times New Roman"/>
          <w:sz w:val="17"/>
          <w:szCs w:val="17"/>
          <w:u w:val="single" w:color="auto"/>
          <w:color w:val="auto"/>
        </w:rPr>
        <w:t>Leerink Partners</w:t>
      </w:r>
      <w:r>
        <w:rPr>
          <w:rFonts w:ascii="Times New Roman" w:cs="Times New Roman" w:eastAsia="Times New Roman" w:hAnsi="Times New Roman"/>
          <w:sz w:val="17"/>
          <w:szCs w:val="17"/>
          <w:color w:val="auto"/>
        </w:rPr>
        <w:t>”) and Cantor Fitzgerald &amp; Co. (“</w:t>
      </w:r>
      <w:r>
        <w:rPr>
          <w:rFonts w:ascii="Times New Roman" w:cs="Times New Roman" w:eastAsia="Times New Roman" w:hAnsi="Times New Roman"/>
          <w:sz w:val="17"/>
          <w:szCs w:val="17"/>
          <w:u w:val="single" w:color="auto"/>
          <w:color w:val="auto"/>
        </w:rPr>
        <w:t>Cantor</w:t>
      </w:r>
      <w:r>
        <w:rPr>
          <w:rFonts w:ascii="Times New Roman" w:cs="Times New Roman" w:eastAsia="Times New Roman" w:hAnsi="Times New Roman"/>
          <w:sz w:val="17"/>
          <w:szCs w:val="17"/>
          <w:color w:val="auto"/>
        </w:rPr>
        <w:t>” and together with Jefferies and Leerink Partners,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u w:val="single" w:color="auto"/>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of ordinary shares of the Company, nominal value £0.003 each (“</w:t>
      </w:r>
      <w:r>
        <w:rPr>
          <w:rFonts w:ascii="Times New Roman" w:cs="Times New Roman" w:eastAsia="Times New Roman" w:hAnsi="Times New Roman"/>
          <w:sz w:val="17"/>
          <w:szCs w:val="17"/>
          <w:u w:val="single" w:color="auto"/>
          <w:color w:val="auto"/>
        </w:rPr>
        <w:t>Ordinary Shares</w:t>
      </w:r>
      <w:r>
        <w:rPr>
          <w:rFonts w:ascii="Times New Roman" w:cs="Times New Roman" w:eastAsia="Times New Roman" w:hAnsi="Times New Roman"/>
          <w:sz w:val="17"/>
          <w:szCs w:val="17"/>
          <w:color w:val="auto"/>
        </w:rPr>
        <w:t>”), to be delivered in the form of American Depositary Shares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each representing five Ordinary Shares. The ADSs to be offered in the Public Offering are referred to herein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as used herein refers to the period beginning on the date hereof and ending on the date that is 90 days from the date of the Prospectus (as such term is defined in the Underwriting Agreement).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recognition of the benefit that the Public Offering will confer upon the undersigned as a securityholder,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Lock-Up Period, the undersigned will not, without the prior written consent of the Representatives, on behalf of the Underwriters, directly or indirectly, (i) offer, pledge, sell, contract to sell, sell any option or contract to purchase, purchase any option or contract to sell, grant any option, right or warrant for the sale of, or otherwise dispose of or transfer any ADSs or Ordinary Shares or any securities convertible into or exchangeable or exercisable for ADSs or Ordinary Shares, in each case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U.S.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ADSs, Ordinary Shares or other securities, in cash or otherwise or (iii) publicly announce any intention to do any of the foregoing.</w:t>
      </w:r>
    </w:p>
    <w:p>
      <w:pPr>
        <w:sectPr>
          <w:pgSz w:w="11900" w:h="16838" w:orient="portrait"/>
          <w:cols w:equalWidth="0" w:num="1">
            <w:col w:w="11000"/>
          </w:cols>
          <w:pgMar w:left="440" w:top="266" w:right="45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and subject to the conditions below, the undersigned may transfer Lock-Up Securities without the prior written consent of the Representatives, provided that (1) except with respect to a transfer described in any of clauses (iii), (v), and (vii), the Representatives receive a signed lock-up agreement for the balance of the Lock-Up Period from each donee, trustee, distributee, or transferee, as the case may be, with respect to the Lock-Up Securities that have been transferred, (2) any such transfer shall not involve a disposition for value (3) the undersigned does not voluntarily effect any public filing or report regarding such transfers prior to the expiration of the Lock-Up Period and with respect to a transfer described in any of clauses (iii) and (v), no public disclosure or filing under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by any party to the transfer (donor, donee, transferor or transferee) shall be required reporting a reduction in beneficial ownership of Lock-Up Securities in connection with such transfer:</w:t>
      </w:r>
    </w:p>
    <w:p>
      <w:pPr>
        <w:spacing w:after="0" w:line="95"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“immediate family” shall mean any relationship by blood, marriage or adoption, not more remote than first cousin);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of Lock-Up Securities acquired on the open market following the closing of the Public Offering;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operation of law, including pursuant to a court or regulatory agency order, a qualified domestic relations order or in connection with a divorce settlement;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 or</w:t>
      </w:r>
    </w:p>
    <w:p>
      <w:pPr>
        <w:spacing w:after="0" w:line="130"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to the Company or in “sell to cover” transactions in the open market solely due as a result of the automatic vesting or settlement or in connection with the conversion of any convertible security into ADSs, or the exercise of any option or warrant into ADSs for any tax withholding obligation; provided that any filing under Section 16(a) of the Exchange Act shall indicate by footnotes thereto that the filing relates to the respective circumstances described above, and provided however, that in connection with such transfer or disposition, the undersigned may file a notice on Form 144 in connection therewith under the respective circumstances described above during the Lock-up Period.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no provision in this Agreement shall be deemed to restrict or prohibit (1) the transfer of the undersigned’s Lock-Up Securities to the Company in connection with the termination of the undersigned’s services to the Company, provided that no filing by any party under the Exchange Act or other public announcement shall be required or shall be made voluntarily in connection with such transfer prior to the expiration of the Lock-Up Period; (2) the award to, and the receipt, exercise or exchange by, the undersigned of any option or warrant to acquire any ADSs or Ordinary Shares or options to purchase ADSs or Ordinary Shares, provided that any exercise or exchange is done for cash or on a “cashless” or “net exercise” basis, pursuant to any share option, share bonus or other share plan or arrangement; provided, however, that the underlying ADSs or Ordinary Shares shall be subject to the restrictions on transfer set forth in this Agreement; (3) the transfer of Lock-Up Securities pursuant to a bona fide third-party tender offer for 100% of the Company’s outstanding share capital or a merger, consolidation or other similar transaction made to all holders of the Company’s Ordinary Shares involving a Change of Control (as defined below) of the Company, including, without limitation, the entering into any lock-up, voting or similar agreement or irrevocable undertaking pursuant to which the undersigned may agree to transfer, sell, tender or otherwise dispose of Lock-Up Securities in connection with such transaction, or vote any Lock-Up Securities in favor of any such transaction; provided, however, that in the event that such tender offer, merger, consolidation or other such transaction is not completed, Lock-Up Securities held by the undersigned that have not been transferred in accordance with the above provisions shall remain subject to the restrictions on transfer set forth in this Agreement during the Lock-Up Period; and (4) the conversion into Ordinary Shares of a convertible security of the Company outstanding on the date hereof, provided that any such Ordinary Shares received upon such conversion shall be subject to the</w:t>
      </w:r>
    </w:p>
    <w:p>
      <w:pPr>
        <w:sectPr>
          <w:pgSz w:w="11900" w:h="16838" w:orient="portrait"/>
          <w:cols w:equalWidth="0" w:num="1">
            <w:col w:w="10960"/>
          </w:cols>
          <w:pgMar w:left="440" w:top="270" w:right="499" w:bottom="1440" w:gutter="0" w:footer="0" w:header="0"/>
        </w:sectPr>
      </w:pPr>
    </w:p>
    <w:bookmarkStart w:id="40" w:name="page41"/>
    <w:bookmarkEnd w:id="40"/>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transfer set forth in this Agreement. For purposes of this Agreement,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transactions or a series of related transactions, to a person or group of affiliated persons (other than an Underwriter pursuant to the Public Offering), of the Company’s voting securities if, after such transfer, such person or group of affiliated persons would hold greater than 50% of the outstanding voting securities of the Company (or the surviving entity), provided that, for the avoidance of doubt, the Public Offering shall not constitute a Change of Control.</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during the Lock-Up Period, in either case, providing for sales of Ordinary Shares or ADSs, shall only be permitted to the extent a public announcement or filing under the Exchange Act (or its foreign equivalent), if any, is required from or voluntarily made by or on behalf of the undersigned or the Company regarding the establishment of such plan, such announcement or filing shall include a statement to the effect that no transfer of Ordinary Shares or ADSs may be made under such plan during the Lock-Up Period.</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The undersigned confirms that the undersigned has not, and has no knowledge that any immediate family has, directly or indirectly, taken any action designed to or that might reasonably be expected to cause or result in the stabilization or manipulation of the price of any security of the Company to facilitate the sale of the Securities. The undersigned will not, and will cause any immediate family not to take, directly or indirectly, any such action.</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the undersigned in connection with the Public Offering, the Underwriters are not making a recommendation to the undersigned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occurs as currently contemplated or at all depends on market conditions and other factors. The Public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Company files an application to withdraw the registration statement related to the Public Offering; (iii) the Underwriting Agreement is executed but is terminated prior to the closing of the Public Offering (other than the provisions thereof which survive termination), or (iv) June 28, 2024, in the event that the Underwriting Agreement has not been executed by such date.</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ectPr>
          <w:pgSz w:w="11900" w:h="16838" w:orient="portrait"/>
          <w:cols w:equalWidth="0" w:num="1">
            <w:col w:w="11000"/>
          </w:cols>
          <w:pgMar w:left="440" w:top="270" w:right="45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be governed by, and construed in accordance with, the laws of the State of New York without regard to the conflict of laws principles thereof.</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b w:val="1"/>
          <w:bCs w:val="1"/>
          <w:color w:val="auto"/>
        </w:rPr>
        <w:t>]</w:t>
      </w:r>
    </w:p>
    <w:p>
      <w:pPr>
        <w:sectPr>
          <w:pgSz w:w="11900" w:h="16838" w:orient="portrait"/>
          <w:cols w:equalWidth="0" w:num="1">
            <w:col w:w="10420"/>
          </w:cols>
          <w:pgMar w:left="440" w:top="270" w:right="10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292735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292735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51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6924"/>
        <w:spacing w:after="0"/>
        <w:rPr>
          <w:sz w:val="20"/>
          <w:szCs w:val="20"/>
          <w:color w:val="auto"/>
        </w:rPr>
      </w:pPr>
      <w:r>
        <w:rPr>
          <w:rFonts w:ascii="Times New Roman" w:cs="Times New Roman" w:eastAsia="Times New Roman" w:hAnsi="Times New Roman"/>
          <w:sz w:val="18"/>
          <w:szCs w:val="18"/>
          <w:color w:val="auto"/>
        </w:rPr>
        <w:t>99 Bishopsgate</w:t>
      </w:r>
    </w:p>
    <w:p>
      <w:pPr>
        <w:spacing w:after="0" w:line="27" w:lineRule="exact"/>
        <w:rPr>
          <w:sz w:val="20"/>
          <w:szCs w:val="20"/>
          <w:color w:val="auto"/>
        </w:rPr>
      </w:pPr>
    </w:p>
    <w:p>
      <w:pPr>
        <w:ind w:left="6924"/>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ind w:left="6924"/>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6924"/>
        <w:spacing w:after="0"/>
        <w:rPr>
          <w:sz w:val="20"/>
          <w:szCs w:val="20"/>
          <w:color w:val="auto"/>
        </w:rPr>
      </w:pPr>
      <w:r>
        <w:rPr>
          <w:rFonts w:ascii="Times New Roman" w:cs="Times New Roman" w:eastAsia="Times New Roman" w:hAnsi="Times New Roman"/>
          <w:sz w:val="18"/>
          <w:szCs w:val="18"/>
          <w:color w:val="auto"/>
        </w:rPr>
        <w:t>Tel: +44(0)20.7710.1000 Fax: +44(0)20.7374.4460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90309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095" cy="171450"/>
                    </a:xfrm>
                    <a:prstGeom prst="rect">
                      <a:avLst/>
                    </a:prstGeom>
                    <a:noFill/>
                  </pic:spPr>
                </pic:pic>
              </a:graphicData>
            </a:graphic>
          </wp:anchor>
        </w:drawing>
      </w:r>
    </w:p>
    <w:p>
      <w:pPr>
        <w:ind w:left="6924"/>
        <w:spacing w:after="0"/>
        <w:rPr>
          <w:sz w:val="20"/>
          <w:szCs w:val="20"/>
          <w:color w:val="auto"/>
        </w:rPr>
      </w:pPr>
      <w:r>
        <w:rPr>
          <w:rFonts w:ascii="Times New Roman" w:cs="Times New Roman" w:eastAsia="Times New Roman" w:hAnsi="Times New Roman"/>
          <w:sz w:val="18"/>
          <w:szCs w:val="18"/>
          <w:color w:val="auto"/>
        </w:rPr>
        <w:t>www.lw.com</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FIRM / AFFILIATE OFFICES</w:t>
            </w:r>
          </w:p>
        </w:tc>
        <w:tc>
          <w:tcPr>
            <w:tcW w:w="1280" w:type="dxa"/>
            <w:vAlign w:val="bottom"/>
          </w:tcPr>
          <w:p>
            <w:pPr>
              <w:spacing w:after="0"/>
              <w:rPr>
                <w:sz w:val="13"/>
                <w:szCs w:val="13"/>
                <w:color w:val="auto"/>
              </w:rPr>
            </w:pP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Austin</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Beijing</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Boston</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Brussels</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Century City</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14 June 2024</w:t>
            </w: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Chicago</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Dubai</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Düsseldorf</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Frankfurt</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Hamburg</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Hong Kong</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London</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4580" w:type="dxa"/>
            <w:vAlign w:val="bottom"/>
          </w:tcPr>
          <w:p>
            <w:pPr>
              <w:spacing w:after="0"/>
              <w:rPr>
                <w:sz w:val="18"/>
                <w:szCs w:val="18"/>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Los Angeles</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4580" w:type="dxa"/>
            <w:vAlign w:val="bottom"/>
          </w:tcPr>
          <w:p>
            <w:pPr>
              <w:spacing w:after="0"/>
              <w:rPr>
                <w:sz w:val="20"/>
                <w:szCs w:val="20"/>
                <w:color w:val="auto"/>
              </w:rPr>
            </w:pPr>
          </w:p>
        </w:tc>
        <w:tc>
          <w:tcPr>
            <w:tcW w:w="4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Madrid</w:t>
            </w:r>
          </w:p>
        </w:tc>
        <w:tc>
          <w:tcPr>
            <w:tcW w:w="1280" w:type="dxa"/>
            <w:vAlign w:val="bottom"/>
          </w:tcPr>
          <w:p>
            <w:pPr>
              <w:spacing w:after="0"/>
              <w:rPr>
                <w:sz w:val="20"/>
                <w:szCs w:val="20"/>
                <w:color w:val="auto"/>
              </w:rPr>
            </w:pPr>
          </w:p>
        </w:tc>
      </w:tr>
      <w:tr>
        <w:trPr>
          <w:trHeight w:val="414"/>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tc>
        <w:tc>
          <w:tcPr>
            <w:tcW w:w="4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4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c>
          <w:tcPr>
            <w:tcW w:w="4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One Cavendish Place</w:t>
            </w:r>
          </w:p>
        </w:tc>
        <w:tc>
          <w:tcPr>
            <w:tcW w:w="4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London W1G 0QF</w:t>
            </w:r>
          </w:p>
        </w:tc>
        <w:tc>
          <w:tcPr>
            <w:tcW w:w="4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14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9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Mereo BioPharma Group plc (the “Company”) – Registration Statement on Form S-3 Exhibit 5.1</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have acted as English legal advisers to the Company, a public limited company incorporated in England and Wales, in connection with an offering of 12,531,000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five (5) ordinary shares of £0.003 each in the capital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4" w:right="4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and filing of a registration statement on Form S-3 to which this opinion letter is attached as an exhibit (such registration statement, as amended, including the documents incorporated by reference therein,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we have been asked to provide an opinion on certain matters, as set out below. We have taken instructions in this regard solely from the Company.</w:t>
      </w:r>
    </w:p>
    <w:p>
      <w:pPr>
        <w:spacing w:after="0" w:line="6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Defined terms and 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964" w:right="500" w:hanging="532"/>
        <w:spacing w:after="0" w:line="282"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For the purpose of issuing this letter, we have examined such matters of fact and questions of law as we have considered appropriate. We have reviewed only the following documents and conducted only the following enquiries and searches:</w:t>
      </w:r>
    </w:p>
    <w:p>
      <w:pPr>
        <w:spacing w:after="0" w:line="162"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ectPr>
          <w:pgSz w:w="11900" w:h="16838" w:orient="portrait"/>
          <w:cols w:equalWidth="0" w:num="1">
            <w:col w:w="11024"/>
          </w:cols>
          <w:pgMar w:left="436" w:top="117" w:right="439" w:bottom="1440" w:gutter="0" w:footer="0" w:header="0"/>
        </w:sectPr>
      </w:pPr>
    </w:p>
    <w:bookmarkStart w:id="44" w:name="page45"/>
    <w:bookmarkEnd w:id="44"/>
    <w:p>
      <w:pPr>
        <w:ind w:left="540" w:hanging="532"/>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32016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20015"/>
                    </a:xfrm>
                    <a:prstGeom prst="rect">
                      <a:avLst/>
                    </a:prstGeom>
                    <a:noFill/>
                  </pic:spPr>
                </pic:pic>
              </a:graphicData>
            </a:graphic>
          </wp:anchor>
        </w:drawing>
        <w:t>an online search at the UK Companies House in respect of the Company conducted on 14 June 2024;</w:t>
      </w:r>
    </w:p>
    <w:p>
      <w:pPr>
        <w:spacing w:after="0" w:line="130" w:lineRule="exact"/>
        <w:rPr>
          <w:rFonts w:ascii="Times New Roman" w:cs="Times New Roman" w:eastAsia="Times New Roman" w:hAnsi="Times New Roman"/>
          <w:sz w:val="18"/>
          <w:szCs w:val="18"/>
          <w:color w:val="auto"/>
        </w:rPr>
      </w:pPr>
    </w:p>
    <w:p>
      <w:pPr>
        <w:ind w:left="540" w:right="34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14 June 2024 at 10:03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3 December 2020 approving the establishment of a financing and share allotment committee of the board of directors of the Company (the “</w:t>
      </w:r>
      <w:r>
        <w:rPr>
          <w:rFonts w:ascii="Times New Roman" w:cs="Times New Roman" w:eastAsia="Times New Roman" w:hAnsi="Times New Roman"/>
          <w:sz w:val="18"/>
          <w:szCs w:val="18"/>
          <w:b w:val="1"/>
          <w:bCs w:val="1"/>
          <w:color w:val="auto"/>
        </w:rPr>
        <w:t>Financing Committee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2 August 2021, 2 June 2023 and 5 April 2024 approving, among other things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terms of reference of the Financing Committee, together with such terms of reference;</w:t>
      </w:r>
    </w:p>
    <w:p>
      <w:pPr>
        <w:spacing w:after="0" w:line="67"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14 May 2024, authorising, among other things, the preparation and filing of the Registration Statement;</w:t>
      </w:r>
    </w:p>
    <w:p>
      <w:pPr>
        <w:spacing w:after="0" w:line="67" w:lineRule="exact"/>
        <w:rPr>
          <w:rFonts w:ascii="Times New Roman" w:cs="Times New Roman" w:eastAsia="Times New Roman" w:hAnsi="Times New Roman"/>
          <w:sz w:val="18"/>
          <w:szCs w:val="18"/>
          <w:color w:val="auto"/>
        </w:rPr>
      </w:pPr>
    </w:p>
    <w:p>
      <w:pPr>
        <w:ind w:left="540" w:right="140" w:hanging="532"/>
        <w:spacing w:after="0" w:line="312" w:lineRule="auto"/>
        <w:tabs>
          <w:tab w:leader="none" w:pos="5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PDF copy of the minutes of a meeting of the board of directors of the Company dated 9 June 2024 pursuant to which the Company approved the Offering in principle and delegated authority in connection with the approval of the Offering to the Financing Committee;</w:t>
      </w:r>
    </w:p>
    <w:p>
      <w:pPr>
        <w:spacing w:after="0" w:line="45" w:lineRule="exact"/>
        <w:rPr>
          <w:rFonts w:ascii="Times New Roman" w:cs="Times New Roman" w:eastAsia="Times New Roman" w:hAnsi="Times New Roman"/>
          <w:sz w:val="17"/>
          <w:szCs w:val="17"/>
          <w:color w:val="auto"/>
        </w:rPr>
      </w:pPr>
    </w:p>
    <w:p>
      <w:pPr>
        <w:ind w:left="540" w:right="180" w:hanging="532"/>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a meeting of the Financing Committee dated 11 June 2024, 12 June 2024 and 13 June 2024 authorising, among other things, the execution of the Underwriting Agreement, the sale and offering of the ADSs and the allotment and issue of the Ordinary Shares;</w:t>
      </w:r>
    </w:p>
    <w:p>
      <w:pPr>
        <w:spacing w:after="0" w:line="77" w:lineRule="exact"/>
        <w:rPr>
          <w:rFonts w:ascii="Times New Roman" w:cs="Times New Roman" w:eastAsia="Times New Roman" w:hAnsi="Times New Roman"/>
          <w:sz w:val="18"/>
          <w:szCs w:val="18"/>
          <w:color w:val="auto"/>
        </w:rPr>
      </w:pPr>
    </w:p>
    <w:p>
      <w:pPr>
        <w:ind w:left="540" w:right="100" w:hanging="532"/>
        <w:spacing w:after="0" w:line="28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annual general meeting of shareholders of the Company held on 22 May 2023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Minutes</w:t>
      </w:r>
      <w:r>
        <w:rPr>
          <w:rFonts w:ascii="Times New Roman" w:cs="Times New Roman" w:eastAsia="Times New Roman" w:hAnsi="Times New Roman"/>
          <w:sz w:val="18"/>
          <w:szCs w:val="18"/>
          <w:color w:val="auto"/>
        </w:rPr>
        <w:t>”) which included resolutions, amongst others:</w:t>
      </w:r>
    </w:p>
    <w:p>
      <w:pPr>
        <w:spacing w:after="0" w:line="60" w:lineRule="exact"/>
        <w:rPr>
          <w:rFonts w:ascii="Times New Roman" w:cs="Times New Roman" w:eastAsia="Times New Roman" w:hAnsi="Times New Roman"/>
          <w:sz w:val="18"/>
          <w:szCs w:val="18"/>
          <w:color w:val="auto"/>
        </w:rPr>
      </w:pPr>
    </w:p>
    <w:p>
      <w:pPr>
        <w:jc w:val="both"/>
        <w:ind w:left="1000" w:right="200" w:hanging="439"/>
        <w:spacing w:after="0" w:line="268"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board of directors of the Company, for the purposes of section 551 of the Companies Act 2006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allot shares in the Company, and to grant rights to subscribe for or convert any security into shares in the capital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up to a maximum aggregate nominal amount of £2,494,456.76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disapplying section 561 of the Companies Act in respect of the allotment of Equity Securities or the sale of treasury shares up to an aggregate nominal amount of £2,494,456.76,</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2023 Shareholder Resolutions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40" w:right="240" w:hanging="53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New York law governed Underwriting Agreement between the Company, Jefferies LLC, Leerink Partners LLC and Cantor Fitzgerald &amp; Co. dated 14 June 2024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certificate of incorporation of the Company dated 10 March 2015 and certificate of incorporation on re-registration of the Company dated 23 June 2016;</w:t>
      </w:r>
    </w:p>
    <w:p>
      <w:pPr>
        <w:spacing w:after="0" w:line="67"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of the Company which were adopted by special resolution passed on 16 May 2022 and amended by a special resolution passed on 18 December 2023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40"/>
          </w:cols>
          <w:pgMar w:left="860" w:top="729" w:right="599" w:bottom="1440" w:gutter="0" w:footer="0" w:header="0"/>
        </w:sectPr>
      </w:pPr>
    </w:p>
    <w:bookmarkStart w:id="45" w:name="page46"/>
    <w:bookmarkEnd w:id="45"/>
    <w:p>
      <w:pPr>
        <w:ind w:left="964" w:right="8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32016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20015"/>
                    </a:xfrm>
                    <a:prstGeom prst="rect">
                      <a:avLst/>
                    </a:prstGeom>
                    <a:noFill/>
                  </pic:spPr>
                </pic:pic>
              </a:graphicData>
            </a:graphic>
          </wp:anchor>
        </w:drawing>
        <w:t>a PDF copy of the Registration Statement on Form S-3 filed with the SEC on 15 May 2024 and declared effective on 22 May 2024, a base prospectus dated 22 May 2024 as supplemented by a final prospectus supplement dated 14 June 2024.</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81" w:lineRule="exact"/>
        <w:rPr>
          <w:sz w:val="20"/>
          <w:szCs w:val="20"/>
          <w:color w:val="auto"/>
        </w:rPr>
      </w:pPr>
    </w:p>
    <w:p>
      <w:pPr>
        <w:ind w:left="964" w:right="200" w:hanging="532"/>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Assumptions and reservations</w:t>
      </w:r>
    </w:p>
    <w:p>
      <w:pPr>
        <w:spacing w:after="0" w:line="119"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is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pacing w:after="0" w:line="77"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132" w:lineRule="exact"/>
        <w:rPr>
          <w:rFonts w:ascii="Times New Roman" w:cs="Times New Roman" w:eastAsia="Times New Roman" w:hAnsi="Times New Roman"/>
          <w:sz w:val="18"/>
          <w:szCs w:val="18"/>
          <w:b w:val="1"/>
          <w:bCs w:val="1"/>
          <w:color w:val="auto"/>
        </w:rPr>
      </w:pPr>
    </w:p>
    <w:p>
      <w:pPr>
        <w:ind w:left="964" w:right="18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and supplemented, having become effective under the Securities Act and continuing to be so effective;</w:t>
      </w:r>
    </w:p>
    <w:p>
      <w:pPr>
        <w:spacing w:after="0" w:line="67"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time of the allotment and issue of Ordinary Shares being duly authorised pursuant to the articles of association of the Company in force at the time of such allotment and issue, the Companies Act and any relevant authority given by the members of the Company to allot such Ordinary Shares and any rights of pre-emption under such articles of association or the Companies Act in respect of such allotment having been validly disapplied; and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Ordinary Shares in the books and registers of the Company,</w:t>
      </w:r>
    </w:p>
    <w:p>
      <w:pPr>
        <w:spacing w:after="0" w:line="117" w:lineRule="exact"/>
        <w:rPr>
          <w:sz w:val="20"/>
          <w:szCs w:val="20"/>
          <w:color w:val="auto"/>
        </w:rPr>
      </w:pPr>
    </w:p>
    <w:p>
      <w:pPr>
        <w:ind w:left="444" w:right="80"/>
        <w:spacing w:after="0" w:line="282" w:lineRule="auto"/>
        <w:rPr>
          <w:sz w:val="20"/>
          <w:szCs w:val="20"/>
          <w:color w:val="auto"/>
        </w:rPr>
      </w:pPr>
      <w:r>
        <w:rPr>
          <w:rFonts w:ascii="Times New Roman" w:cs="Times New Roman" w:eastAsia="Times New Roman" w:hAnsi="Times New Roman"/>
          <w:sz w:val="18"/>
          <w:szCs w:val="18"/>
          <w:color w:val="auto"/>
        </w:rPr>
        <w:t>it is our opinion that the Ordinary Shares were duly and validly authorised and issued, fully paid or credited as fully paid (subject to the receipt of valid consideration by the Company for the issue thereof), and are not subject to any call for payment of further capital.</w:t>
      </w:r>
    </w:p>
    <w:p>
      <w:pPr>
        <w:spacing w:after="0" w:line="63"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Offering.</w:t>
      </w:r>
    </w:p>
    <w:p>
      <w:pPr>
        <w:spacing w:after="0" w:line="53" w:lineRule="exact"/>
        <w:rPr>
          <w:rFonts w:ascii="Times New Roman" w:cs="Times New Roman" w:eastAsia="Times New Roman" w:hAnsi="Times New Roman"/>
          <w:sz w:val="18"/>
          <w:szCs w:val="18"/>
          <w:b w:val="1"/>
          <w:bCs w:val="1"/>
          <w:color w:val="auto"/>
        </w:rPr>
      </w:pPr>
    </w:p>
    <w:p>
      <w:pPr>
        <w:jc w:val="both"/>
        <w:ind w:left="444"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729" w:right="459" w:bottom="1440" w:gutter="0" w:footer="0" w:header="0"/>
        </w:sectPr>
      </w:pPr>
    </w:p>
    <w:bookmarkStart w:id="46" w:name="page47"/>
    <w:bookmarkEnd w:id="46"/>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56019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37160"/>
                    </a:xfrm>
                    <a:prstGeom prst="rect">
                      <a:avLst/>
                    </a:prstGeom>
                    <a:noFill/>
                  </pic:spPr>
                </pic:pic>
              </a:graphicData>
            </a:graphic>
          </wp:anchor>
        </w:drawing>
        <w:t>RELIANCE AND DISCLOSURE</w:t>
      </w:r>
    </w:p>
    <w:p>
      <w:pPr>
        <w:spacing w:after="0" w:line="121" w:lineRule="exact"/>
        <w:rPr>
          <w:rFonts w:ascii="Times New Roman" w:cs="Times New Roman" w:eastAsia="Times New Roman" w:hAnsi="Times New Roman"/>
          <w:sz w:val="18"/>
          <w:szCs w:val="18"/>
          <w:b w:val="1"/>
          <w:bCs w:val="1"/>
          <w:color w:val="auto"/>
        </w:rPr>
      </w:pPr>
    </w:p>
    <w:p>
      <w:pPr>
        <w:ind w:left="444"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67"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Ordinary Shares from the Company), without our prior written consent, which may be granted or withheld in our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LATHAM &amp; WATKINS</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752" w:right="4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31" w:lineRule="exact"/>
        <w:rPr>
          <w:sz w:val="20"/>
          <w:szCs w:val="20"/>
          <w:color w:val="auto"/>
        </w:rPr>
      </w:pPr>
    </w:p>
    <w:p>
      <w:pPr>
        <w:ind w:left="96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remain in full force and effect, and no alteration has been made to the Articles of Association prior to the date on which the Ordinary Shares were allotted and issued (the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and that the position has not changed since the times at which the Searches were made and that the results of the Searches remained complete and accurate as at the Allotment Date;</w:t>
      </w:r>
    </w:p>
    <w:p>
      <w:pPr>
        <w:spacing w:after="0" w:line="81"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Underwriting Agreement (and the other documents referred to therein) remains accurate and complete and has not been amended, terminated or otherwise discharged as at the date of this letter;</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persons executing the Underwriting Agreement on behalf of the relevant parties thereto executed an identical final version of such document, in each case in the form reviewed by us;</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fraud or mutual mistake of fact or law or any other arrangements, agreements, understandings or course of conduct or prior or subsequent dealings, amending, rescinding or modifying or suspending any of the terms of the Underwriting Agreement or which would result in the inclusion of additional terms therein, and that the parties have acted in accordance with the terms of the Underwriting Agreement;</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requirements and conditions precedent for the Underwriting Agreement to be entered into have been satisfied;</w:t>
      </w:r>
    </w:p>
    <w:p>
      <w:pPr>
        <w:spacing w:after="0" w:line="130" w:lineRule="exact"/>
        <w:rPr>
          <w:rFonts w:ascii="Times New Roman" w:cs="Times New Roman" w:eastAsia="Times New Roman" w:hAnsi="Times New Roman"/>
          <w:sz w:val="18"/>
          <w:szCs w:val="18"/>
          <w:color w:val="auto"/>
        </w:rPr>
      </w:pPr>
    </w:p>
    <w:p>
      <w:pPr>
        <w:ind w:left="960" w:right="60" w:hanging="532"/>
        <w:spacing w:after="0" w:line="253"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proceedings and resolutions described in the minutes of the meetings of the board of directors of the Company and of the Financing Committee were duly conducted as so described, and that the meetings referred to therein were duly constituted and convened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such resolutions were duly adopted, and have not been revoked or varied and remained in full force and effect as at the Allotment Date, and (ii) the resolutions described in the written resolutions of the board of directors of the Company were duly passed as written resolutions of the board of directors of the Company and all constitutional, statutory and other formalities were duly observed (including, if applicable, those relating to the declaration of directors’ interests or the power of interested directors to vote) and such resolutions were duly adopted, and have not been revoked or varied and remained in full force and effect as at the Allotment Date;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48" w:name="page49"/>
    <w:bookmarkEnd w:id="48"/>
    <w:p>
      <w:pPr>
        <w:ind w:left="540" w:right="120" w:hanging="532"/>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proceedings and resolutions (including, for the avoidance of doubt, the 2023 Shareholder Resolutions) described in the General Meeting Minutes provided to us were duly conducted as so described and that the meeting referred to therein was duly constituted and convened and all constitutional, statutory and other formalities were duly observed, a quorum was present throughout, the requisite majority of shareholders voted in favour of approving the resolutions and the resolutions passed thereat were duly adopted, have not been revoked or varied and remained in full force and effect and will remain so as at the Allotment Date;</w:t>
      </w:r>
    </w:p>
    <w:p>
      <w:pPr>
        <w:spacing w:after="0" w:line="88" w:lineRule="exact"/>
        <w:rPr>
          <w:rFonts w:ascii="Times New Roman" w:cs="Times New Roman" w:eastAsia="Times New Roman" w:hAnsi="Times New Roman"/>
          <w:sz w:val="18"/>
          <w:szCs w:val="18"/>
          <w:color w:val="auto"/>
        </w:rPr>
      </w:pPr>
    </w:p>
    <w:p>
      <w:pPr>
        <w:ind w:left="540" w:right="62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the Allotment Date, the authority granted pursuant to the 2023 Shareholder Resolutions remained unutilised to the extent necessary to permit such allotment and issue of Ordinary Shares;</w:t>
      </w:r>
    </w:p>
    <w:p>
      <w:pPr>
        <w:spacing w:after="0" w:line="67"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the Ordinary Shares, the Company shall have received “cash consideration” (as such term is defined in section 583(3) of the Companies Act) in full, equal to the subscription price payable for such Ordinary Shares and shall have entered the holder or holders thereof in the register of members of the Company showing that all such Ordinary Shares shall have been fully paid up as to their nominal value and any premium thereon as at the Allotment Date;</w:t>
      </w:r>
    </w:p>
    <w:p>
      <w:pPr>
        <w:spacing w:after="0" w:line="85"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the Allotment Date, the directors of the Company had sufficient authority and powers conferred upon them to allot and issue such Ordinary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Ordinary Shares in excess of such powers or in breach of any other limitation on their power to allot and issue Ordinary Shares;</w:t>
      </w:r>
    </w:p>
    <w:p>
      <w:pPr>
        <w:spacing w:after="0" w:line="88"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Ordinary Shares shall be allotted or issued, or are or shall be committed to be allotted or issued, at a discount to their nominal value (whether in pounds sterling or equivalent in any other currency);</w:t>
      </w:r>
    </w:p>
    <w:p>
      <w:pPr>
        <w:spacing w:after="0" w:line="67" w:lineRule="exact"/>
        <w:rPr>
          <w:rFonts w:ascii="Times New Roman" w:cs="Times New Roman" w:eastAsia="Times New Roman" w:hAnsi="Times New Roman"/>
          <w:sz w:val="18"/>
          <w:szCs w:val="18"/>
          <w:color w:val="auto"/>
        </w:rPr>
      </w:pPr>
    </w:p>
    <w:p>
      <w:pPr>
        <w:ind w:left="540" w:right="42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allotment and issue of Ordinary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81"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was, at the Allotment Date, no matter affecting the authority of the directors to issue and allot the Ordinary Shares which would have any adverse implications in relation to the opinion given above;</w:t>
      </w:r>
    </w:p>
    <w:p>
      <w:pPr>
        <w:spacing w:after="0" w:line="67"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Underwriting Agreement and all obligations thereunder have been entered into and the Ordinary Shares will be allotted and issued in good faith and on bona fide commercial terms and on arms’ length terms and for the purpose of carrying on the business of the Company and that there will be reasonable grounds for believing that the entry into the Underwriting Agreement and the allotment and issue of the Ordinary Shares will promote the success of the Company for the benefit of its members as a whole;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60" w:top="270" w:right="479" w:bottom="1440" w:gutter="0" w:footer="0" w:header="0"/>
        </w:sectPr>
      </w:pPr>
    </w:p>
    <w:bookmarkStart w:id="49" w:name="page50"/>
    <w:bookmarkEnd w:id="49"/>
    <w:p>
      <w:pPr>
        <w:ind w:left="540" w:right="260" w:hanging="532"/>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in relation to the allotment and issue of the Ordinary Shares, the directors of the Company have acted and will act in the manner required by section 172 of the Companies Act (Duty to promote the success of the Company), and there has not and will not be any bad faith, breach of duty, breach of trust, fraud, coercion, duress or undue influence on the part of any of the directors of the Company in relation to the allotment and issue of Ordinary Shares;</w:t>
      </w:r>
    </w:p>
    <w:p>
      <w:pPr>
        <w:spacing w:after="0" w:line="85" w:lineRule="exact"/>
        <w:rPr>
          <w:rFonts w:ascii="Times New Roman" w:cs="Times New Roman" w:eastAsia="Times New Roman" w:hAnsi="Times New Roman"/>
          <w:sz w:val="18"/>
          <w:szCs w:val="18"/>
          <w:color w:val="auto"/>
        </w:rPr>
      </w:pPr>
    </w:p>
    <w:p>
      <w:pPr>
        <w:ind w:left="540" w:right="120" w:hanging="532"/>
        <w:spacing w:after="0" w:line="258"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Ordinary Shares or rights to subscribe for Ordinary Shares have been or shall be offered to the public in the United Kingdom in breach of the Financial Services and Markets Act 2000,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Ordinary Shares in breach of section 21 of FSMA or any other United Kingdom laws or regulations relating to offers or invitations to subscribe for, or to acquire rights to subscribe for or otherwise acquire, Ordinary Shares or other securities;</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Ordinary Shares, the Company is not carrying on a regulated activity for the purposes of section 19 of FSMA;</w:t>
      </w:r>
    </w:p>
    <w:p>
      <w:pPr>
        <w:spacing w:after="0" w:line="130"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the allotment and issue of Ordinary Shares will be consistent with all such laws and regulations;</w:t>
      </w:r>
    </w:p>
    <w:p>
      <w:pPr>
        <w:spacing w:after="0" w:line="67" w:lineRule="exact"/>
        <w:rPr>
          <w:rFonts w:ascii="Times New Roman" w:cs="Times New Roman" w:eastAsia="Times New Roman" w:hAnsi="Times New Roman"/>
          <w:sz w:val="18"/>
          <w:szCs w:val="18"/>
          <w:color w:val="auto"/>
        </w:rPr>
      </w:pPr>
    </w:p>
    <w:p>
      <w:pPr>
        <w:ind w:left="540" w:right="260" w:hanging="532"/>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except to the extent expressly set out in the opinion given in this letter no consents, approvals, authorisations, orders, licences, registrations, filings or similar formalities are required from any governmental or regulatory authority in connection with the execution, delivery and performance of the Registration Statement by the Company or if such consents, approvals, authorisations, orders, licences, registrations, filings or similar formalities are required, these have been made or will be made within the prescribed time limits; and</w:t>
      </w:r>
    </w:p>
    <w:p>
      <w:pPr>
        <w:spacing w:after="0" w:line="8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67" w:lineRule="exact"/>
        <w:rPr>
          <w:rFonts w:ascii="Times New Roman" w:cs="Times New Roman" w:eastAsia="Times New Roman" w:hAnsi="Times New Roman"/>
          <w:sz w:val="18"/>
          <w:szCs w:val="18"/>
          <w:color w:val="auto"/>
        </w:rPr>
      </w:pPr>
    </w:p>
    <w:p>
      <w:pPr>
        <w:ind w:left="1000" w:right="620" w:hanging="439"/>
        <w:spacing w:after="0" w:line="282"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or bankruptcy or similar procedures in other relevant jurisdictions, of; or</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w:t>
      </w:r>
    </w:p>
    <w:p>
      <w:pPr>
        <w:spacing w:after="0" w:line="117"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had not been taken as at the Allotment Date.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31" w:lineRule="exact"/>
        <w:rPr>
          <w:sz w:val="20"/>
          <w:szCs w:val="20"/>
          <w:color w:val="auto"/>
        </w:rPr>
      </w:pPr>
    </w:p>
    <w:p>
      <w:pPr>
        <w:ind w:left="960" w:right="6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42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65" w:lineRule="exact"/>
        <w:rPr>
          <w:rFonts w:ascii="Times New Roman" w:cs="Times New Roman" w:eastAsia="Times New Roman" w:hAnsi="Times New Roman"/>
          <w:sz w:val="18"/>
          <w:szCs w:val="18"/>
          <w:color w:val="auto"/>
        </w:rPr>
      </w:pPr>
    </w:p>
    <w:p>
      <w:pPr>
        <w:ind w:left="1420" w:right="80" w:hanging="439"/>
        <w:spacing w:after="0" w:line="267"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relevant country or territory;</w:t>
      </w:r>
    </w:p>
    <w:p>
      <w:pPr>
        <w:spacing w:after="0" w:line="8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77" w:lineRule="exact"/>
        <w:rPr>
          <w:rFonts w:ascii="Times New Roman" w:cs="Times New Roman" w:eastAsia="Times New Roman" w:hAnsi="Times New Roman"/>
          <w:sz w:val="18"/>
          <w:szCs w:val="18"/>
          <w:color w:val="auto"/>
        </w:rPr>
      </w:pPr>
    </w:p>
    <w:p>
      <w:pPr>
        <w:jc w:val="both"/>
        <w:ind w:left="960" w:right="220" w:hanging="532"/>
        <w:spacing w:after="0" w:line="268"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consideration, analysis or assessment of whether the National Security &amp; Investment Act 2021 (“</w:t>
      </w:r>
      <w:r>
        <w:rPr>
          <w:rFonts w:ascii="Times New Roman" w:cs="Times New Roman" w:eastAsia="Times New Roman" w:hAnsi="Times New Roman"/>
          <w:sz w:val="18"/>
          <w:szCs w:val="18"/>
          <w:b w:val="1"/>
          <w:bCs w:val="1"/>
          <w:color w:val="auto"/>
        </w:rPr>
        <w:t>NS&amp;IA</w:t>
      </w:r>
      <w:r>
        <w:rPr>
          <w:rFonts w:ascii="Times New Roman" w:cs="Times New Roman" w:eastAsia="Times New Roman" w:hAnsi="Times New Roman"/>
          <w:sz w:val="18"/>
          <w:szCs w:val="18"/>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51" w:name="page52"/>
    <w:bookmarkEnd w:id="51"/>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Mereo BioPharma Announces Pricing of $50 Million Underwritten Registered Direct Offering of American Depository Shares, Priced At-the-Market</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London, June 14, 2024 </w:t>
      </w:r>
      <w:r>
        <w:rPr>
          <w:rFonts w:ascii="Times New Roman" w:cs="Times New Roman" w:eastAsia="Times New Roman" w:hAnsi="Times New Roman"/>
          <w:sz w:val="18"/>
          <w:szCs w:val="18"/>
          <w:color w:val="auto"/>
        </w:rPr>
        <w:t>- 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the pricing of an underwritten offering of 12,531,300 of its American Depositary Shares (“ADSs”). Each ADS is being sold at a price of $3.99 per ADS in an underwritten registered direct offering priced at-the-market under Nasdaq rules. The gross proceeds from the offering, before deducting underwriting discounts and commissions and offering expenses, are expected to be approximately $50.0 million. Each ADS represents five ordinary shares of Mereo. The net proceeds of this offering are expected to be used to fund the setrusumab program, including supply and pre-launch activities in Europe, and for working capital and other general corporate purposes. The offering is expected to close on or about June 17, 2024, subject to the satisfaction of customary closing conditions.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Participants in the offering include new investors Frazier Life Sciences, Deerfield Management, and Perceptive Advisors, and existing Mereo shareholders, including Rubric Capital Management, Rock Springs Capital, and Janus Henderson Investors along with other leading healthcare-focused institutional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Leerink Partners and Cantor are acting as joint book-running managers for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shelf registration statement on Form S-3 (File No. 333-279433) relating to the offering of the ADSs described above was declared effective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(“SEC”) on May 22, 2024. The offering is being made only by means of a prospectus supplement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prospectus that form a part of the registration statement. A final prospectus supplement relating to and describing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will be filed with the SEC and will be available on the SEC’s website at www.sec.gov. When available, copies of the final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and accompanying prospectus relating to these securities may also be obtained by sending a request to: Jefferies LLC, Attention: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 Prospectus Department, 520 Madison Avenue, New York, NY 10022, by telephone at (877) 821-7388, or by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prospectus_department@jefferies.com; Leerink Partners LLC, Attention: Syndicate Department, 53 State Street, 40th Floor, Boston, MA 02109, by</w:t>
      </w:r>
    </w:p>
    <w:p>
      <w:pPr>
        <w:spacing w:after="0" w:line="181" w:lineRule="auto"/>
        <w:rPr>
          <w:sz w:val="20"/>
          <w:szCs w:val="20"/>
          <w:color w:val="auto"/>
        </w:rPr>
      </w:pPr>
      <w:r>
        <w:rPr>
          <w:rFonts w:ascii="Times New Roman" w:cs="Times New Roman" w:eastAsia="Times New Roman" w:hAnsi="Times New Roman"/>
          <w:sz w:val="18"/>
          <w:szCs w:val="18"/>
          <w:color w:val="auto"/>
        </w:rPr>
        <w:t>telephone at (800) 808-7525, ext. 6105 or by email at syndicate@leerink.com; or Cantor Fitzgerald &amp; Co., Attention: Capital Markets, 110 East 59</w:t>
      </w:r>
      <w:r>
        <w:rPr>
          <w:rFonts w:ascii="Times New Roman" w:cs="Times New Roman" w:eastAsia="Times New Roman" w:hAnsi="Times New Roman"/>
          <w:sz w:val="26"/>
          <w:szCs w:val="26"/>
          <w:color w:val="auto"/>
          <w:vertAlign w:val="superscript"/>
        </w:rPr>
        <w:t>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Street, 6th Floor, New York, New York 10022, or by email at </w:t>
      </w:r>
      <w:r>
        <w:rPr>
          <w:rFonts w:ascii="Times New Roman" w:cs="Times New Roman" w:eastAsia="Times New Roman" w:hAnsi="Times New Roman"/>
          <w:sz w:val="18"/>
          <w:szCs w:val="18"/>
          <w:u w:val="single" w:color="auto"/>
          <w:color w:val="auto"/>
        </w:rPr>
        <w:t>prospectus@cantor.com</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these securities, nor will there be any sale of these securities in any state or other jurisdiction in which such offer, solicitation or sale is not permitted.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w:t>
      </w:r>
    </w:p>
    <w:p>
      <w:pPr>
        <w:sectPr>
          <w:pgSz w:w="11900" w:h="16838" w:orient="portrait"/>
          <w:cols w:equalWidth="0" w:num="1">
            <w:col w:w="11020"/>
          </w:cols>
          <w:pgMar w:left="440" w:top="117" w:right="439" w:bottom="1440" w:gutter="0" w:footer="0" w:header="0"/>
        </w:sectPr>
      </w:pPr>
    </w:p>
    <w:bookmarkStart w:id="52" w:name="page53"/>
    <w:bookmarkEnd w:id="5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severe alpha-1 antitrypsin deficiency-associated lung disease (AATD-LD). The Company’s partner, Ultragenyx Pharmaceutical, Inc., has completed enrollment in the Phase 3 portion of a pivotal Phase 2/3 pediatric study in young adults (5 to 25 years old) for setrusumab in OI and in the Phase 3 study in pediatric patients (2 to &lt;7 years old) in the first half of 2024.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3" w:name="page54"/>
    <w:bookmarkEnd w:id="53"/>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3260" w:type="dxa"/>
            <w:vAlign w:val="bottom"/>
            <w:gridSpan w:val="3"/>
          </w:tcPr>
          <w:p>
            <w:pPr>
              <w:ind w:left="880"/>
              <w:spacing w:after="0" w:line="198" w:lineRule="exact"/>
              <w:rPr>
                <w:sz w:val="20"/>
                <w:szCs w:val="20"/>
                <w:color w:val="auto"/>
              </w:rPr>
            </w:pPr>
            <w:r>
              <w:rPr>
                <w:rFonts w:ascii="Times New Roman" w:cs="Times New Roman" w:eastAsia="Times New Roman" w:hAnsi="Times New Roman"/>
                <w:sz w:val="18"/>
                <w:szCs w:val="18"/>
                <w:color w:val="auto"/>
                <w:w w:val="98"/>
              </w:rPr>
              <w:t>investors@mereobiopharma.com</w:t>
            </w:r>
          </w:p>
        </w:tc>
      </w:tr>
      <w:tr>
        <w:trPr>
          <w:trHeight w:val="385"/>
        </w:trPr>
        <w:tc>
          <w:tcPr>
            <w:tcW w:w="48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
      <w:numFmt w:val="bullet"/>
      <w:start w:val="1"/>
    </w:lvl>
  </w:abstractNum>
  <w:abstractNum w:abstractNumId="2">
    <w:nsid w:val="7FDCC233"/>
    <w:multiLevelType w:val="hybridMultilevel"/>
    <w:lvl w:ilvl="0">
      <w:lvlJc w:val="left"/>
      <w:lvlText w:val="(%1)"/>
      <w:numFmt w:val="lowerRoman"/>
      <w:start w:val="9"/>
    </w:lvl>
  </w:abstractNum>
  <w:abstractNum w:abstractNumId="3">
    <w:nsid w:val="1BEFD79F"/>
    <w:multiLevelType w:val="hybridMultilevel"/>
    <w:lvl w:ilvl="0">
      <w:lvlJc w:val="left"/>
      <w:lvlText w:val="(%1)"/>
      <w:numFmt w:val="upperLetter"/>
      <w:start w:val="2"/>
    </w:lvl>
  </w:abstractNum>
  <w:abstractNum w:abstractNumId="4">
    <w:nsid w:val="41A7C4C9"/>
    <w:multiLevelType w:val="hybridMultilevel"/>
    <w:lvl w:ilvl="0">
      <w:lvlJc w:val="left"/>
      <w:lvlText w:val="(%1)"/>
      <w:numFmt w:val="upperLetter"/>
      <w:start w:val="5"/>
    </w:lvl>
  </w:abstractNum>
  <w:abstractNum w:abstractNumId="5">
    <w:nsid w:val="6B68079A"/>
    <w:multiLevelType w:val="hybridMultilevel"/>
    <w:lvl w:ilvl="0">
      <w:lvlJc w:val="left"/>
      <w:lvlText w:val="(%1)"/>
      <w:numFmt w:val="upperLetter"/>
      <w:start w:val="3"/>
    </w:lvl>
  </w:abstractNum>
  <w:abstractNum w:abstractNumId="6">
    <w:nsid w:val="4E6AFB66"/>
    <w:multiLevelType w:val="hybridMultilevel"/>
    <w:lvl w:ilvl="0">
      <w:lvlJc w:val="left"/>
      <w:lvlText w:val="(%1)"/>
      <w:numFmt w:val="lowerRoman"/>
      <w:start w:val="4"/>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lvl w:ilvl="1">
      <w:lvlJc w:val="left"/>
      <w:lvlText w:val="(%2)"/>
      <w:numFmt w:val="lowerRoman"/>
      <w:start w:val="1"/>
    </w:lvl>
  </w:abstractNum>
  <w:abstractNum w:abstractNumId="14">
    <w:nsid w:val="436C6125"/>
    <w:multiLevelType w:val="hybridMultilevel"/>
    <w:lvl w:ilvl="0">
      <w:lvlJc w:val="left"/>
      <w:lvlText w:val="(%1)"/>
      <w:numFmt w:val="lowerLetter"/>
      <w:start w:val="9"/>
    </w:lvl>
  </w:abstractNum>
  <w:abstractNum w:abstractNumId="15">
    <w:nsid w:val="628C895D"/>
    <w:multiLevelType w:val="hybridMultilevel"/>
    <w:lvl w:ilvl="0">
      <w:lvlJc w:val="left"/>
      <w:lvlText w:val="(%1)"/>
      <w:numFmt w:val="lowerLetter"/>
      <w:start w:val="1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decimal"/>
      <w:start w:val="2"/>
    </w:lvl>
    <w:lvl w:ilvl="1">
      <w:lvlJc w:val="left"/>
      <w:lvlText w:val="(%2)"/>
      <w:numFmt w:val="lowerLetter"/>
      <w:start w:val="1"/>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1"/>
    </w:lvl>
  </w:abstractNum>
  <w:abstractNum w:abstractNumId="22">
    <w:nsid w:val="8EDBDAB"/>
    <w:multiLevelType w:val="hybridMultilevel"/>
    <w:lvl w:ilvl="0">
      <w:lvlJc w:val="left"/>
      <w:lvlText w:val="(%1)"/>
      <w:numFmt w:val="lowerLetter"/>
      <w:start w:val="19"/>
    </w:lvl>
    <w:lvl w:ilvl="1">
      <w:lvlJc w:val="left"/>
      <w:lvlText w:val="(%2)"/>
      <w:numFmt w:val="lowerRoman"/>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lvl w:ilvl="1">
      <w:lvlJc w:val="left"/>
      <w:lvlText w:val="(%2)"/>
      <w:numFmt w:val="lowerRoman"/>
      <w:start w:val="1"/>
    </w:lvl>
  </w:abstractNum>
  <w:abstractNum w:abstractNumId="25">
    <w:nsid w:val="B03E0C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2024-06-14T15:52:36Z</dcterms:created>
  <dcterms:modified xsi:type="dcterms:W3CDTF">2024-06-14T15:52:36Z</dcterms:modified>
</cp:coreProperties>
</file>