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152400</wp:posOffset>
            </wp:positionV>
            <wp:extent cx="1294765" cy="1037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20, 2019</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324"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Dear OncoMed Pharmaceuticals, Inc. Stockholders:</w:t>
      </w:r>
    </w:p>
    <w:p>
      <w:pPr>
        <w:spacing w:after="0" w:line="106" w:lineRule="exact"/>
        <w:rPr>
          <w:sz w:val="24"/>
          <w:szCs w:val="24"/>
          <w:color w:val="auto"/>
        </w:rPr>
      </w:pPr>
    </w:p>
    <w:p>
      <w:pPr>
        <w:ind w:left="200" w:right="60" w:firstLine="331"/>
        <w:spacing w:after="0" w:line="248" w:lineRule="auto"/>
        <w:rPr>
          <w:sz w:val="20"/>
          <w:szCs w:val="20"/>
          <w:color w:val="auto"/>
        </w:rPr>
      </w:pPr>
      <w:r>
        <w:rPr>
          <w:rFonts w:ascii="Arial" w:cs="Arial" w:eastAsia="Arial" w:hAnsi="Arial"/>
          <w:sz w:val="16"/>
          <w:szCs w:val="16"/>
          <w:color w:val="auto"/>
        </w:rPr>
        <w:t>Mereo BioPharma Group plc (“Mereo”) and OncoMed Pharmaceuticals, Inc. (“OncoMed”) have entered into an Agreement and Plan of Merger and Reorganization, dated as of December 5, 2018 (the “Merger Agreement”), under which an indirect, wholly-owned subsidiary of Mereo will be merged with and into OncoMed (the “Merger”), and OncoMed will continue as the surviving corporation in the Merger and an indirect, wholly-owned subsidiary of Mereo. If the Merger is completed, OncoMed stockholders will receive, in exchange for each share of OncoMed common stock owned immediately prior to the Merger (1) a number of American Depositary Shares (the “Mereo ADSs”), each representing five Mereo ordinary shares, determined by reference to the exchange ratio set forth in the Merger Agreement, and (2) one contingent value right, representing the right to receive contingent consideration upon the achievement of certain milestones relating to certain OncoMed products. Under the exchange ratio formula set forth in the Merger Agreement, as of immediately following the effective time of the Merger, former OncoMed stockholders are expected to own approximately 25% of Mereo and its subsidiaries (including OncoMed) on an undiluted basis following the Merger, subject to adjustment for the net cash held by OncoMed at the time of the closing of the Merger.</w:t>
      </w:r>
    </w:p>
    <w:p>
      <w:pPr>
        <w:spacing w:after="0" w:line="206" w:lineRule="exact"/>
        <w:rPr>
          <w:sz w:val="24"/>
          <w:szCs w:val="24"/>
          <w:color w:val="auto"/>
        </w:rPr>
      </w:pPr>
    </w:p>
    <w:p>
      <w:pPr>
        <w:jc w:val="both"/>
        <w:ind w:left="200" w:right="260" w:firstLine="331"/>
        <w:spacing w:after="0" w:line="253" w:lineRule="auto"/>
        <w:rPr>
          <w:sz w:val="20"/>
          <w:szCs w:val="20"/>
          <w:color w:val="auto"/>
        </w:rPr>
      </w:pPr>
      <w:r>
        <w:rPr>
          <w:rFonts w:ascii="Arial" w:cs="Arial" w:eastAsia="Arial" w:hAnsi="Arial"/>
          <w:sz w:val="16"/>
          <w:szCs w:val="16"/>
          <w:color w:val="auto"/>
        </w:rPr>
        <w:t>OncoMed common stock trades on The Nasdaq Stock Market (“Nasdaq”) under the ticker symbol “OMED.” As of March 19, 2019, the last trading day before the date of this proxy statement/prospectus, the last reported sales price of OncoMed common stock at the end of regular trading hours, as reported on Nasdaq, was $0.95.</w:t>
      </w:r>
    </w:p>
    <w:p>
      <w:pPr>
        <w:spacing w:after="0" w:line="201" w:lineRule="exact"/>
        <w:rPr>
          <w:sz w:val="24"/>
          <w:szCs w:val="24"/>
          <w:color w:val="auto"/>
        </w:rPr>
      </w:pPr>
    </w:p>
    <w:p>
      <w:pPr>
        <w:ind w:left="200" w:right="60" w:firstLine="331"/>
        <w:spacing w:after="0" w:line="251" w:lineRule="auto"/>
        <w:rPr>
          <w:sz w:val="20"/>
          <w:szCs w:val="20"/>
          <w:color w:val="auto"/>
        </w:rPr>
      </w:pPr>
      <w:r>
        <w:rPr>
          <w:rFonts w:ascii="Arial" w:cs="Arial" w:eastAsia="Arial" w:hAnsi="Arial"/>
          <w:sz w:val="16"/>
          <w:szCs w:val="16"/>
          <w:color w:val="auto"/>
        </w:rPr>
        <w:t>Mereo ordinary shares trade on the Alternative Investment Market operated by the London Stock Exchange (“AIM”) under the ticker symbol “MPH.” Prior to consummation of the Merger, Mereo intends to file an initial listing application for the Mereo ADSs with Nasdaq. After completion of the Merger, Mereo ADSs are expected to be listed for trading on Nasdaq under the symbol “MREO.” As of March 19, 2019, the last trading day before the date of this proxy statement/prospectus, the last reported sales price of Mereo ordinary shares at the end of regular trading hours, as reported on AIM, was £1.68.</w:t>
      </w:r>
    </w:p>
    <w:p>
      <w:pPr>
        <w:spacing w:after="0" w:line="203" w:lineRule="exact"/>
        <w:rPr>
          <w:sz w:val="24"/>
          <w:szCs w:val="24"/>
          <w:color w:val="auto"/>
        </w:rPr>
      </w:pPr>
    </w:p>
    <w:p>
      <w:pPr>
        <w:ind w:left="200" w:right="100" w:firstLine="331"/>
        <w:spacing w:after="0" w:line="250" w:lineRule="auto"/>
        <w:rPr>
          <w:sz w:val="20"/>
          <w:szCs w:val="20"/>
          <w:color w:val="auto"/>
        </w:rPr>
      </w:pPr>
      <w:r>
        <w:rPr>
          <w:rFonts w:ascii="Arial" w:cs="Arial" w:eastAsia="Arial" w:hAnsi="Arial"/>
          <w:sz w:val="16"/>
          <w:szCs w:val="16"/>
          <w:color w:val="auto"/>
        </w:rPr>
        <w:t>OncoMed stockholders are cordially invited to attend the special meeting of OncoMed stockholders. The special meeting will be held at 8:00 a.m., local time, on April 17, 2019, at OncoMed’s headquarters located at 800 Chesapeake Drive, Redwood City, California 94063. At the special meeting, OncoMed stockholders will be asked to vote on the approval and adoption of the Merger Agreement, the approval, on a non-binding, advisory basis, of the transaction-related named executive officer compensation and the approval of the adjournment of the special meeting, if necessary or appropriate, to solicit additional proxies if there are not sufficient votes to approve and adopt the Merger Agreement.</w:t>
      </w:r>
    </w:p>
    <w:p>
      <w:pPr>
        <w:spacing w:after="0" w:line="203" w:lineRule="exact"/>
        <w:rPr>
          <w:sz w:val="24"/>
          <w:szCs w:val="24"/>
          <w:color w:val="auto"/>
        </w:rPr>
      </w:pPr>
    </w:p>
    <w:p>
      <w:pPr>
        <w:ind w:left="200" w:right="60" w:firstLine="331"/>
        <w:spacing w:after="0" w:line="251" w:lineRule="auto"/>
        <w:rPr>
          <w:sz w:val="20"/>
          <w:szCs w:val="20"/>
          <w:color w:val="auto"/>
        </w:rPr>
      </w:pPr>
      <w:r>
        <w:rPr>
          <w:rFonts w:ascii="Arial" w:cs="Arial" w:eastAsia="Arial" w:hAnsi="Arial"/>
          <w:sz w:val="16"/>
          <w:szCs w:val="16"/>
          <w:color w:val="auto"/>
        </w:rPr>
        <w:t>The exchange of OncoMed common stock for merger consideration in the Merger is expected to be a taxable transaction for U.S. federal income tax purposes to U.S. Holders (as defined in “Material U.S. Federal Income Tax Considerations”). We encourage OncoMed stockholders to carefully review the information under “Material U.S. Federal Income Tax Considerations” beginning on page 283 of the accompanying proxy statement/prospectus for a description of material U.S. federal income tax consequences of the Merger.</w:t>
      </w:r>
    </w:p>
    <w:p>
      <w:pPr>
        <w:spacing w:after="0" w:line="183" w:lineRule="exact"/>
        <w:rPr>
          <w:sz w:val="24"/>
          <w:szCs w:val="24"/>
          <w:color w:val="auto"/>
        </w:rPr>
      </w:pPr>
    </w:p>
    <w:p>
      <w:pPr>
        <w:jc w:val="both"/>
        <w:ind w:left="200" w:right="240" w:firstLine="331"/>
        <w:spacing w:after="0" w:line="259" w:lineRule="auto"/>
        <w:rPr>
          <w:sz w:val="20"/>
          <w:szCs w:val="20"/>
          <w:color w:val="auto"/>
        </w:rPr>
      </w:pPr>
      <w:r>
        <w:rPr>
          <w:rFonts w:ascii="Arial" w:cs="Arial" w:eastAsia="Arial" w:hAnsi="Arial"/>
          <w:sz w:val="16"/>
          <w:szCs w:val="16"/>
          <w:color w:val="auto"/>
        </w:rPr>
        <w:t xml:space="preserve">We cannot complete the Merger without the approval and adoption of the Merger Agreement by OncoMed stockholders. </w:t>
      </w:r>
      <w:r>
        <w:rPr>
          <w:rFonts w:ascii="Arial" w:cs="Arial" w:eastAsia="Arial" w:hAnsi="Arial"/>
          <w:sz w:val="16"/>
          <w:szCs w:val="16"/>
          <w:b w:val="1"/>
          <w:bCs w:val="1"/>
          <w:color w:val="auto"/>
        </w:rPr>
        <w:t>It is important that your</w:t>
      </w:r>
      <w:r>
        <w:rPr>
          <w:rFonts w:ascii="Arial" w:cs="Arial" w:eastAsia="Arial" w:hAnsi="Arial"/>
          <w:sz w:val="16"/>
          <w:szCs w:val="16"/>
          <w:color w:val="auto"/>
        </w:rPr>
        <w:t xml:space="preserve"> </w:t>
      </w:r>
      <w:r>
        <w:rPr>
          <w:rFonts w:ascii="Arial" w:cs="Arial" w:eastAsia="Arial" w:hAnsi="Arial"/>
          <w:sz w:val="16"/>
          <w:szCs w:val="16"/>
          <w:b w:val="1"/>
          <w:bCs w:val="1"/>
          <w:color w:val="auto"/>
        </w:rPr>
        <w:t>shares of OncoMed common stock be represented and voted regardless of the size of your holdings. Whether or not you plan to attend the special meeting, we urge you to submit a proxy to have your shares of OncoMed common stock voted in advance of the special meeting by using one of the methods described in the accompanying proxy statement/prospectus.</w:t>
      </w:r>
    </w:p>
    <w:p>
      <w:pPr>
        <w:spacing w:after="0" w:line="178" w:lineRule="exact"/>
        <w:rPr>
          <w:sz w:val="24"/>
          <w:szCs w:val="24"/>
          <w:color w:val="auto"/>
        </w:rPr>
      </w:pPr>
    </w:p>
    <w:p>
      <w:pPr>
        <w:ind w:left="200" w:right="480" w:firstLine="331"/>
        <w:spacing w:after="0" w:line="259" w:lineRule="auto"/>
        <w:rPr>
          <w:sz w:val="20"/>
          <w:szCs w:val="20"/>
          <w:color w:val="auto"/>
        </w:rPr>
      </w:pPr>
      <w:r>
        <w:rPr>
          <w:rFonts w:ascii="Arial" w:cs="Arial" w:eastAsia="Arial" w:hAnsi="Arial"/>
          <w:sz w:val="16"/>
          <w:szCs w:val="16"/>
          <w:b w:val="1"/>
          <w:bCs w:val="1"/>
          <w:color w:val="auto"/>
        </w:rPr>
        <w:t>The OncoMed board of directors recommends that OncoMed stockholders vote “FOR” the approval and adoption of the Merger Agreement, “FOR” the approval, on a non-binding, advisory basis, of the transaction-related named executive officer compensation and “FOR” the adjournment of the special meeting, if necessary or appropriate, to solicit additional proxies if there are not sufficient votes to approve and adopt the Merger Agreement.</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 xml:space="preserve">The accompanying proxy statement/prospectus provides important information regarding the special meeting and a detailed description of the Merger Agreement, the Merger and the matters to be presented at the special meeting. </w:t>
      </w:r>
      <w:r>
        <w:rPr>
          <w:rFonts w:ascii="Arial" w:cs="Arial" w:eastAsia="Arial" w:hAnsi="Arial"/>
          <w:sz w:val="18"/>
          <w:szCs w:val="18"/>
          <w:b w:val="1"/>
          <w:bCs w:val="1"/>
          <w:color w:val="auto"/>
        </w:rPr>
        <w:t>We urge you to read the</w:t>
      </w:r>
      <w:r>
        <w:rPr>
          <w:rFonts w:ascii="Arial" w:cs="Arial" w:eastAsia="Arial" w:hAnsi="Arial"/>
          <w:sz w:val="18"/>
          <w:szCs w:val="18"/>
          <w:color w:val="auto"/>
        </w:rPr>
        <w:t xml:space="preserve"> </w:t>
      </w:r>
      <w:r>
        <w:rPr>
          <w:rFonts w:ascii="Arial" w:cs="Arial" w:eastAsia="Arial" w:hAnsi="Arial"/>
          <w:sz w:val="18"/>
          <w:szCs w:val="18"/>
          <w:b w:val="1"/>
          <w:bCs w:val="1"/>
          <w:color w:val="auto"/>
        </w:rPr>
        <w:t>accompanying proxy statement/prospectus, including all documents incorporated by reference into the accompanying proxy statement/prospectus, and its annexes carefully and in their entirety. Please pay particular attention to “Risk Factors” beginning on page 41 of the accompanying proxy statement/prospectus.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hope to see you at the special meeting and look forward to the successful completion of the Merger.</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Perry Karsen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279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Perry Karsen</w:t>
      </w:r>
    </w:p>
    <w:p>
      <w:pPr>
        <w:ind w:left="200"/>
        <w:spacing w:after="0" w:line="234" w:lineRule="auto"/>
        <w:rPr>
          <w:sz w:val="20"/>
          <w:szCs w:val="20"/>
          <w:color w:val="auto"/>
        </w:rPr>
      </w:pPr>
      <w:r>
        <w:rPr>
          <w:rFonts w:ascii="Arial" w:cs="Arial" w:eastAsia="Arial" w:hAnsi="Arial"/>
          <w:sz w:val="18"/>
          <w:szCs w:val="18"/>
          <w:i w:val="1"/>
          <w:iCs w:val="1"/>
          <w:color w:val="auto"/>
        </w:rPr>
        <w:t>Chairman of the Board of 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Pharmaceuticals, Inc.</w:t>
      </w:r>
    </w:p>
    <w:p>
      <w:pPr>
        <w:spacing w:after="0" w:line="190" w:lineRule="exact"/>
        <w:rPr>
          <w:sz w:val="20"/>
          <w:szCs w:val="20"/>
          <w:color w:val="auto"/>
        </w:rPr>
      </w:pPr>
    </w:p>
    <w:p>
      <w:pPr>
        <w:ind w:left="200" w:right="120" w:firstLine="331"/>
        <w:spacing w:after="0" w:line="24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or the securities to be issued in connection with the Merger as described in the accompanying proxy statement/prospectus, passed upon the merits or fairness of the Merger or determined that the accompanying proxy statement/prospectus is accurate or complete. Any representation to the contrary is a criminal offense.</w:t>
      </w:r>
    </w:p>
    <w:p>
      <w:pPr>
        <w:spacing w:after="0" w:line="196"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accompanying proxy statement/prospectus is dated March 20, 2019, and is first being mailed to OncoMed stockholders on or about March 20, 2019.</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205740</wp:posOffset>
            </wp:positionV>
            <wp:extent cx="1294765" cy="103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800 Chesapeake Drive</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Redwood City, California 94063</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TO BE HELD ON APRIL 17, 2019</w:t>
      </w:r>
    </w:p>
    <w:p>
      <w:pPr>
        <w:jc w:val="right"/>
        <w:spacing w:after="0"/>
        <w:rPr>
          <w:sz w:val="20"/>
          <w:szCs w:val="20"/>
          <w:color w:val="auto"/>
        </w:rPr>
      </w:pPr>
      <w:r>
        <w:rPr>
          <w:rFonts w:ascii="Arial" w:cs="Arial" w:eastAsia="Arial" w:hAnsi="Arial"/>
          <w:sz w:val="18"/>
          <w:szCs w:val="18"/>
          <w:color w:val="auto"/>
        </w:rPr>
        <w:t>March 20, 2019</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the Stockholders of OncoMed Pharmaceuticals, Inc.:</w:t>
      </w:r>
    </w:p>
    <w:p>
      <w:pPr>
        <w:spacing w:after="0" w:line="21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 special meeting of stockholders of OncoMed Pharmaceuticals, Inc., a Delaware corporation (“OncoMed”), will be held at 8:00 a.m., local time, on April 17, 2019, at OncoMed’s headquarters located at 800 Chesapeake Drive, Redwood City, California 94063. At the special meeting, OncoMed stockholders will be asked to take action:</w:t>
      </w:r>
    </w:p>
    <w:p>
      <w:pPr>
        <w:spacing w:after="0" w:line="230" w:lineRule="exact"/>
        <w:rPr>
          <w:sz w:val="20"/>
          <w:szCs w:val="20"/>
          <w:color w:val="auto"/>
        </w:rPr>
      </w:pPr>
    </w:p>
    <w:p>
      <w:pPr>
        <w:ind w:left="960" w:right="20" w:hanging="432"/>
        <w:spacing w:after="0" w:line="229" w:lineRule="auto"/>
        <w:tabs>
          <w:tab w:leader="none" w:pos="96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and adopt the Agreement and Plan of Merger and Reorganization, dated as of December 5, 2018 (a copy of which is attached as Annex A to the accompanying proxy statement/prospectus) (the “Merger Agreement”), by and among OncoMed, Mereo BioPharma Group plc, a public limited company incorporated under the laws of England and Wales (“Mereo”), Mereo US Holdings Inc., a Delaware corporation and direct, wholly-owned subsidiary of Mereo, and Mereo MergerCo One Inc., a Delaware corporation and direct, wholly-owned subsidiary of HoldCo, pursuant to which Merger Sub will be merged with and into OncoMed (the “Merger”), and OncoMed will continue as the surviving corporation in the Merger and an indirect, wholly-owned subsidiary of Mereo (the “Merger Proposal”);</w:t>
      </w:r>
    </w:p>
    <w:p>
      <w:pPr>
        <w:spacing w:after="0" w:line="32" w:lineRule="exact"/>
        <w:rPr>
          <w:rFonts w:ascii="MS PGothic" w:cs="MS PGothic" w:eastAsia="MS PGothic" w:hAnsi="MS PGothic"/>
          <w:sz w:val="25"/>
          <w:szCs w:val="25"/>
          <w:color w:val="auto"/>
          <w:vertAlign w:val="superscript"/>
        </w:rPr>
      </w:pPr>
    </w:p>
    <w:p>
      <w:pPr>
        <w:ind w:left="960" w:right="340" w:hanging="432"/>
        <w:spacing w:after="0" w:line="226" w:lineRule="auto"/>
        <w:tabs>
          <w:tab w:leader="none" w:pos="96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on a non-binding, advisory basis, the compensation payments that will or may be paid by OncoMed or Mereo to OncoMed’s named executive officers and that are based on or otherwise related to the Merger and the agreements and understandings pursuant to which such compensation may be paid or become payable, referred to as the transaction-related named executive officer compensation (the “Advisory Vote Proposal”); and</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the adjournment of the special meeting, if necessary or appropriate, to solicit additional proxies if there are not sufficient votes to approve and adopt the Merger Agreement (the “Adjournment Proposal”).</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OncoMed will transact no other business at the special meeting except such business as may properly be brought before the special meeting or any adjournment or postponement thereof. Please refer to the accompanying proxy statement/prospectus for further information with respect to the business to be transacted at the special meeting.</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OncoMed board of directors (the “OncoMed Board”) has fixed the close of business on March 19, 2019 as the record date for the special meeting, referred to as the record date. Only holders of OncoMed common stock as of the record date are entitled to notice of, and to vote at, the special meeting and any adjournment or postponement thereof.</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After careful consideration, the OncoMed Board unanimously determined that the Merger Agreement and the transactions contemplated by the Merger Agreement are advisable and in the best interests of OncoMed stockholders and has unanimously approved the Merger Agreement.</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331"/>
        <w:spacing w:after="0" w:line="244"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 The approval of the Merger Proposal by OncoMed stockholders is a condition to the obligations of OncoMed and Mereo to complete the Merger. Neither the approval of the Advisory Vote Proposal nor the approval of the Adjournment Proposal is a condition to the obligations of OncoMed or Mereo to complete the Merger.</w:t>
      </w:r>
    </w:p>
    <w:p>
      <w:pPr>
        <w:spacing w:after="0" w:line="177"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b w:val="1"/>
          <w:bCs w:val="1"/>
          <w:color w:val="auto"/>
        </w:rPr>
        <w:t>Your vote is very important. Whether or not you expect to attend the special meeting in person, we urge you to submit a proxy as promptly as possible by (1) accessing the Internet website specified on your proxy card, (2) calling the toll-free number specified on the enclosed proxy card or (3) marking, signing, dating and returning the enclosed proxy card in the postage-paid envelope provided, so that your shares may be represented and voted at the special meeting. If your shares are held in the name of a broker or other nominee, please follow the instructions on the voting instruction card furnished by the record holder. For participants in OncoMed’s benefit plans, the proxy card will serve as voting instructions for the trustee or custodian of the relevant benefit plan.</w:t>
      </w:r>
    </w:p>
    <w:p>
      <w:pPr>
        <w:spacing w:after="0" w:line="201" w:lineRule="exact"/>
        <w:rPr>
          <w:sz w:val="20"/>
          <w:szCs w:val="20"/>
          <w:color w:val="auto"/>
        </w:rPr>
      </w:pPr>
    </w:p>
    <w:p>
      <w:pPr>
        <w:ind w:left="200" w:right="140" w:firstLine="331"/>
        <w:spacing w:after="0" w:line="253" w:lineRule="auto"/>
        <w:rPr>
          <w:sz w:val="20"/>
          <w:szCs w:val="20"/>
          <w:color w:val="auto"/>
        </w:rPr>
      </w:pPr>
      <w:r>
        <w:rPr>
          <w:rFonts w:ascii="Arial" w:cs="Arial" w:eastAsia="Arial" w:hAnsi="Arial"/>
          <w:sz w:val="17"/>
          <w:szCs w:val="17"/>
          <w:color w:val="auto"/>
        </w:rPr>
        <w:t>We urge you to read the accompanying proxy statement/prospectus, including all documents incorporated by reference into the accompanying proxy statement/prospectus, and its annexes carefully and in their entirety. In particular, see “Risk Factors” beginning on page 41 of the accompanying proxy statement/prospectus. If you have any questions concerning the Merger, the Merger Agreement, the non-binding, advisory vote on the transaction-related named executive officer compensation, the vote to adjourn the special meeting, if necessary or appropriate, the special meeting or the accompanying proxy statement/prospectus, or if you would like additional copies of the accompanying proxy statement/prospectus (at no charge) or need help submitting a proxy to have your shares of OncoMed common stock voted, please contact OncoMed’s proxy solicitor, MacKenzie Partners, Inc., at the following address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139700</wp:posOffset>
            </wp:positionV>
            <wp:extent cx="13550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ind w:left="6820"/>
        <w:spacing w:after="0"/>
        <w:rPr>
          <w:sz w:val="20"/>
          <w:szCs w:val="20"/>
          <w:color w:val="auto"/>
        </w:rPr>
      </w:pPr>
      <w:r>
        <w:rPr>
          <w:rFonts w:ascii="Arial" w:cs="Arial" w:eastAsia="Arial" w:hAnsi="Arial"/>
          <w:sz w:val="18"/>
          <w:szCs w:val="18"/>
          <w:color w:val="auto"/>
        </w:rPr>
        <w:t>/s/ John Lewicki,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126365</wp:posOffset>
            </wp:positionV>
            <wp:extent cx="2795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Lewicki, Ph.D.</w:t>
      </w: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California</w:t>
      </w:r>
    </w:p>
    <w:p>
      <w:pPr>
        <w:ind w:left="200"/>
        <w:spacing w:after="0"/>
        <w:rPr>
          <w:sz w:val="20"/>
          <w:szCs w:val="20"/>
          <w:color w:val="auto"/>
        </w:rPr>
      </w:pPr>
      <w:r>
        <w:rPr>
          <w:rFonts w:ascii="Arial" w:cs="Arial" w:eastAsia="Arial" w:hAnsi="Arial"/>
          <w:sz w:val="18"/>
          <w:szCs w:val="18"/>
          <w:color w:val="auto"/>
        </w:rPr>
        <w:t>March 20, 2019</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proxy statement/prospectus, which forms part of a registration statement on Form F-4 filed with the U.S. Securities and Exchange Commission (the “SEC”) by Mereo BioPharma Group plc (“Mereo”), constitutes a prospectus of Mereo under Section 5 of the Securities Act of 1933, as amended (the “Securities Act”), with respect to the ordinary shares, each of £0.003 nominal value, in the share capital of Mereo (the “Mereo Shares” and each a “Mereo Share”), which will be represented by American Depositary Shares of Mereo (the “Mereo ADSs”) to be issued to stockholders of OncoMed Pharmaceuticals, Inc. (“OncoMed”) pursuant to the merger of a wholly-owned indirect subsidiary of Mereo with and into OncoMed, with OncoMed continuing as the surviving corporation in the merger and a wholly-owned indirect subsidiary of Mereo (the “Merger”). This proxy statement/prospectus also constitutes a proxy statement of OncoMed under Section 14(a) of the Securities Exchange Act of 1934, as amended (the “Exchange Act”) and constitutes a notice of meeting with respect to a special meeting of OncoMed stockholders (the “OncoMed Special Meeting”).</w:t>
      </w:r>
    </w:p>
    <w:p>
      <w:pPr>
        <w:spacing w:after="0" w:line="207"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No person has been authorized to provide you with information that is different from that which is contained in, or incorporated by reference into, this proxy statement/prospectus. Mereo and OncoMed take no responsibility for, and can provide no assurances as to the reliability of, any other information that others may give you and, if given, such information must not be relied upon as having been authorized. This proxy statement/prospectus is dated March 20, 2019.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information. Neither the mailing of this proxy statement/prospectus to OncoMed stockholders nor the issuance by Mereo of Mereo ADSs in connection with the Merger will create any implication to the contrary.</w:t>
      </w:r>
    </w:p>
    <w:p>
      <w:pPr>
        <w:spacing w:after="0" w:line="186" w:lineRule="exact"/>
        <w:rPr>
          <w:sz w:val="20"/>
          <w:szCs w:val="20"/>
          <w:color w:val="auto"/>
        </w:rPr>
      </w:pPr>
    </w:p>
    <w:p>
      <w:pPr>
        <w:ind w:left="200" w:right="20" w:firstLine="331"/>
        <w:spacing w:after="0" w:line="247" w:lineRule="auto"/>
        <w:rPr>
          <w:sz w:val="20"/>
          <w:szCs w:val="20"/>
          <w:color w:val="auto"/>
        </w:rPr>
      </w:pPr>
      <w:r>
        <w:rPr>
          <w:rFonts w:ascii="Arial" w:cs="Arial" w:eastAsia="Arial" w:hAnsi="Arial"/>
          <w:sz w:val="18"/>
          <w:szCs w:val="18"/>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Information contained in this proxy statement/prospectus regarding Mereo has been provided by Mereo and information contained in this proxy statement/prospectus regarding OncoMed has been provided by OncoMed.</w:t>
      </w:r>
    </w:p>
    <w:p>
      <w:pPr>
        <w:spacing w:after="0" w:line="196"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Neither Mereo shareholders nor OncoMed stockholders should construe the contents of this proxy statement/prospectus as legal, tax or financial advice. Mereo shareholders and OncoMed stockholders should consult with their own legal, tax, financial or other professional advisors. All summaries of, and references to, the agreements governing the terms of the transactions described in this proxy statement/prospectus are qualified by the full copies of and complete text of such agreements in the forms attached hereto as annexes.</w:t>
      </w:r>
    </w:p>
    <w:p>
      <w:pPr>
        <w:spacing w:after="0" w:line="180" w:lineRule="exact"/>
        <w:rPr>
          <w:sz w:val="20"/>
          <w:szCs w:val="20"/>
          <w:color w:val="auto"/>
        </w:rPr>
      </w:pPr>
    </w:p>
    <w:p>
      <w:pPr>
        <w:ind w:left="200" w:firstLine="331"/>
        <w:spacing w:after="0"/>
        <w:rPr>
          <w:sz w:val="20"/>
          <w:szCs w:val="20"/>
          <w:color w:val="auto"/>
        </w:rPr>
      </w:pPr>
      <w:r>
        <w:rPr>
          <w:rFonts w:ascii="Arial" w:cs="Arial" w:eastAsia="Arial" w:hAnsi="Arial"/>
          <w:sz w:val="18"/>
          <w:szCs w:val="18"/>
          <w:b w:val="1"/>
          <w:bCs w:val="1"/>
          <w:color w:val="auto"/>
        </w:rPr>
        <w:t>Neither the SEC nor any state securities commission, nor any securities regulatory authority in any other jurisdiction, has approved or disapproved of the securities to be issued in connection with the Merger or determined if this proxy statement/prospectus is accurate or complete. Any representation to the contrary is a criminal offense. For the avoidance of doubt, this proxy statement/prospectus does not constitute an offer to buy or sell securities or a solicitation of an offer to buy or sell any securities in the United Kingdom or any other state in the European Economic Area or a solicitation of a proxy under the laws of England and Wales, and it is not intended to be, and is not, a prospectus or an offer document for the purposes of the prospectus rules made under Part VI of the United Kingdom Financial Services and Markets Act 2000 (as set out in the Financial Conduct Authority Handbook).</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THIS PROXY STATEMENT/PROSPECTUS INCORPORATES ADDITIONAL INFORMATION</w:t>
      </w:r>
    </w:p>
    <w:p>
      <w:pPr>
        <w:spacing w:after="0" w:line="34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This proxy statement/prospectus incorporates important business and financial information about OncoMed from documents that OncoMed has filed with or furnished to the SEC, but that have not been included in this proxy statement/prospectus. Please see “Where You Can Find More Information” and “Incorporation of Certain Documents by Reference” located elsewhere in this proxy statement/prospectus. You can obtain any of the documents filed with or furnished to the SEC by OncoMed at no cost from the SEC’s website at www.sec.gov. You may also request copies of these documents, including documents incorporated by reference into this proxy statement/prospectus (other than certain exhibits or schedules to these documents), at no cost by requesting them in writing or by telephone from OncoMed at the following address and telephone number:</w:t>
      </w:r>
    </w:p>
    <w:p>
      <w:pPr>
        <w:spacing w:after="0" w:line="1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OncoMed Pharmaceuticals, Inc.</w:t>
      </w:r>
    </w:p>
    <w:p>
      <w:pPr>
        <w:jc w:val="center"/>
        <w:ind w:right="-199"/>
        <w:spacing w:after="0" w:line="234" w:lineRule="auto"/>
        <w:rPr>
          <w:sz w:val="20"/>
          <w:szCs w:val="20"/>
          <w:color w:val="auto"/>
        </w:rPr>
      </w:pPr>
      <w:r>
        <w:rPr>
          <w:rFonts w:ascii="Arial" w:cs="Arial" w:eastAsia="Arial" w:hAnsi="Arial"/>
          <w:sz w:val="18"/>
          <w:szCs w:val="18"/>
          <w:color w:val="auto"/>
        </w:rPr>
        <w:t>Attention: Alicia Hager</w:t>
      </w:r>
    </w:p>
    <w:p>
      <w:pPr>
        <w:jc w:val="center"/>
        <w:ind w:right="-199"/>
        <w:spacing w:after="0" w:line="235" w:lineRule="auto"/>
        <w:rPr>
          <w:sz w:val="20"/>
          <w:szCs w:val="20"/>
          <w:color w:val="auto"/>
        </w:rPr>
      </w:pPr>
      <w:r>
        <w:rPr>
          <w:rFonts w:ascii="Arial" w:cs="Arial" w:eastAsia="Arial" w:hAnsi="Arial"/>
          <w:sz w:val="18"/>
          <w:szCs w:val="18"/>
          <w:color w:val="auto"/>
        </w:rPr>
        <w:t>800 Chesapeake Drive</w:t>
      </w:r>
    </w:p>
    <w:p>
      <w:pPr>
        <w:jc w:val="center"/>
        <w:ind w:right="-19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number: (650) 995-8200</w:t>
      </w:r>
    </w:p>
    <w:p>
      <w:pPr>
        <w:spacing w:after="0" w:line="21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In addition, if you have questions about the Merger, the OncoMed Special Meeting, or the proposals to be considered at the OncoMed Special Meeting, need additional copies of this document and the annexes to this document or need to obtain proxy cards or other information related to the proxy solicitation, you may contact OncoMed’s proxy solicitor, MacKenzie Partners, Inc., at the following address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146050</wp:posOffset>
            </wp:positionV>
            <wp:extent cx="135509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1407 Broadway, 27th Floor</w:t>
      </w:r>
    </w:p>
    <w:p>
      <w:pPr>
        <w:jc w:val="center"/>
        <w:ind w:right="-199"/>
        <w:spacing w:after="0" w:line="234" w:lineRule="auto"/>
        <w:rPr>
          <w:sz w:val="20"/>
          <w:szCs w:val="20"/>
          <w:color w:val="auto"/>
        </w:rPr>
      </w:pPr>
      <w:r>
        <w:rPr>
          <w:rFonts w:ascii="Arial" w:cs="Arial" w:eastAsia="Arial" w:hAnsi="Arial"/>
          <w:sz w:val="18"/>
          <w:szCs w:val="18"/>
          <w:color w:val="auto"/>
        </w:rPr>
        <w:t>New York, New York 10018</w:t>
      </w:r>
    </w:p>
    <w:p>
      <w:pPr>
        <w:jc w:val="center"/>
        <w:ind w:right="-199"/>
        <w:spacing w:after="0" w:line="235" w:lineRule="auto"/>
        <w:rPr>
          <w:sz w:val="20"/>
          <w:szCs w:val="20"/>
          <w:color w:val="auto"/>
        </w:rPr>
      </w:pPr>
      <w:r>
        <w:rPr>
          <w:rFonts w:ascii="Arial" w:cs="Arial" w:eastAsia="Arial" w:hAnsi="Arial"/>
          <w:sz w:val="18"/>
          <w:szCs w:val="18"/>
          <w:color w:val="auto"/>
        </w:rPr>
        <w:t>Call Collect: (212) 929-5500</w:t>
      </w:r>
    </w:p>
    <w:p>
      <w:pPr>
        <w:jc w:val="center"/>
        <w:ind w:right="-199"/>
        <w:spacing w:after="0" w:line="235" w:lineRule="auto"/>
        <w:rPr>
          <w:sz w:val="20"/>
          <w:szCs w:val="20"/>
          <w:color w:val="auto"/>
        </w:rPr>
      </w:pPr>
      <w:r>
        <w:rPr>
          <w:rFonts w:ascii="Arial" w:cs="Arial" w:eastAsia="Arial" w:hAnsi="Arial"/>
          <w:sz w:val="18"/>
          <w:szCs w:val="18"/>
          <w:color w:val="auto"/>
        </w:rPr>
        <w:t>or</w:t>
      </w:r>
    </w:p>
    <w:p>
      <w:pPr>
        <w:jc w:val="center"/>
        <w:ind w:right="-199"/>
        <w:spacing w:after="0" w:line="235" w:lineRule="auto"/>
        <w:rPr>
          <w:sz w:val="20"/>
          <w:szCs w:val="20"/>
          <w:color w:val="auto"/>
        </w:rPr>
      </w:pPr>
      <w:r>
        <w:rPr>
          <w:rFonts w:ascii="Arial" w:cs="Arial" w:eastAsia="Arial" w:hAnsi="Arial"/>
          <w:sz w:val="18"/>
          <w:szCs w:val="18"/>
          <w:color w:val="auto"/>
        </w:rPr>
        <w:t>Call Toll Free: (800) 322-2885</w:t>
      </w:r>
    </w:p>
    <w:p>
      <w:pPr>
        <w:jc w:val="center"/>
        <w:ind w:right="-199"/>
        <w:spacing w:after="0"/>
        <w:rPr>
          <w:sz w:val="20"/>
          <w:szCs w:val="20"/>
          <w:color w:val="auto"/>
        </w:rPr>
      </w:pPr>
      <w:r>
        <w:rPr>
          <w:rFonts w:ascii="Arial" w:cs="Arial" w:eastAsia="Arial" w:hAnsi="Arial"/>
          <w:sz w:val="18"/>
          <w:szCs w:val="18"/>
          <w:color w:val="auto"/>
        </w:rPr>
        <w:t>Email: proxy@mackenziepartners.com</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order for OncoMed stockholders to receive timely delivery of the documents in advance of the OncoMed Special Meeting, OncoMed stockholders must request the documents no later than five business days before the date of the OncoMed Special Meeting.</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CURRENCIES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proxy statement/prospectus, unless otherwise specified or the context otherwise requires:</w:t>
      </w:r>
    </w:p>
    <w:p>
      <w:pPr>
        <w:spacing w:after="0" w:line="203" w:lineRule="exact"/>
        <w:rPr>
          <w:sz w:val="20"/>
          <w:szCs w:val="20"/>
          <w:color w:val="auto"/>
        </w:rPr>
      </w:pPr>
    </w:p>
    <w:p>
      <w:pPr>
        <w:ind w:left="960" w:hanging="432"/>
        <w:spacing w:after="0"/>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 “USD,” “US$” and “U.S. dollar” each refer to the United States dollar;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 “GBP,” “pound sterling,” “pence” and “p” each refer to the British pound sterling (or units thereof).</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34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In this proxy statement/prospectus, Mereo relies on and refers to information and statistics regarding market shares in the sectors in which it competes and other industry data. Mereo obtained this information and statistics from third-party sources, such as independent industry publications,</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government publications or reports by market research firms, which information Mereo has supplemented where necessary with information from various other third party sources, discussions with Mereo customers and its own internal estimates taking into account publicly available information about other industry participants and Mereo management’s best view as to information that is not publicly available. Mereo believes that these sources and estimates are reliable, but it has not independently verified the information and statistics obtained from them.</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This proxy statement/prospectus includes Mereo’s audited consolidated financial statements as of and for the years ended December 31, 2016 and 2017, and Mereo’s unaudited consolidated interim financial statements for the six months ended June 30, 2017 and 2018, in each case, prepared in accordance with International Financial Reporting Standards (“IFRS”), as issued by the International Accounting Standards Board (“IASB”). None of Mereo’s financial statements were prepared in accordance with U.S. GAAP.</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Mereo’s financial information is presented in pound sterling. For the convenience of the reader, Mereo has translated pound sterling amounts included in such financial information into U.S. dollars at the noon buying rate of the Federal Reserve Bank of New York on June 29, 2018, which was £1.00 to $ 1.3197.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Mereo has made rounding adjustments to some of the figures included in this proxy statement/prospectus. Accordingly, numerical figures shown as totals in some tables may not be an arithmetic aggregation of the figures that preceded them.</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Solely for convenience, the trademarks, service marks, logos and trade names referred to in this proxy statement/prospectus are</w:t>
      </w:r>
    </w:p>
    <w:p>
      <w:pPr>
        <w:ind w:left="200" w:right="40"/>
        <w:spacing w:after="0" w:line="238" w:lineRule="auto"/>
        <w:rPr>
          <w:sz w:val="20"/>
          <w:szCs w:val="20"/>
          <w:color w:val="auto"/>
        </w:rPr>
      </w:pPr>
      <w:r>
        <w:rPr>
          <w:rFonts w:ascii="Arial" w:cs="Arial" w:eastAsia="Arial" w:hAnsi="Arial"/>
          <w:sz w:val="18"/>
          <w:szCs w:val="18"/>
          <w:color w:val="auto"/>
        </w:rPr>
        <w:t xml:space="preserve">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Mereo will not assert, to the fullest extent under applicable law, its rights or the rights of the applicable licensors to these trademarks, service marks, and trade names. This proxy statement/prospectus contains additional trademarks, service marks, and trade names of others, which are the property of their respective owners. All trademarks, service marks, and trade names appearing in this proxy statement/prospectus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311785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140" w:type="dxa"/>
            <w:vAlign w:val="bottom"/>
            <w:gridSpan w:val="43"/>
            <w:vMerge w:val="restart"/>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Questions and Answers about the Merger and the OncoMed Special Meeting</w:t>
              </w:r>
            </w:hyperlink>
          </w:p>
        </w:tc>
        <w:tc>
          <w:tcPr>
            <w:tcW w:w="2340" w:type="dxa"/>
            <w:vAlign w:val="bottom"/>
            <w:gridSpan w:val="3"/>
            <w:vMerge w:val="restart"/>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140" w:type="dxa"/>
            <w:vAlign w:val="bottom"/>
            <w:tcBorders>
              <w:bottom w:val="single" w:sz="8" w:color="0000EE"/>
            </w:tcBorders>
            <w:gridSpan w:val="43"/>
            <w:vMerge w:val="continue"/>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214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iv</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Summary</w:t>
              </w:r>
            </w:hyperlink>
          </w:p>
        </w:tc>
        <w:tc>
          <w:tcPr>
            <w:tcW w:w="7700" w:type="dxa"/>
            <w:vAlign w:val="bottom"/>
            <w:gridSpan w:val="44"/>
          </w:tcPr>
          <w:p>
            <w:pPr>
              <w:spacing w:after="0"/>
              <w:rPr>
                <w:sz w:val="17"/>
                <w:szCs w:val="17"/>
                <w:color w:val="auto"/>
              </w:rPr>
            </w:pPr>
          </w:p>
        </w:tc>
        <w:tc>
          <w:tcPr>
            <w:tcW w:w="2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Information about the Companies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Summary of the Merger</w:t>
              </w:r>
            </w:hyperlink>
          </w:p>
        </w:tc>
        <w:tc>
          <w:tcPr>
            <w:tcW w:w="740" w:type="dxa"/>
            <w:vAlign w:val="bottom"/>
            <w:tcBorders>
              <w:top w:val="single" w:sz="8" w:color="0000EE"/>
            </w:tcBorders>
            <w:gridSpan w:val="8"/>
          </w:tcPr>
          <w:p>
            <w:pPr>
              <w:spacing w:after="0"/>
              <w:rPr>
                <w:sz w:val="15"/>
                <w:szCs w:val="15"/>
                <w:color w:val="auto"/>
              </w:rPr>
            </w:pPr>
          </w:p>
        </w:tc>
        <w:tc>
          <w:tcPr>
            <w:tcW w:w="5460" w:type="dxa"/>
            <w:vAlign w:val="bottom"/>
            <w:gridSpan w:val="2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Merger Consideration</w:t>
              </w:r>
            </w:hyperlink>
          </w:p>
        </w:tc>
        <w:tc>
          <w:tcPr>
            <w:tcW w:w="6380" w:type="dxa"/>
            <w:vAlign w:val="bottom"/>
            <w:gridSpan w:val="3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The CVRs</w:t>
              </w:r>
            </w:hyperlink>
          </w:p>
        </w:tc>
        <w:tc>
          <w:tcPr>
            <w:tcW w:w="7280" w:type="dxa"/>
            <w:vAlign w:val="bottom"/>
            <w:gridSpan w:val="4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Treatment of OncoMed Options and OncoMed Units</w:t>
              </w:r>
            </w:hyperlink>
          </w:p>
        </w:tc>
        <w:tc>
          <w:tcPr>
            <w:tcW w:w="3960" w:type="dxa"/>
            <w:vAlign w:val="bottom"/>
            <w:gridSpan w:val="11"/>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9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Comparative per Share Market Price and Dividend Information</w:t>
              </w:r>
            </w:hyperlink>
          </w:p>
        </w:tc>
        <w:tc>
          <w:tcPr>
            <w:tcW w:w="3140" w:type="dxa"/>
            <w:vAlign w:val="bottom"/>
            <w:gridSpan w:val="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4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The OncoMed Special Meeting</w:t>
              </w:r>
            </w:hyperlink>
          </w:p>
        </w:tc>
        <w:tc>
          <w:tcPr>
            <w:tcW w:w="5640" w:type="dxa"/>
            <w:vAlign w:val="bottom"/>
            <w:gridSpan w:val="28"/>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Share Ownership and Voting by OncoMed Directors and Executive Officers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800" w:type="dxa"/>
            <w:vAlign w:val="bottom"/>
            <w:tcBorders>
              <w:top w:val="single" w:sz="8" w:color="0000EE"/>
              <w:bottom w:val="single" w:sz="8" w:color="0000EE"/>
            </w:tcBorders>
            <w:gridSpan w:val="43"/>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Recommendation of the OncoMed Board and its Reasons for the Merger</w:t>
              </w:r>
            </w:hyperlink>
          </w:p>
        </w:tc>
        <w:tc>
          <w:tcPr>
            <w:tcW w:w="180" w:type="dxa"/>
            <w:vAlign w:val="bottom"/>
            <w:tcBorders>
              <w:top w:val="single" w:sz="8" w:color="0000EE"/>
            </w:tcBorders>
          </w:tcPr>
          <w:p>
            <w:pPr>
              <w:spacing w:after="0"/>
              <w:rPr>
                <w:sz w:val="15"/>
                <w:szCs w:val="15"/>
                <w:color w:val="auto"/>
              </w:rPr>
            </w:pPr>
          </w:p>
        </w:tc>
        <w:tc>
          <w:tcPr>
            <w:tcW w:w="2140" w:type="dxa"/>
            <w:vAlign w:val="bottom"/>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Opinion of OncoMed’s Financial Advisor</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Accounting Treatment</w:t>
              </w:r>
            </w:hyperlink>
          </w:p>
        </w:tc>
        <w:tc>
          <w:tcPr>
            <w:tcW w:w="1440" w:type="dxa"/>
            <w:vAlign w:val="bottom"/>
            <w:tcBorders>
              <w:top w:val="single" w:sz="8" w:color="0000EE"/>
            </w:tcBorders>
            <w:gridSpan w:val="16"/>
          </w:tcPr>
          <w:p>
            <w:pPr>
              <w:spacing w:after="0"/>
              <w:rPr>
                <w:sz w:val="15"/>
                <w:szCs w:val="15"/>
                <w:color w:val="auto"/>
              </w:rPr>
            </w:pPr>
          </w:p>
        </w:tc>
        <w:tc>
          <w:tcPr>
            <w:tcW w:w="4920" w:type="dxa"/>
            <w:vAlign w:val="bottom"/>
            <w:gridSpan w:val="1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8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Interests of OncoMed’s Directors and Executive Officers in the Merger</w:t>
              </w:r>
            </w:hyperlink>
          </w:p>
        </w:tc>
        <w:tc>
          <w:tcPr>
            <w:tcW w:w="2540" w:type="dxa"/>
            <w:vAlign w:val="bottom"/>
            <w:gridSpan w:val="5"/>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Board of Directors and Senior Management of the Combined Company</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660" w:type="dxa"/>
            <w:vAlign w:val="bottom"/>
            <w:tcBorders>
              <w:top w:val="single" w:sz="8" w:color="0000EE"/>
            </w:tcBorders>
            <w:gridSpan w:val="4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Mereo’s Reasons for the Merger</w:t>
              </w:r>
            </w:hyperlink>
          </w:p>
        </w:tc>
        <w:tc>
          <w:tcPr>
            <w:tcW w:w="2460" w:type="dxa"/>
            <w:vAlign w:val="bottom"/>
            <w:gridSpan w:val="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Appraisal Rights</w:t>
              </w:r>
            </w:hyperlink>
          </w:p>
        </w:tc>
        <w:tc>
          <w:tcPr>
            <w:tcW w:w="1260" w:type="dxa"/>
            <w:vAlign w:val="bottom"/>
            <w:tcBorders>
              <w:top w:val="single" w:sz="8" w:color="0000EE"/>
            </w:tcBorders>
            <w:gridSpan w:val="14"/>
          </w:tcPr>
          <w:p>
            <w:pPr>
              <w:spacing w:after="0"/>
              <w:rPr>
                <w:sz w:val="15"/>
                <w:szCs w:val="15"/>
                <w:color w:val="auto"/>
              </w:rPr>
            </w:pPr>
          </w:p>
        </w:tc>
        <w:tc>
          <w:tcPr>
            <w:tcW w:w="5540" w:type="dxa"/>
            <w:vAlign w:val="bottom"/>
            <w:gridSpan w:val="2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Listing of the Mereo ADSs and Mereo Shares</w:t>
              </w:r>
            </w:hyperlink>
          </w:p>
        </w:tc>
        <w:tc>
          <w:tcPr>
            <w:tcW w:w="4480" w:type="dxa"/>
            <w:vAlign w:val="bottom"/>
            <w:gridSpan w:val="15"/>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Delisting and Deregistration of OncoMed Common Stock</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Litigation Related to the Merger</w:t>
              </w:r>
            </w:hyperlink>
          </w:p>
        </w:tc>
        <w:tc>
          <w:tcPr>
            <w:tcW w:w="2000" w:type="dxa"/>
            <w:vAlign w:val="bottom"/>
            <w:tcBorders>
              <w:top w:val="single" w:sz="8" w:color="0000EE"/>
            </w:tcBorders>
            <w:gridSpan w:val="17"/>
          </w:tcPr>
          <w:p>
            <w:pPr>
              <w:spacing w:after="0"/>
              <w:rPr>
                <w:sz w:val="15"/>
                <w:szCs w:val="15"/>
                <w:color w:val="auto"/>
              </w:rPr>
            </w:pPr>
          </w:p>
        </w:tc>
        <w:tc>
          <w:tcPr>
            <w:tcW w:w="3600" w:type="dxa"/>
            <w:vAlign w:val="bottom"/>
            <w:gridSpan w:val="10"/>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The Merger Agreement</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9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No Solicitation of Offers</w:t>
              </w:r>
            </w:hyperlink>
          </w:p>
        </w:tc>
        <w:tc>
          <w:tcPr>
            <w:tcW w:w="6220" w:type="dxa"/>
            <w:vAlign w:val="bottom"/>
            <w:gridSpan w:val="3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3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Change of Recommendation</w:t>
              </w:r>
            </w:hyperlink>
          </w:p>
        </w:tc>
        <w:tc>
          <w:tcPr>
            <w:tcW w:w="5820" w:type="dxa"/>
            <w:vAlign w:val="bottom"/>
            <w:gridSpan w:val="30"/>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Indemnification and Insurance</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4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Conditions to Closing</w:t>
              </w:r>
            </w:hyperlink>
          </w:p>
        </w:tc>
        <w:tc>
          <w:tcPr>
            <w:tcW w:w="5720" w:type="dxa"/>
            <w:vAlign w:val="bottom"/>
            <w:gridSpan w:val="2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Termination Events</w:t>
              </w:r>
            </w:hyperlink>
          </w:p>
        </w:tc>
        <w:tc>
          <w:tcPr>
            <w:tcW w:w="160" w:type="dxa"/>
            <w:vAlign w:val="bottom"/>
            <w:tcBorders>
              <w:top w:val="single" w:sz="8" w:color="0000EE"/>
            </w:tcBorders>
          </w:tcPr>
          <w:p>
            <w:pPr>
              <w:spacing w:after="0"/>
              <w:rPr>
                <w:sz w:val="15"/>
                <w:szCs w:val="15"/>
                <w:color w:val="auto"/>
              </w:rPr>
            </w:pPr>
          </w:p>
        </w:tc>
        <w:tc>
          <w:tcPr>
            <w:tcW w:w="6420" w:type="dxa"/>
            <w:vAlign w:val="bottom"/>
            <w:gridSpan w:val="37"/>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Termination Fees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Material U.S. Federal Income Tax Considerations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9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Material U.K. Tax Considerations</w:t>
              </w:r>
            </w:hyperlink>
          </w:p>
        </w:tc>
        <w:tc>
          <w:tcPr>
            <w:tcW w:w="4200" w:type="dxa"/>
            <w:vAlign w:val="bottom"/>
            <w:gridSpan w:val="1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Comparison of Shareholder Rights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640" w:type="dxa"/>
            <w:vAlign w:val="bottom"/>
            <w:tcBorders>
              <w:right w:val="single" w:sz="8" w:color="0000EE"/>
            </w:tcBorders>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Selected Consolidated Financial Information of Mereo</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Selected Financial Information of OncoMed</w:t>
              </w:r>
            </w:hyperlink>
          </w:p>
        </w:tc>
        <w:tc>
          <w:tcPr>
            <w:tcW w:w="820" w:type="dxa"/>
            <w:vAlign w:val="bottom"/>
            <w:tcBorders>
              <w:top w:val="single" w:sz="8" w:color="0000EE"/>
            </w:tcBorders>
            <w:gridSpan w:val="7"/>
          </w:tcPr>
          <w:p>
            <w:pPr>
              <w:spacing w:after="0"/>
              <w:rPr>
                <w:sz w:val="15"/>
                <w:szCs w:val="15"/>
                <w:color w:val="auto"/>
              </w:rPr>
            </w:pPr>
          </w:p>
        </w:tc>
        <w:tc>
          <w:tcPr>
            <w:tcW w:w="4200" w:type="dxa"/>
            <w:vAlign w:val="bottom"/>
            <w:gridSpan w:val="1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Unaudited Pro Forma Condensed Combined Financial Information</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28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Unaudited Comparative Historical and Pro Forma per Share Data</w:t>
              </w:r>
            </w:hyperlink>
          </w:p>
        </w:tc>
        <w:tc>
          <w:tcPr>
            <w:tcW w:w="3200" w:type="dxa"/>
            <w:vAlign w:val="bottom"/>
            <w:gridSpan w:val="7"/>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bottom w:val="single" w:sz="8" w:color="0000EE"/>
            </w:tcBorders>
            <w:gridSpan w:val="37"/>
          </w:tcPr>
          <w:p>
            <w:pPr>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Comparative per Share Market Price and Dividend Information</w:t>
              </w:r>
            </w:hyperlink>
          </w:p>
        </w:tc>
        <w:tc>
          <w:tcPr>
            <w:tcW w:w="220" w:type="dxa"/>
            <w:vAlign w:val="bottom"/>
            <w:tcBorders>
              <w:top w:val="single" w:sz="8" w:color="0000EE"/>
            </w:tcBorders>
          </w:tcPr>
          <w:p>
            <w:pPr>
              <w:spacing w:after="0"/>
              <w:rPr>
                <w:sz w:val="15"/>
                <w:szCs w:val="15"/>
                <w:color w:val="auto"/>
              </w:rPr>
            </w:pPr>
          </w:p>
        </w:tc>
        <w:tc>
          <w:tcPr>
            <w:tcW w:w="3280" w:type="dxa"/>
            <w:vAlign w:val="bottom"/>
            <w:gridSpan w:val="8"/>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Cautionary Statement Regarding Forward-Looking Statements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3500" w:type="dxa"/>
            <w:vAlign w:val="bottom"/>
            <w:gridSpan w:val="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80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Risk Factors Related to the Merger</w:t>
              </w:r>
            </w:hyperlink>
          </w:p>
        </w:tc>
        <w:tc>
          <w:tcPr>
            <w:tcW w:w="5320" w:type="dxa"/>
            <w:vAlign w:val="bottom"/>
            <w:gridSpan w:val="2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760" w:type="dxa"/>
            <w:vAlign w:val="bottom"/>
            <w:tcBorders>
              <w:bottom w:val="single" w:sz="8" w:color="0000EE"/>
            </w:tcBorders>
            <w:gridSpan w:val="22"/>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Risk Factors Related to the CVRs</w:t>
              </w:r>
            </w:hyperlink>
          </w:p>
        </w:tc>
        <w:tc>
          <w:tcPr>
            <w:tcW w:w="5360" w:type="dxa"/>
            <w:vAlign w:val="bottom"/>
            <w:gridSpan w:val="2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Risk Factors Related to the Combined Company</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8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Risk Factors Related to the Mereo ADSs</w:t>
              </w:r>
            </w:hyperlink>
          </w:p>
        </w:tc>
        <w:tc>
          <w:tcPr>
            <w:tcW w:w="4260" w:type="dxa"/>
            <w:vAlign w:val="bottom"/>
            <w:gridSpan w:val="1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Risk Factors Related to Mereo’s Business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2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24">
              <w:r>
                <w:rPr>
                  <w:rFonts w:ascii="Arial" w:cs="Arial" w:eastAsia="Arial" w:hAnsi="Arial"/>
                  <w:sz w:val="18"/>
                  <w:szCs w:val="18"/>
                  <w:color w:val="0000EE"/>
                  <w:w w:val="99"/>
                </w:rPr>
                <w:t>Risk Factors Related to OncoMed’s Business</w:t>
              </w:r>
            </w:hyperlink>
          </w:p>
        </w:tc>
        <w:tc>
          <w:tcPr>
            <w:tcW w:w="4500" w:type="dxa"/>
            <w:vAlign w:val="bottom"/>
            <w:gridSpan w:val="1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The OncoMed Special Meeting</w:t>
              </w:r>
            </w:hyperlink>
          </w:p>
        </w:tc>
        <w:tc>
          <w:tcPr>
            <w:tcW w:w="6000" w:type="dxa"/>
            <w:vAlign w:val="bottom"/>
            <w:gridSpan w:val="31"/>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125">
              <w:r>
                <w:rPr>
                  <w:rFonts w:ascii="Arial" w:cs="Arial" w:eastAsia="Arial" w:hAnsi="Arial"/>
                  <w:sz w:val="18"/>
                  <w:szCs w:val="18"/>
                  <w:color w:val="0000EE"/>
                </w:rPr>
                <w:t>Date, Time and Place of OncoMed Special Meeting</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Purpose of OncoMed Special Meeting</w:t>
              </w:r>
            </w:hyperlink>
          </w:p>
        </w:tc>
        <w:tc>
          <w:tcPr>
            <w:tcW w:w="1040" w:type="dxa"/>
            <w:vAlign w:val="bottom"/>
            <w:tcBorders>
              <w:top w:val="single" w:sz="8" w:color="0000EE"/>
            </w:tcBorders>
            <w:gridSpan w:val="9"/>
          </w:tcPr>
          <w:p>
            <w:pPr>
              <w:spacing w:after="0"/>
              <w:rPr>
                <w:sz w:val="15"/>
                <w:szCs w:val="15"/>
                <w:color w:val="auto"/>
              </w:rPr>
            </w:pPr>
          </w:p>
        </w:tc>
        <w:tc>
          <w:tcPr>
            <w:tcW w:w="4040" w:type="dxa"/>
            <w:vAlign w:val="bottom"/>
            <w:gridSpan w:val="1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9100" w:type="dxa"/>
            <w:vAlign w:val="bottom"/>
            <w:gridSpan w:val="45"/>
            <w:vMerge w:val="restart"/>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Recommendation of the OncoMed Board of Directors</w:t>
              </w:r>
            </w:hyperlink>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9100" w:type="dxa"/>
            <w:vAlign w:val="bottom"/>
            <w:gridSpan w:val="45"/>
            <w:vMerge w:val="continue"/>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Who Can Vote at the OncoMed Special Meeting</w:t>
              </w:r>
            </w:hyperlink>
          </w:p>
        </w:tc>
        <w:tc>
          <w:tcPr>
            <w:tcW w:w="400" w:type="dxa"/>
            <w:vAlign w:val="bottom"/>
            <w:tcBorders>
              <w:top w:val="single" w:sz="8" w:color="0000EE"/>
            </w:tcBorders>
            <w:gridSpan w:val="2"/>
          </w:tcPr>
          <w:p>
            <w:pPr>
              <w:spacing w:after="0"/>
              <w:rPr>
                <w:sz w:val="17"/>
                <w:szCs w:val="17"/>
                <w:color w:val="auto"/>
              </w:rPr>
            </w:pPr>
          </w:p>
        </w:tc>
        <w:tc>
          <w:tcPr>
            <w:tcW w:w="4860" w:type="dxa"/>
            <w:vAlign w:val="bottom"/>
            <w:gridSpan w:val="13"/>
          </w:tcPr>
          <w:p>
            <w:pPr>
              <w:spacing w:after="0"/>
              <w:rPr>
                <w:sz w:val="17"/>
                <w:szCs w:val="17"/>
                <w:color w:val="auto"/>
              </w:rPr>
            </w:pPr>
          </w:p>
        </w:tc>
        <w:tc>
          <w:tcPr>
            <w:tcW w:w="1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26">
              <w:r>
                <w:rPr>
                  <w:rFonts w:ascii="Arial" w:cs="Arial" w:eastAsia="Arial" w:hAnsi="Arial"/>
                  <w:sz w:val="18"/>
                  <w:szCs w:val="18"/>
                  <w:color w:val="0000EE"/>
                </w:rPr>
                <w:t>Vote Required for Approval</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127">
              <w:r>
                <w:rPr>
                  <w:rFonts w:ascii="Arial" w:cs="Arial" w:eastAsia="Arial" w:hAnsi="Arial"/>
                  <w:sz w:val="18"/>
                  <w:szCs w:val="18"/>
                  <w:color w:val="0000EE"/>
                  <w:w w:val="99"/>
                </w:rPr>
                <w:t>Adjournments</w:t>
              </w:r>
            </w:hyperlink>
          </w:p>
        </w:tc>
        <w:tc>
          <w:tcPr>
            <w:tcW w:w="1040" w:type="dxa"/>
            <w:vAlign w:val="bottom"/>
            <w:tcBorders>
              <w:top w:val="single" w:sz="8" w:color="0000EE"/>
            </w:tcBorders>
            <w:gridSpan w:val="11"/>
          </w:tcPr>
          <w:p>
            <w:pPr>
              <w:spacing w:after="0"/>
              <w:rPr>
                <w:sz w:val="15"/>
                <w:szCs w:val="15"/>
                <w:color w:val="auto"/>
              </w:rPr>
            </w:pPr>
          </w:p>
        </w:tc>
        <w:tc>
          <w:tcPr>
            <w:tcW w:w="6940" w:type="dxa"/>
            <w:vAlign w:val="bottom"/>
            <w:gridSpan w:val="3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Share Ownership of Directors and Executive Officers of OncoMed</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127">
              <w:r>
                <w:rPr>
                  <w:rFonts w:ascii="Arial" w:cs="Arial" w:eastAsia="Arial" w:hAnsi="Arial"/>
                  <w:sz w:val="18"/>
                  <w:szCs w:val="18"/>
                  <w:color w:val="0000EE"/>
                  <w:w w:val="98"/>
                </w:rPr>
                <w:t>Voting Procedures</w:t>
              </w:r>
            </w:hyperlink>
          </w:p>
        </w:tc>
        <w:tc>
          <w:tcPr>
            <w:tcW w:w="3760" w:type="dxa"/>
            <w:vAlign w:val="bottom"/>
            <w:tcBorders>
              <w:top w:val="single" w:sz="8" w:color="0000EE"/>
            </w:tcBorders>
            <w:gridSpan w:val="30"/>
          </w:tcPr>
          <w:p>
            <w:pPr>
              <w:spacing w:after="0"/>
              <w:rPr>
                <w:sz w:val="15"/>
                <w:szCs w:val="15"/>
                <w:color w:val="auto"/>
              </w:rPr>
            </w:pPr>
          </w:p>
        </w:tc>
        <w:tc>
          <w:tcPr>
            <w:tcW w:w="3860" w:type="dxa"/>
            <w:vAlign w:val="bottom"/>
            <w:gridSpan w:val="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1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Revoking Proxies or Voting Instructions</w:t>
              </w:r>
            </w:hyperlink>
          </w:p>
        </w:tc>
        <w:tc>
          <w:tcPr>
            <w:tcW w:w="5960" w:type="dxa"/>
            <w:vAlign w:val="bottom"/>
            <w:gridSpan w:val="19"/>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Shares Held in “Street Name”</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3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Tabulation of Votes</w:t>
              </w:r>
            </w:hyperlink>
          </w:p>
        </w:tc>
        <w:tc>
          <w:tcPr>
            <w:tcW w:w="6740" w:type="dxa"/>
            <w:vAlign w:val="bottom"/>
            <w:gridSpan w:val="2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080" w:type="dxa"/>
            <w:vAlign w:val="bottom"/>
            <w:tcBorders>
              <w:bottom w:val="single" w:sz="8" w:color="0000EE"/>
            </w:tcBorders>
            <w:gridSpan w:val="42"/>
          </w:tcPr>
          <w:p>
            <w:pPr>
              <w:spacing w:after="0" w:line="182"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How You Can Reduce the Number of Copies of OncoMed’s Proxy Materials You Receive</w:t>
              </w:r>
            </w:hyperlink>
          </w:p>
        </w:tc>
        <w:tc>
          <w:tcPr>
            <w:tcW w:w="2020" w:type="dxa"/>
            <w:vAlign w:val="bottom"/>
            <w:gridSpan w:val="3"/>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Cost of Proxy Distribution and Solicitation</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3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Other Matters</w:t>
              </w:r>
            </w:hyperlink>
          </w:p>
        </w:tc>
        <w:tc>
          <w:tcPr>
            <w:tcW w:w="5760" w:type="dxa"/>
            <w:vAlign w:val="bottom"/>
            <w:gridSpan w:val="1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Proposal 1—The Merger Agreement and the Merger</w:t>
              </w:r>
            </w:hyperlink>
          </w:p>
        </w:tc>
        <w:tc>
          <w:tcPr>
            <w:tcW w:w="5280" w:type="dxa"/>
            <w:vAlign w:val="bottom"/>
            <w:gridSpan w:val="1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9460" w:type="dxa"/>
            <w:vAlign w:val="bottom"/>
            <w:gridSpan w:val="46"/>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Proposal 2—Non-Binding, Advisory Vote on Transaction-related Named Executive Officer Compensation</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83"/>
        </w:trPr>
        <w:tc>
          <w:tcPr>
            <w:tcW w:w="7300" w:type="dxa"/>
            <w:vAlign w:val="bottom"/>
            <w:tcBorders>
              <w:top w:val="single" w:sz="8" w:color="0000EE"/>
              <w:bottom w:val="single" w:sz="8" w:color="0000EE"/>
            </w:tcBorders>
            <w:gridSpan w:val="42"/>
          </w:tcPr>
          <w:p>
            <w:pPr>
              <w:spacing w:after="0" w:line="182"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Proposal 3—Possible Adjournment to Solicit Additional Proxies, if Necessary or Appropriate</w:t>
              </w:r>
            </w:hyperlink>
          </w:p>
        </w:tc>
        <w:tc>
          <w:tcPr>
            <w:tcW w:w="1020" w:type="dxa"/>
            <w:vAlign w:val="bottom"/>
            <w:tcBorders>
              <w:top w:val="single" w:sz="8" w:color="0000EE"/>
            </w:tcBorders>
            <w:gridSpan w:val="3"/>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94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34">
              <w:r>
                <w:rPr>
                  <w:rFonts w:ascii="Arial" w:cs="Arial" w:eastAsia="Arial" w:hAnsi="Arial"/>
                  <w:sz w:val="18"/>
                  <w:szCs w:val="18"/>
                  <w:color w:val="0000EE"/>
                  <w:w w:val="98"/>
                </w:rPr>
                <w:t>The Merger</w:t>
              </w:r>
            </w:hyperlink>
          </w:p>
        </w:tc>
        <w:tc>
          <w:tcPr>
            <w:tcW w:w="8520" w:type="dxa"/>
            <w:vAlign w:val="bottom"/>
            <w:gridSpan w:val="4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9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34">
              <w:r>
                <w:rPr>
                  <w:rFonts w:ascii="Arial" w:cs="Arial" w:eastAsia="Arial" w:hAnsi="Arial"/>
                  <w:sz w:val="18"/>
                  <w:szCs w:val="18"/>
                  <w:color w:val="0000EE"/>
                  <w:w w:val="99"/>
                </w:rPr>
                <w:t>Summary of the Merger</w:t>
              </w:r>
            </w:hyperlink>
          </w:p>
        </w:tc>
        <w:tc>
          <w:tcPr>
            <w:tcW w:w="7200" w:type="dxa"/>
            <w:vAlign w:val="bottom"/>
            <w:gridSpan w:val="3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8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46">
              <w:r>
                <w:rPr>
                  <w:rFonts w:ascii="Arial" w:cs="Arial" w:eastAsia="Arial" w:hAnsi="Arial"/>
                  <w:sz w:val="18"/>
                  <w:szCs w:val="18"/>
                  <w:color w:val="0000EE"/>
                  <w:w w:val="99"/>
                </w:rPr>
                <w:t>OncoMed’s Reasons for the Merger</w:t>
              </w:r>
            </w:hyperlink>
          </w:p>
        </w:tc>
        <w:tc>
          <w:tcPr>
            <w:tcW w:w="6240" w:type="dxa"/>
            <w:vAlign w:val="bottom"/>
            <w:gridSpan w:val="23"/>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49">
              <w:r>
                <w:rPr>
                  <w:rFonts w:ascii="Arial" w:cs="Arial" w:eastAsia="Arial" w:hAnsi="Arial"/>
                  <w:sz w:val="18"/>
                  <w:szCs w:val="18"/>
                  <w:color w:val="0000EE"/>
                </w:rPr>
                <w:t>Opinion of OncoMed</w:t>
              </w:r>
            </w:hyperlink>
            <w:r>
              <w:rPr>
                <w:rFonts w:ascii="Arial" w:cs="Arial" w:eastAsia="Arial" w:hAnsi="Arial"/>
                <w:sz w:val="18"/>
                <w:szCs w:val="18"/>
                <w:color w:val="000000"/>
              </w:rPr>
              <w:t>’s</w:t>
            </w:r>
            <w:r>
              <w:rPr>
                <w:rFonts w:ascii="Arial" w:cs="Arial" w:eastAsia="Arial" w:hAnsi="Arial"/>
                <w:sz w:val="18"/>
                <w:szCs w:val="18"/>
                <w:color w:val="0000EE"/>
              </w:rPr>
              <w:t xml:space="preserve"> </w:t>
            </w:r>
            <w:r>
              <w:rPr>
                <w:rFonts w:ascii="Arial" w:cs="Arial" w:eastAsia="Arial" w:hAnsi="Arial"/>
                <w:sz w:val="18"/>
                <w:szCs w:val="18"/>
                <w:color w:val="000000"/>
              </w:rPr>
              <w:t>Financial Advisor</w:t>
            </w: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Board of Directors and Senior Management of the Combined Company</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158">
              <w:r>
                <w:rPr>
                  <w:rFonts w:ascii="Arial" w:cs="Arial" w:eastAsia="Arial" w:hAnsi="Arial"/>
                  <w:sz w:val="18"/>
                  <w:szCs w:val="18"/>
                  <w:color w:val="0000EE"/>
                  <w:w w:val="98"/>
                </w:rPr>
                <w:t>Accounting Treatment</w:t>
              </w:r>
            </w:hyperlink>
          </w:p>
        </w:tc>
        <w:tc>
          <w:tcPr>
            <w:tcW w:w="3900" w:type="dxa"/>
            <w:vAlign w:val="bottom"/>
            <w:tcBorders>
              <w:top w:val="single" w:sz="8" w:color="0000EE"/>
            </w:tcBorders>
            <w:gridSpan w:val="29"/>
          </w:tcPr>
          <w:p>
            <w:pPr>
              <w:spacing w:after="0"/>
              <w:rPr>
                <w:sz w:val="15"/>
                <w:szCs w:val="15"/>
                <w:color w:val="auto"/>
              </w:rPr>
            </w:pPr>
          </w:p>
        </w:tc>
        <w:tc>
          <w:tcPr>
            <w:tcW w:w="3440" w:type="dxa"/>
            <w:vAlign w:val="bottom"/>
            <w:gridSpan w:val="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158">
              <w:r>
                <w:rPr>
                  <w:rFonts w:ascii="Arial" w:cs="Arial" w:eastAsia="Arial" w:hAnsi="Arial"/>
                  <w:sz w:val="18"/>
                  <w:szCs w:val="18"/>
                  <w:color w:val="0000EE"/>
                  <w:w w:val="99"/>
                </w:rPr>
                <w:t>Interests of OncoMed’s Directors and Executive Officers in the Merger</w:t>
              </w:r>
            </w:hyperlink>
          </w:p>
        </w:tc>
        <w:tc>
          <w:tcPr>
            <w:tcW w:w="3520" w:type="dxa"/>
            <w:vAlign w:val="bottom"/>
            <w:gridSpan w:val="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62">
              <w:r>
                <w:rPr>
                  <w:rFonts w:ascii="Arial" w:cs="Arial" w:eastAsia="Arial" w:hAnsi="Arial"/>
                  <w:sz w:val="18"/>
                  <w:szCs w:val="18"/>
                  <w:color w:val="0000EE"/>
                  <w:w w:val="99"/>
                </w:rPr>
                <w:t>Treatment of OncoMed Options and OncoMed Units</w:t>
              </w:r>
            </w:hyperlink>
          </w:p>
        </w:tc>
        <w:tc>
          <w:tcPr>
            <w:tcW w:w="4940" w:type="dxa"/>
            <w:vAlign w:val="bottom"/>
            <w:gridSpan w:val="1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Mereo’s Reasons for the Merger</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Appraisal Rights</w:t>
              </w:r>
            </w:hyperlink>
          </w:p>
        </w:tc>
        <w:tc>
          <w:tcPr>
            <w:tcW w:w="1240" w:type="dxa"/>
            <w:vAlign w:val="bottom"/>
            <w:tcBorders>
              <w:top w:val="single" w:sz="8" w:color="0000EE"/>
            </w:tcBorders>
            <w:gridSpan w:val="14"/>
          </w:tcPr>
          <w:p>
            <w:pPr>
              <w:spacing w:after="0"/>
              <w:rPr>
                <w:sz w:val="15"/>
                <w:szCs w:val="15"/>
                <w:color w:val="auto"/>
              </w:rPr>
            </w:pPr>
          </w:p>
        </w:tc>
        <w:tc>
          <w:tcPr>
            <w:tcW w:w="6520" w:type="dxa"/>
            <w:vAlign w:val="bottom"/>
            <w:gridSpan w:val="2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68">
              <w:r>
                <w:rPr>
                  <w:rFonts w:ascii="Arial" w:cs="Arial" w:eastAsia="Arial" w:hAnsi="Arial"/>
                  <w:sz w:val="18"/>
                  <w:szCs w:val="18"/>
                  <w:color w:val="0000EE"/>
                </w:rPr>
                <w:t>Listing of the Mereo ADSs and Mereo Shares</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Delisting and Deregistration of OncoMed Common Stock</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880" w:type="dxa"/>
            <w:vAlign w:val="bottom"/>
            <w:tcBorders>
              <w:bottom w:val="single" w:sz="8" w:color="0000EE"/>
            </w:tcBorders>
            <w:gridSpan w:val="36"/>
          </w:tcPr>
          <w:p>
            <w:pPr>
              <w:spacing w:after="0" w:line="182" w:lineRule="exact"/>
              <w:rPr>
                <w:rFonts w:ascii="Arial" w:cs="Arial" w:eastAsia="Arial" w:hAnsi="Arial"/>
                <w:sz w:val="18"/>
                <w:szCs w:val="18"/>
                <w:color w:val="0000EE"/>
                <w:w w:val="99"/>
              </w:rPr>
            </w:pPr>
            <w:hyperlink w:anchor="page169">
              <w:r>
                <w:rPr>
                  <w:rFonts w:ascii="Arial" w:cs="Arial" w:eastAsia="Arial" w:hAnsi="Arial"/>
                  <w:sz w:val="18"/>
                  <w:szCs w:val="18"/>
                  <w:color w:val="0000EE"/>
                  <w:w w:val="99"/>
                </w:rPr>
                <w:t>Restrictions on Sales of Mereo ADSs Received in the Merger</w:t>
              </w:r>
            </w:hyperlink>
          </w:p>
        </w:tc>
        <w:tc>
          <w:tcPr>
            <w:tcW w:w="4220" w:type="dxa"/>
            <w:vAlign w:val="bottom"/>
            <w:gridSpan w:val="9"/>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5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69">
              <w:r>
                <w:rPr>
                  <w:rFonts w:ascii="Arial" w:cs="Arial" w:eastAsia="Arial" w:hAnsi="Arial"/>
                  <w:sz w:val="18"/>
                  <w:szCs w:val="18"/>
                  <w:color w:val="0000EE"/>
                  <w:w w:val="99"/>
                </w:rPr>
                <w:t>Litigation Related to the Merger</w:t>
              </w:r>
            </w:hyperlink>
          </w:p>
        </w:tc>
        <w:tc>
          <w:tcPr>
            <w:tcW w:w="6580" w:type="dxa"/>
            <w:vAlign w:val="bottom"/>
            <w:gridSpan w:val="2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9460" w:type="dxa"/>
            <w:vAlign w:val="bottom"/>
            <w:gridSpan w:val="46"/>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The Merger Agreement</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70">
              <w:r>
                <w:rPr>
                  <w:rFonts w:ascii="Arial" w:cs="Arial" w:eastAsia="Arial" w:hAnsi="Arial"/>
                  <w:sz w:val="18"/>
                  <w:szCs w:val="18"/>
                  <w:color w:val="0000EE"/>
                  <w:w w:val="98"/>
                </w:rPr>
                <w:t>The Merger</w:t>
              </w:r>
            </w:hyperlink>
          </w:p>
        </w:tc>
        <w:tc>
          <w:tcPr>
            <w:tcW w:w="580" w:type="dxa"/>
            <w:vAlign w:val="bottom"/>
            <w:tcBorders>
              <w:top w:val="single" w:sz="8" w:color="0000EE"/>
            </w:tcBorders>
            <w:gridSpan w:val="6"/>
          </w:tcPr>
          <w:p>
            <w:pPr>
              <w:spacing w:after="0"/>
              <w:rPr>
                <w:sz w:val="15"/>
                <w:szCs w:val="15"/>
                <w:color w:val="auto"/>
              </w:rPr>
            </w:pPr>
          </w:p>
        </w:tc>
        <w:tc>
          <w:tcPr>
            <w:tcW w:w="7580" w:type="dxa"/>
            <w:vAlign w:val="bottom"/>
            <w:gridSpan w:val="3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71">
              <w:r>
                <w:rPr>
                  <w:rFonts w:ascii="Arial" w:cs="Arial" w:eastAsia="Arial" w:hAnsi="Arial"/>
                  <w:sz w:val="18"/>
                  <w:szCs w:val="18"/>
                  <w:color w:val="0000EE"/>
                  <w:w w:val="99"/>
                </w:rPr>
                <w:t>Merger Consideration</w:t>
              </w:r>
            </w:hyperlink>
          </w:p>
        </w:tc>
        <w:tc>
          <w:tcPr>
            <w:tcW w:w="7360" w:type="dxa"/>
            <w:vAlign w:val="bottom"/>
            <w:gridSpan w:val="3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74">
              <w:r>
                <w:rPr>
                  <w:rFonts w:ascii="Arial" w:cs="Arial" w:eastAsia="Arial" w:hAnsi="Arial"/>
                  <w:sz w:val="18"/>
                  <w:szCs w:val="18"/>
                  <w:color w:val="0000EE"/>
                  <w:w w:val="99"/>
                </w:rPr>
                <w:t>Treatment of OncoMed Options and OncoMed Units</w:t>
              </w:r>
            </w:hyperlink>
          </w:p>
        </w:tc>
        <w:tc>
          <w:tcPr>
            <w:tcW w:w="4940" w:type="dxa"/>
            <w:vAlign w:val="bottom"/>
            <w:gridSpan w:val="1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1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Closing and Effective Time</w:t>
              </w:r>
            </w:hyperlink>
          </w:p>
        </w:tc>
        <w:tc>
          <w:tcPr>
            <w:tcW w:w="6960" w:type="dxa"/>
            <w:vAlign w:val="bottom"/>
            <w:gridSpan w:val="31"/>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Conversion of Shares</w:t>
              </w:r>
            </w:hyperlink>
          </w:p>
        </w:tc>
        <w:tc>
          <w:tcPr>
            <w:tcW w:w="7360" w:type="dxa"/>
            <w:vAlign w:val="bottom"/>
            <w:gridSpan w:val="3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Exchange Agent; Letter of Transmittal</w:t>
              </w:r>
            </w:hyperlink>
          </w:p>
        </w:tc>
        <w:tc>
          <w:tcPr>
            <w:tcW w:w="6080" w:type="dxa"/>
            <w:vAlign w:val="bottom"/>
            <w:gridSpan w:val="2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2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Appraisal Rights</w:t>
              </w:r>
            </w:hyperlink>
          </w:p>
        </w:tc>
        <w:tc>
          <w:tcPr>
            <w:tcW w:w="7780" w:type="dxa"/>
            <w:vAlign w:val="bottom"/>
            <w:gridSpan w:val="4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Withholding</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Dividends and Distributions</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Representations and Warranties of Mereo, Merger Sub and OncoMed</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6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179">
              <w:r>
                <w:rPr>
                  <w:rFonts w:ascii="Arial" w:cs="Arial" w:eastAsia="Arial" w:hAnsi="Arial"/>
                  <w:sz w:val="18"/>
                  <w:szCs w:val="18"/>
                  <w:color w:val="0000EE"/>
                </w:rPr>
                <w:t>Material Adverse Effect</w:t>
              </w:r>
            </w:hyperlink>
          </w:p>
        </w:tc>
        <w:tc>
          <w:tcPr>
            <w:tcW w:w="3540" w:type="dxa"/>
            <w:vAlign w:val="bottom"/>
            <w:gridSpan w:val="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60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179">
              <w:r>
                <w:rPr>
                  <w:rFonts w:ascii="Arial" w:cs="Arial" w:eastAsia="Arial" w:hAnsi="Arial"/>
                  <w:sz w:val="18"/>
                  <w:szCs w:val="18"/>
                  <w:color w:val="0000EE"/>
                  <w:w w:val="99"/>
                </w:rPr>
                <w:t>Restrictions on OncoMed’s Business Pending the Closing</w:t>
              </w:r>
            </w:hyperlink>
          </w:p>
        </w:tc>
        <w:tc>
          <w:tcPr>
            <w:tcW w:w="4500" w:type="dxa"/>
            <w:vAlign w:val="bottom"/>
            <w:gridSpan w:val="1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81">
              <w:r>
                <w:rPr>
                  <w:rFonts w:ascii="Arial" w:cs="Arial" w:eastAsia="Arial" w:hAnsi="Arial"/>
                  <w:sz w:val="18"/>
                  <w:szCs w:val="18"/>
                  <w:color w:val="0000EE"/>
                </w:rPr>
                <w:t>Restrictions on Mereo’s Business Pending the Closing</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32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Agreement Not to Solicit Other Offers</w:t>
              </w:r>
            </w:hyperlink>
          </w:p>
        </w:tc>
        <w:tc>
          <w:tcPr>
            <w:tcW w:w="4780" w:type="dxa"/>
            <w:vAlign w:val="bottom"/>
            <w:gridSpan w:val="1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9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OncoMed’s Board Recommendation</w:t>
              </w:r>
            </w:hyperlink>
          </w:p>
        </w:tc>
        <w:tc>
          <w:tcPr>
            <w:tcW w:w="6120" w:type="dxa"/>
            <w:vAlign w:val="bottom"/>
            <w:gridSpan w:val="21"/>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w:anchor="page184">
              <w:r>
                <w:rPr>
                  <w:rFonts w:ascii="Arial" w:cs="Arial" w:eastAsia="Arial" w:hAnsi="Arial"/>
                  <w:sz w:val="18"/>
                  <w:szCs w:val="18"/>
                  <w:color w:val="0000EE"/>
                  <w:w w:val="99"/>
                </w:rPr>
                <w:t>Mereo’s Board Recommendation</w:t>
              </w:r>
            </w:hyperlink>
          </w:p>
        </w:tc>
        <w:tc>
          <w:tcPr>
            <w:tcW w:w="260" w:type="dxa"/>
            <w:vAlign w:val="bottom"/>
            <w:tcBorders>
              <w:top w:val="single" w:sz="8" w:color="0000EE"/>
            </w:tcBorders>
            <w:gridSpan w:val="2"/>
          </w:tcPr>
          <w:p>
            <w:pPr>
              <w:spacing w:after="0"/>
              <w:rPr>
                <w:sz w:val="15"/>
                <w:szCs w:val="15"/>
                <w:color w:val="auto"/>
              </w:rPr>
            </w:pPr>
          </w:p>
        </w:tc>
        <w:tc>
          <w:tcPr>
            <w:tcW w:w="6200" w:type="dxa"/>
            <w:vAlign w:val="bottom"/>
            <w:gridSpan w:val="2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7420" w:type="dxa"/>
            <w:vAlign w:val="bottom"/>
            <w:tcBorders>
              <w:bottom w:val="single" w:sz="8" w:color="0000EE"/>
            </w:tcBorders>
            <w:gridSpan w:val="43"/>
          </w:tcPr>
          <w:p>
            <w:pPr>
              <w:spacing w:after="0" w:line="182" w:lineRule="exact"/>
              <w:rPr>
                <w:rFonts w:ascii="Arial" w:cs="Arial" w:eastAsia="Arial" w:hAnsi="Arial"/>
                <w:sz w:val="18"/>
                <w:szCs w:val="18"/>
                <w:color w:val="0000EE"/>
                <w:w w:val="99"/>
              </w:rPr>
            </w:pPr>
            <w:hyperlink w:anchor="page184">
              <w:r>
                <w:rPr>
                  <w:rFonts w:ascii="Arial" w:cs="Arial" w:eastAsia="Arial" w:hAnsi="Arial"/>
                  <w:sz w:val="18"/>
                  <w:szCs w:val="18"/>
                  <w:color w:val="0000EE"/>
                  <w:w w:val="99"/>
                </w:rPr>
                <w:t>Preparation of the Form F-4 and the Proxy Statement/Prospectus; OncoMed Special Meeting</w:t>
              </w:r>
            </w:hyperlink>
          </w:p>
        </w:tc>
        <w:tc>
          <w:tcPr>
            <w:tcW w:w="1680" w:type="dxa"/>
            <w:vAlign w:val="bottom"/>
            <w:gridSpan w:val="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2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Mereo Shareholder Meeting</w:t>
              </w:r>
            </w:hyperlink>
          </w:p>
        </w:tc>
        <w:tc>
          <w:tcPr>
            <w:tcW w:w="6860" w:type="dxa"/>
            <w:vAlign w:val="bottom"/>
            <w:gridSpan w:val="2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85">
              <w:r>
                <w:rPr>
                  <w:rFonts w:ascii="Arial" w:cs="Arial" w:eastAsia="Arial" w:hAnsi="Arial"/>
                  <w:sz w:val="18"/>
                  <w:szCs w:val="18"/>
                  <w:color w:val="0000EE"/>
                </w:rPr>
                <w:t>Board of Directors of Combined Company</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2420" w:type="dxa"/>
            <w:vAlign w:val="bottom"/>
            <w:gridSpan w:val="21"/>
            <w:vMerge w:val="restart"/>
          </w:tcPr>
          <w:p>
            <w:pPr>
              <w:spacing w:after="0"/>
              <w:rPr>
                <w:rFonts w:ascii="Arial" w:cs="Arial" w:eastAsia="Arial" w:hAnsi="Arial"/>
                <w:sz w:val="18"/>
                <w:szCs w:val="18"/>
                <w:color w:val="0000EE"/>
                <w:w w:val="99"/>
              </w:rPr>
            </w:pPr>
            <w:hyperlink w:anchor="page185">
              <w:r>
                <w:rPr>
                  <w:rFonts w:ascii="Arial" w:cs="Arial" w:eastAsia="Arial" w:hAnsi="Arial"/>
                  <w:sz w:val="18"/>
                  <w:szCs w:val="18"/>
                  <w:color w:val="0000EE"/>
                  <w:w w:val="99"/>
                </w:rPr>
                <w:t>Indemnification and Insurance</w:t>
              </w:r>
            </w:hyperlink>
          </w:p>
        </w:tc>
        <w:tc>
          <w:tcPr>
            <w:tcW w:w="6780" w:type="dxa"/>
            <w:vAlign w:val="bottom"/>
            <w:gridSpan w:val="17"/>
            <w:vMerge w:val="restart"/>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420" w:type="dxa"/>
            <w:vAlign w:val="bottom"/>
            <w:tcBorders>
              <w:bottom w:val="single" w:sz="8" w:color="0000EE"/>
            </w:tcBorders>
            <w:gridSpan w:val="21"/>
            <w:vMerge w:val="continue"/>
          </w:tcPr>
          <w:p>
            <w:pPr>
              <w:spacing w:after="0"/>
              <w:rPr>
                <w:sz w:val="13"/>
                <w:szCs w:val="13"/>
                <w:color w:val="auto"/>
              </w:rPr>
            </w:pPr>
          </w:p>
        </w:tc>
        <w:tc>
          <w:tcPr>
            <w:tcW w:w="6780" w:type="dxa"/>
            <w:vAlign w:val="bottom"/>
            <w:gridSpan w:val="17"/>
            <w:vMerge w:val="continue"/>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Regulatory Filings</w:t>
              </w:r>
            </w:hyperlink>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6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86">
              <w:r>
                <w:rPr>
                  <w:rFonts w:ascii="Arial" w:cs="Arial" w:eastAsia="Arial" w:hAnsi="Arial"/>
                  <w:sz w:val="18"/>
                  <w:szCs w:val="18"/>
                  <w:color w:val="0000EE"/>
                  <w:w w:val="99"/>
                </w:rPr>
                <w:t>Establishment of ADS Facility; Nasdaq Listing</w:t>
              </w:r>
            </w:hyperlink>
          </w:p>
        </w:tc>
        <w:tc>
          <w:tcPr>
            <w:tcW w:w="5540" w:type="dxa"/>
            <w:vAlign w:val="bottom"/>
            <w:gridSpan w:val="9"/>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87">
              <w:r>
                <w:rPr>
                  <w:rFonts w:ascii="Arial" w:cs="Arial" w:eastAsia="Arial" w:hAnsi="Arial"/>
                  <w:sz w:val="18"/>
                  <w:szCs w:val="18"/>
                  <w:color w:val="0000EE"/>
                  <w:w w:val="99"/>
                </w:rPr>
                <w:t>Net Cash and Management Accounts</w:t>
              </w:r>
            </w:hyperlink>
          </w:p>
        </w:tc>
        <w:tc>
          <w:tcPr>
            <w:tcW w:w="6200" w:type="dxa"/>
            <w:vAlign w:val="bottom"/>
            <w:gridSpan w:val="1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4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87">
              <w:r>
                <w:rPr>
                  <w:rFonts w:ascii="Arial" w:cs="Arial" w:eastAsia="Arial" w:hAnsi="Arial"/>
                  <w:sz w:val="18"/>
                  <w:szCs w:val="18"/>
                  <w:color w:val="0000EE"/>
                  <w:w w:val="99"/>
                </w:rPr>
                <w:t>Other Agreements</w:t>
              </w:r>
            </w:hyperlink>
          </w:p>
        </w:tc>
        <w:tc>
          <w:tcPr>
            <w:tcW w:w="7720" w:type="dxa"/>
            <w:vAlign w:val="bottom"/>
            <w:gridSpan w:val="29"/>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Conditions to Closing</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Termination Events</w:t>
              </w:r>
            </w:hyperlink>
          </w:p>
        </w:tc>
        <w:tc>
          <w:tcPr>
            <w:tcW w:w="160" w:type="dxa"/>
            <w:vAlign w:val="bottom"/>
            <w:tcBorders>
              <w:top w:val="single" w:sz="8" w:color="0000EE"/>
            </w:tcBorders>
            <w:gridSpan w:val="3"/>
          </w:tcPr>
          <w:p>
            <w:pPr>
              <w:spacing w:after="0"/>
              <w:rPr>
                <w:sz w:val="15"/>
                <w:szCs w:val="15"/>
                <w:color w:val="auto"/>
              </w:rPr>
            </w:pPr>
          </w:p>
        </w:tc>
        <w:tc>
          <w:tcPr>
            <w:tcW w:w="7500" w:type="dxa"/>
            <w:vAlign w:val="bottom"/>
            <w:gridSpan w:val="25"/>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Termination Fees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Effect of Termination</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193">
              <w:r>
                <w:rPr>
                  <w:rFonts w:ascii="Arial" w:cs="Arial" w:eastAsia="Arial" w:hAnsi="Arial"/>
                  <w:sz w:val="18"/>
                  <w:szCs w:val="18"/>
                  <w:color w:val="0000EE"/>
                  <w:w w:val="98"/>
                </w:rPr>
                <w:t>Expenses</w:t>
              </w:r>
            </w:hyperlink>
          </w:p>
        </w:tc>
        <w:tc>
          <w:tcPr>
            <w:tcW w:w="840" w:type="dxa"/>
            <w:vAlign w:val="bottom"/>
            <w:tcBorders>
              <w:top w:val="single" w:sz="8" w:color="0000EE"/>
            </w:tcBorders>
            <w:gridSpan w:val="7"/>
          </w:tcPr>
          <w:p>
            <w:pPr>
              <w:spacing w:after="0"/>
              <w:rPr>
                <w:sz w:val="15"/>
                <w:szCs w:val="15"/>
                <w:color w:val="auto"/>
              </w:rPr>
            </w:pPr>
          </w:p>
        </w:tc>
        <w:tc>
          <w:tcPr>
            <w:tcW w:w="7560" w:type="dxa"/>
            <w:vAlign w:val="bottom"/>
            <w:gridSpan w:val="2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193">
              <w:r>
                <w:rPr>
                  <w:rFonts w:ascii="Arial" w:cs="Arial" w:eastAsia="Arial" w:hAnsi="Arial"/>
                  <w:sz w:val="18"/>
                  <w:szCs w:val="18"/>
                  <w:color w:val="0000EE"/>
                  <w:w w:val="98"/>
                </w:rPr>
                <w:t>Amendment</w:t>
              </w:r>
            </w:hyperlink>
          </w:p>
        </w:tc>
        <w:tc>
          <w:tcPr>
            <w:tcW w:w="8220" w:type="dxa"/>
            <w:vAlign w:val="bottom"/>
            <w:gridSpan w:val="3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0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Governing Law; Jurisdiction; Waiver of Trial by Jury</w:t>
              </w:r>
            </w:hyperlink>
          </w:p>
        </w:tc>
        <w:tc>
          <w:tcPr>
            <w:tcW w:w="5100" w:type="dxa"/>
            <w:vAlign w:val="bottom"/>
            <w:gridSpan w:val="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Specific Performance</w:t>
              </w:r>
            </w:hyperlink>
          </w:p>
        </w:tc>
        <w:tc>
          <w:tcPr>
            <w:tcW w:w="7480" w:type="dxa"/>
            <w:vAlign w:val="bottom"/>
            <w:gridSpan w:val="2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The CVR Agreement</w:t>
              </w:r>
            </w:hyperlink>
          </w:p>
        </w:tc>
        <w:tc>
          <w:tcPr>
            <w:tcW w:w="7820" w:type="dxa"/>
            <w:vAlign w:val="bottom"/>
            <w:gridSpan w:val="30"/>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01">
              <w:r>
                <w:rPr>
                  <w:rFonts w:ascii="Arial" w:cs="Arial" w:eastAsia="Arial" w:hAnsi="Arial"/>
                  <w:sz w:val="18"/>
                  <w:szCs w:val="18"/>
                  <w:color w:val="0000EE"/>
                  <w:w w:val="99"/>
                </w:rPr>
                <w:t>The Support Agreements</w:t>
              </w:r>
            </w:hyperlink>
          </w:p>
        </w:tc>
        <w:tc>
          <w:tcPr>
            <w:tcW w:w="7540" w:type="dxa"/>
            <w:vAlign w:val="bottom"/>
            <w:gridSpan w:val="2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201">
              <w:r>
                <w:rPr>
                  <w:rFonts w:ascii="Arial" w:cs="Arial" w:eastAsia="Arial" w:hAnsi="Arial"/>
                  <w:sz w:val="18"/>
                  <w:szCs w:val="18"/>
                  <w:color w:val="0000EE"/>
                </w:rPr>
                <w:t>OncoMed Support Agreements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202">
              <w:r>
                <w:rPr>
                  <w:rFonts w:ascii="Arial" w:cs="Arial" w:eastAsia="Arial" w:hAnsi="Arial"/>
                  <w:sz w:val="18"/>
                  <w:szCs w:val="18"/>
                  <w:color w:val="0000EE"/>
                  <w:w w:val="99"/>
                </w:rPr>
                <w:t>Mereo Support Agreements</w:t>
              </w:r>
            </w:hyperlink>
          </w:p>
        </w:tc>
        <w:tc>
          <w:tcPr>
            <w:tcW w:w="260" w:type="dxa"/>
            <w:vAlign w:val="bottom"/>
            <w:tcBorders>
              <w:top w:val="single" w:sz="8" w:color="0000EE"/>
            </w:tcBorders>
            <w:gridSpan w:val="4"/>
          </w:tcPr>
          <w:p>
            <w:pPr>
              <w:spacing w:after="0"/>
              <w:rPr>
                <w:sz w:val="15"/>
                <w:szCs w:val="15"/>
                <w:color w:val="auto"/>
              </w:rPr>
            </w:pPr>
          </w:p>
        </w:tc>
        <w:tc>
          <w:tcPr>
            <w:tcW w:w="6720" w:type="dxa"/>
            <w:vAlign w:val="bottom"/>
            <w:gridSpan w:val="1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204">
              <w:r>
                <w:rPr>
                  <w:rFonts w:ascii="Arial" w:cs="Arial" w:eastAsia="Arial" w:hAnsi="Arial"/>
                  <w:sz w:val="18"/>
                  <w:szCs w:val="18"/>
                  <w:color w:val="0000EE"/>
                </w:rPr>
                <w:t>Business of Mereo and Certain Information About Mereo</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83"/>
        </w:trPr>
        <w:tc>
          <w:tcPr>
            <w:tcW w:w="16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254">
              <w:r>
                <w:rPr>
                  <w:rFonts w:ascii="Arial" w:cs="Arial" w:eastAsia="Arial" w:hAnsi="Arial"/>
                  <w:sz w:val="18"/>
                  <w:szCs w:val="18"/>
                  <w:color w:val="0000EE"/>
                  <w:w w:val="99"/>
                </w:rPr>
                <w:t>Mereo Management</w:t>
              </w:r>
            </w:hyperlink>
          </w:p>
        </w:tc>
        <w:tc>
          <w:tcPr>
            <w:tcW w:w="2880" w:type="dxa"/>
            <w:vAlign w:val="bottom"/>
            <w:tcBorders>
              <w:top w:val="single" w:sz="8" w:color="0000EE"/>
            </w:tcBorders>
            <w:gridSpan w:val="25"/>
          </w:tcPr>
          <w:p>
            <w:pPr>
              <w:spacing w:after="0"/>
              <w:rPr>
                <w:sz w:val="15"/>
                <w:szCs w:val="15"/>
                <w:color w:val="auto"/>
              </w:rPr>
            </w:pPr>
          </w:p>
        </w:tc>
        <w:tc>
          <w:tcPr>
            <w:tcW w:w="5060" w:type="dxa"/>
            <w:vAlign w:val="bottom"/>
            <w:gridSpan w:val="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273">
              <w:r>
                <w:rPr>
                  <w:rFonts w:ascii="Arial" w:cs="Arial" w:eastAsia="Arial" w:hAnsi="Arial"/>
                  <w:sz w:val="18"/>
                  <w:szCs w:val="18"/>
                  <w:color w:val="0000EE"/>
                </w:rPr>
                <w:t>Beneficial Ownership of Certain Shareholders of Mereo and the Mereo Board</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83"/>
        </w:trPr>
        <w:tc>
          <w:tcPr>
            <w:tcW w:w="614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276">
              <w:r>
                <w:rPr>
                  <w:rFonts w:ascii="Arial" w:cs="Arial" w:eastAsia="Arial" w:hAnsi="Arial"/>
                  <w:sz w:val="18"/>
                  <w:szCs w:val="18"/>
                  <w:color w:val="0000EE"/>
                </w:rPr>
                <w:t>Related Party Transactions</w:t>
              </w:r>
            </w:hyperlink>
          </w:p>
        </w:tc>
        <w:tc>
          <w:tcPr>
            <w:tcW w:w="3420" w:type="dxa"/>
            <w:vAlign w:val="bottom"/>
            <w:gridSpan w:val="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278">
              <w:r>
                <w:rPr>
                  <w:rFonts w:ascii="Arial" w:cs="Arial" w:eastAsia="Arial" w:hAnsi="Arial"/>
                  <w:sz w:val="18"/>
                  <w:szCs w:val="18"/>
                  <w:color w:val="0000EE"/>
                  <w:w w:val="99"/>
                </w:rPr>
                <w:t>Mereo’s Management’s Discussion and Analysis of Financial Condition and Results of Operations of Mereo</w:t>
              </w:r>
            </w:hyperlink>
          </w:p>
        </w:tc>
        <w:tc>
          <w:tcPr>
            <w:tcW w:w="1020" w:type="dxa"/>
            <w:vAlign w:val="bottom"/>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0000EE"/>
            </w:tcBorders>
            <w:gridSpan w:val="37"/>
          </w:tcPr>
          <w:p>
            <w:pPr>
              <w:spacing w:after="0" w:line="182" w:lineRule="exact"/>
              <w:rPr>
                <w:rFonts w:ascii="Arial" w:cs="Arial" w:eastAsia="Arial" w:hAnsi="Arial"/>
                <w:sz w:val="18"/>
                <w:szCs w:val="18"/>
                <w:color w:val="0000EE"/>
                <w:w w:val="99"/>
              </w:rPr>
            </w:pPr>
            <w:hyperlink w:anchor="page299">
              <w:r>
                <w:rPr>
                  <w:rFonts w:ascii="Arial" w:cs="Arial" w:eastAsia="Arial" w:hAnsi="Arial"/>
                  <w:sz w:val="18"/>
                  <w:szCs w:val="18"/>
                  <w:color w:val="0000EE"/>
                  <w:w w:val="99"/>
                </w:rPr>
                <w:t>OncoMed Security Ownership of Certain Beneficial Owners and Management</w:t>
              </w:r>
            </w:hyperlink>
          </w:p>
        </w:tc>
        <w:tc>
          <w:tcPr>
            <w:tcW w:w="3380" w:type="dxa"/>
            <w:vAlign w:val="bottom"/>
            <w:gridSpan w:val="2"/>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03">
              <w:r>
                <w:rPr>
                  <w:rFonts w:ascii="Arial" w:cs="Arial" w:eastAsia="Arial" w:hAnsi="Arial"/>
                  <w:sz w:val="18"/>
                  <w:szCs w:val="18"/>
                  <w:color w:val="0000EE"/>
                </w:rPr>
                <w:t>Material U.S. Federal Income Tax Considerations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10">
              <w:r>
                <w:rPr>
                  <w:rFonts w:ascii="Arial" w:cs="Arial" w:eastAsia="Arial" w:hAnsi="Arial"/>
                  <w:sz w:val="18"/>
                  <w:szCs w:val="18"/>
                  <w:color w:val="0000EE"/>
                </w:rPr>
                <w:t>Material U.K. Tax Considerations</w:t>
              </w:r>
            </w:hyperlink>
          </w:p>
        </w:tc>
        <w:tc>
          <w:tcPr>
            <w:tcW w:w="5640" w:type="dxa"/>
            <w:vAlign w:val="bottom"/>
            <w:gridSpan w:val="11"/>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12">
              <w:r>
                <w:rPr>
                  <w:rFonts w:ascii="Arial" w:cs="Arial" w:eastAsia="Arial" w:hAnsi="Arial"/>
                  <w:sz w:val="18"/>
                  <w:szCs w:val="18"/>
                  <w:color w:val="0000EE"/>
                </w:rPr>
                <w:t>Description of the Mereo Shares And Articles of Association</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83"/>
        </w:trPr>
        <w:tc>
          <w:tcPr>
            <w:tcW w:w="24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323">
              <w:r>
                <w:rPr>
                  <w:rFonts w:ascii="Arial" w:cs="Arial" w:eastAsia="Arial" w:hAnsi="Arial"/>
                  <w:sz w:val="18"/>
                  <w:szCs w:val="18"/>
                  <w:color w:val="0000EE"/>
                  <w:w w:val="99"/>
                </w:rPr>
                <w:t>Description of the Mereo ADSs</w:t>
              </w:r>
            </w:hyperlink>
          </w:p>
        </w:tc>
        <w:tc>
          <w:tcPr>
            <w:tcW w:w="2280" w:type="dxa"/>
            <w:vAlign w:val="bottom"/>
            <w:tcBorders>
              <w:top w:val="single" w:sz="8" w:color="0000EE"/>
            </w:tcBorders>
            <w:gridSpan w:val="16"/>
          </w:tcPr>
          <w:p>
            <w:pPr>
              <w:spacing w:after="0"/>
              <w:rPr>
                <w:sz w:val="15"/>
                <w:szCs w:val="15"/>
                <w:color w:val="auto"/>
              </w:rPr>
            </w:pPr>
          </w:p>
        </w:tc>
        <w:tc>
          <w:tcPr>
            <w:tcW w:w="4800" w:type="dxa"/>
            <w:vAlign w:val="bottom"/>
            <w:gridSpan w:val="5"/>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35">
              <w:r>
                <w:rPr>
                  <w:rFonts w:ascii="Arial" w:cs="Arial" w:eastAsia="Arial" w:hAnsi="Arial"/>
                  <w:sz w:val="18"/>
                  <w:szCs w:val="18"/>
                  <w:color w:val="0000EE"/>
                </w:rPr>
                <w:t>Comparison of Shareholder Rights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83"/>
        </w:trPr>
        <w:tc>
          <w:tcPr>
            <w:tcW w:w="27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51">
              <w:r>
                <w:rPr>
                  <w:rFonts w:ascii="Arial" w:cs="Arial" w:eastAsia="Arial" w:hAnsi="Arial"/>
                  <w:sz w:val="18"/>
                  <w:szCs w:val="18"/>
                  <w:color w:val="0000EE"/>
                </w:rPr>
                <w:t>Exchange Controls</w:t>
              </w:r>
            </w:hyperlink>
          </w:p>
        </w:tc>
        <w:tc>
          <w:tcPr>
            <w:tcW w:w="6800" w:type="dxa"/>
            <w:vAlign w:val="bottom"/>
            <w:gridSpan w:val="18"/>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2">
              <w:r>
                <w:rPr>
                  <w:rFonts w:ascii="Arial" w:cs="Arial" w:eastAsia="Arial" w:hAnsi="Arial"/>
                  <w:sz w:val="18"/>
                  <w:szCs w:val="18"/>
                  <w:color w:val="0000EE"/>
                </w:rPr>
                <w:t>Submission of Stockholder Proposals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12"/>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2">
              <w:r>
                <w:rPr>
                  <w:rFonts w:ascii="Arial" w:cs="Arial" w:eastAsia="Arial" w:hAnsi="Arial"/>
                  <w:sz w:val="18"/>
                  <w:szCs w:val="18"/>
                  <w:color w:val="0000EE"/>
                </w:rPr>
                <w:t>Stockholder Proposals to Be Presented at Next Annual Meeting</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3"/>
        </w:trPr>
        <w:tc>
          <w:tcPr>
            <w:tcW w:w="390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w:anchor="page352">
              <w:r>
                <w:rPr>
                  <w:rFonts w:ascii="Arial" w:cs="Arial" w:eastAsia="Arial" w:hAnsi="Arial"/>
                  <w:sz w:val="18"/>
                  <w:szCs w:val="18"/>
                  <w:color w:val="0000EE"/>
                  <w:w w:val="99"/>
                </w:rPr>
                <w:t>Other Business at the OncoMed Special Meeting</w:t>
              </w:r>
            </w:hyperlink>
          </w:p>
        </w:tc>
        <w:tc>
          <w:tcPr>
            <w:tcW w:w="1160" w:type="dxa"/>
            <w:vAlign w:val="bottom"/>
            <w:tcBorders>
              <w:top w:val="single" w:sz="8" w:color="0000EE"/>
            </w:tcBorders>
            <w:gridSpan w:val="8"/>
          </w:tcPr>
          <w:p>
            <w:pPr>
              <w:spacing w:after="0"/>
              <w:rPr>
                <w:sz w:val="15"/>
                <w:szCs w:val="15"/>
                <w:color w:val="auto"/>
              </w:rPr>
            </w:pPr>
          </w:p>
        </w:tc>
        <w:tc>
          <w:tcPr>
            <w:tcW w:w="4500" w:type="dxa"/>
            <w:vAlign w:val="bottom"/>
            <w:gridSpan w:val="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53">
              <w:r>
                <w:rPr>
                  <w:rFonts w:ascii="Arial" w:cs="Arial" w:eastAsia="Arial" w:hAnsi="Arial"/>
                  <w:sz w:val="18"/>
                  <w:szCs w:val="18"/>
                  <w:color w:val="0000EE"/>
                  <w:w w:val="98"/>
                </w:rPr>
                <w:t>Legal Matters</w:t>
              </w:r>
            </w:hyperlink>
          </w:p>
        </w:tc>
        <w:tc>
          <w:tcPr>
            <w:tcW w:w="8460" w:type="dxa"/>
            <w:vAlign w:val="bottom"/>
            <w:gridSpan w:val="3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353">
              <w:r>
                <w:rPr>
                  <w:rFonts w:ascii="Arial" w:cs="Arial" w:eastAsia="Arial" w:hAnsi="Arial"/>
                  <w:sz w:val="18"/>
                  <w:szCs w:val="18"/>
                  <w:color w:val="0000EE"/>
                  <w:w w:val="98"/>
                </w:rPr>
                <w:t>Experts</w:t>
              </w:r>
            </w:hyperlink>
          </w:p>
        </w:tc>
        <w:tc>
          <w:tcPr>
            <w:tcW w:w="8940" w:type="dxa"/>
            <w:vAlign w:val="bottom"/>
            <w:gridSpan w:val="3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353">
              <w:r>
                <w:rPr>
                  <w:rFonts w:ascii="Arial" w:cs="Arial" w:eastAsia="Arial" w:hAnsi="Arial"/>
                  <w:sz w:val="18"/>
                  <w:szCs w:val="18"/>
                  <w:color w:val="0000EE"/>
                  <w:w w:val="99"/>
                </w:rPr>
                <w:t>Service of Process and Enforcement of Judgments</w:t>
              </w:r>
            </w:hyperlink>
          </w:p>
        </w:tc>
        <w:tc>
          <w:tcPr>
            <w:tcW w:w="5500" w:type="dxa"/>
            <w:vAlign w:val="bottom"/>
            <w:gridSpan w:val="8"/>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w:anchor="page355">
              <w:r>
                <w:rPr>
                  <w:rFonts w:ascii="Arial" w:cs="Arial" w:eastAsia="Arial" w:hAnsi="Arial"/>
                  <w:sz w:val="18"/>
                  <w:szCs w:val="18"/>
                  <w:color w:val="0000EE"/>
                  <w:w w:val="98"/>
                </w:rPr>
                <w:t>Where You Can Find More Information</w:t>
              </w:r>
            </w:hyperlink>
          </w:p>
        </w:tc>
        <w:tc>
          <w:tcPr>
            <w:tcW w:w="6480" w:type="dxa"/>
            <w:vAlign w:val="bottom"/>
            <w:gridSpan w:val="1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5">
              <w:r>
                <w:rPr>
                  <w:rFonts w:ascii="Arial" w:cs="Arial" w:eastAsia="Arial" w:hAnsi="Arial"/>
                  <w:sz w:val="18"/>
                  <w:szCs w:val="18"/>
                  <w:color w:val="0000EE"/>
                </w:rPr>
                <w:t>Incorporation of Certain Documents by Reference</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357">
              <w:r>
                <w:rPr>
                  <w:rFonts w:ascii="Arial" w:cs="Arial" w:eastAsia="Arial" w:hAnsi="Arial"/>
                  <w:sz w:val="18"/>
                  <w:szCs w:val="18"/>
                  <w:color w:val="0000EE"/>
                  <w:w w:val="99"/>
                </w:rPr>
                <w:t>Index to Financial Statements</w:t>
              </w:r>
            </w:hyperlink>
          </w:p>
        </w:tc>
        <w:tc>
          <w:tcPr>
            <w:tcW w:w="1580" w:type="dxa"/>
            <w:vAlign w:val="bottom"/>
            <w:tcBorders>
              <w:top w:val="single" w:sz="8" w:color="0000EE"/>
            </w:tcBorders>
            <w:gridSpan w:val="12"/>
          </w:tcPr>
          <w:p>
            <w:pPr>
              <w:spacing w:after="0"/>
              <w:rPr>
                <w:sz w:val="15"/>
                <w:szCs w:val="15"/>
                <w:color w:val="auto"/>
              </w:rPr>
            </w:pPr>
          </w:p>
        </w:tc>
        <w:tc>
          <w:tcPr>
            <w:tcW w:w="5600" w:type="dxa"/>
            <w:vAlign w:val="bottom"/>
            <w:gridSpan w:val="10"/>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26"/>
        </w:trPr>
        <w:tc>
          <w:tcPr>
            <w:tcW w:w="360" w:type="dxa"/>
            <w:vAlign w:val="bottom"/>
          </w:tcPr>
          <w:p>
            <w:pPr>
              <w:spacing w:after="0"/>
              <w:rPr>
                <w:sz w:val="24"/>
                <w:szCs w:val="24"/>
                <w:color w:val="auto"/>
              </w:rPr>
            </w:pPr>
          </w:p>
        </w:tc>
        <w:tc>
          <w:tcPr>
            <w:tcW w:w="9200" w:type="dxa"/>
            <w:vAlign w:val="bottom"/>
            <w:gridSpan w:val="38"/>
          </w:tcPr>
          <w:p>
            <w:pPr>
              <w:spacing w:after="0"/>
              <w:rPr>
                <w:rFonts w:ascii="Arial" w:cs="Arial" w:eastAsia="Arial" w:hAnsi="Arial"/>
                <w:sz w:val="18"/>
                <w:szCs w:val="18"/>
                <w:color w:val="0000EE"/>
              </w:rPr>
            </w:pPr>
            <w:hyperlink w:anchor="page412">
              <w:r>
                <w:rPr>
                  <w:rFonts w:ascii="Arial" w:cs="Arial" w:eastAsia="Arial" w:hAnsi="Arial"/>
                  <w:sz w:val="18"/>
                  <w:szCs w:val="18"/>
                  <w:color w:val="0000EE"/>
                </w:rPr>
                <w:t>ANNEX A</w:t>
              </w:r>
            </w:hyperlink>
          </w:p>
        </w:tc>
        <w:tc>
          <w:tcPr>
            <w:tcW w:w="10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Agreement and Plan of Merger and Reorganization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491">
              <w:r>
                <w:rPr>
                  <w:rFonts w:ascii="Arial" w:cs="Arial" w:eastAsia="Arial" w:hAnsi="Arial"/>
                  <w:sz w:val="18"/>
                  <w:szCs w:val="18"/>
                  <w:color w:val="0000EE"/>
                </w:rPr>
                <w:t>ANNEX B</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Form of Contingent Value Rights Agreement</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515">
              <w:r>
                <w:rPr>
                  <w:rFonts w:ascii="Arial" w:cs="Arial" w:eastAsia="Arial" w:hAnsi="Arial"/>
                  <w:sz w:val="18"/>
                  <w:szCs w:val="18"/>
                  <w:color w:val="0000EE"/>
                </w:rPr>
                <w:t>ANNEX C</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Opinion of OncoMed’s Financial Advisor</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519">
              <w:r>
                <w:rPr>
                  <w:rFonts w:ascii="Arial" w:cs="Arial" w:eastAsia="Arial" w:hAnsi="Arial"/>
                  <w:sz w:val="18"/>
                  <w:szCs w:val="18"/>
                  <w:color w:val="0000EE"/>
                </w:rPr>
                <w:t>ANNEX D</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Section 262 of the General Corporation Law of the State of Delaware</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QUESTIONS AND ANSWERS ABOUT THE MERGER AND THE ONCOMED SPECIAL MEETING</w:t>
      </w:r>
    </w:p>
    <w:p>
      <w:pPr>
        <w:spacing w:after="0" w:line="324"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i w:val="1"/>
          <w:iCs w:val="1"/>
          <w:color w:val="auto"/>
        </w:rPr>
        <w:t>The following questions and answers address briefly some questions you may have regarding the proposed merger and the OncoMed Special Meeting. These questions and answers may not address all questions that may be important to you. Please refer to the more detailed information contained elsewhere in this proxy statement/prospectus, as well as the additional documents referred to in, or incorporated by reference into, this proxy statement/prospectus.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Questions and Answers about the Merger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proposed transaction on which I am being asked to vote?</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You are being asked to vote to approve and adopt the Agreement and Plan of Merger and Reorganization, dated as of December 5, 2018 (as may be further amended from time to time, the “Merger Agreement”), entered into by and among Mereo BioPharma Group plc, a public limited company organized under the laws of England and Wales (“Mereo”), Mereo US Holdings Inc., a Delaware corporation and a wholly-owned subsidiary of Mereo (“HoldCo”), Mereo MergerCo One Inc., a Delaware corporation and a wholly-owned subsidiary of HoldCo (“Merger Sub”), and OncoMed Pharmaceuticals, Inc., a Delaware corporation (“OncoMed”). A copy of the Merger Agreement is included as Annex A to this proxy statement/prospectus. Pursuant to the Merger Agreement, Merger Sub will merge with and into OncoMed, with OncoMed surviving the merger as a wholly-owned subsidiary of HoldCo, and an indirect wholly-owned subsidiary of Mereo (the “Merger”). Following the Merger, OncoMed will no longer be a publicly traded corporation. Mereo and its subsidiaries following the Merger, including OncoMed, are referred to in this proxy statement/prospectus as the “Combined Company.”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Why am I receiving this document and why am I being asked to vote on the Merger Agreement?</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OncoMed is holding a special meeting of stockholders, which is referred to in this proxy statement/prospectus as the “OncoMed Special Meeting,” in order to obtain the stockholder approval necessary to approve and adopt the Merger Agreement. Approval and adoption of the Merger Agreement requires the affirmative vote of holders of at least a majority of the outstanding shares of OncoMed common stock entitled to vote thereon. OncoMed stockholders will also be asked to approve, on a non-binding, advisory basis, the compensation payments that will or may be paid by OncoMed or Mereo to OncoMed’s named executive officers and that are based on or otherwise related to the Merger and the agreements and understandings pursuant to which such compensation may be paid or become payable, and to approve the adjournment from time to time of the OncoMed Special Meeting, if necessary or appropriate, to solicit additional proxies if there are not sufficient votes to approve and adopt the Merger Agreement at the time of the OncoMed Special Meeting or any adjournment or postponement thereof, as further described in the section entitled “—What are the proposals on which the OncoMed stockholders are being asked to vote?” elsewhere in this proxy statement/prospectus. It is important that OncoMed’s stockholders vote their shares of OncoMed common stock on each of these matters, regardless of the number of shares owned. The adoption of the Merger Agreement by OncoMed’s stockholders is a condition to the completion of the Merger. See the section entitled “The Merger Agreement—Conditions to Closing” elsewhere in this proxy statement/prospectus.</w:t>
      </w:r>
    </w:p>
    <w:p>
      <w:pPr>
        <w:spacing w:after="0" w:line="20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This document serves as the proxy statement by which OncoMed is soliciting proxies to obtain the necessary approvals from its stockholders for the Merger. It also serves as the prospectus by which Mereo will offer and issue the ordinary shares, with a nominal value of £0.003 per ordinary share, of Mereo (the “Mereo Shares”) underlying the American Depositary Shares (the “Mereo ADSs”) that will be issued to OncoMed stockholders as a part of the Merger Consideration. It provides OncoMed stockholders with important details about Mereo and their rights as potential equityholders of Mereo.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 my vote important?</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Yes, your vote is very important. For OncoMed stockholders, an abstention from voting or a failure to vote will have the same effect as a vote “AGAINST” the approval and adoption of the Merger Agreement, assuming a quorum is present. If you hold your OncoMed common stock through a broker, bank or other nominee holder of record and you do not give voting instructions to that broker, bank or other nominee holder of record, that broker, bank or other nominee holder of record will not be able to vote your shares on the approval and adoption of the Merger Agreement, and your failure to give those instructions will have the same effect as a vote “AGAINST” the approval and adoption of the Merger Agreement, assuming a quorum is present. OncoMed’s board of directors (the “OncoMed Board”) unanimously recommends that OncoMed stockholders vote “FOR” the approval and adoption of the Merger Agreement.</w:t>
      </w:r>
    </w:p>
    <w:p>
      <w:pPr>
        <w:spacing w:after="0" w:line="203"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The enclosed proxy materials allow you to grant a proxy or vote your shares by telephone or Internet without attending the OncoMed Special Meeting. You are encouraged to submit your proxy or vote your shares by telephone or Internet as soon as possible, even if you plan to attend the OncoMed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will OncoMed stockholders receive in the Merger?</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the Merger is completed, OncoMed stockholders will receive, in exchange for each outstanding share of OncoMed common stock owned immediately prior to completion of the Merger (except for any dissenting shares): (1) a number of Mereo ADSs determined by reference to the exchange ratio described below (the “Share Consideration”), and (2) one contingent value right (a “CVR”), representing the right to receive contingent payments if specified milestones are achieved within agreed time periods, subject to and in accordance with the terms and conditions of the Contingent Value Rights Agreement, in substantially the form included as Annex B to this proxy statement/prospectus (the “CVR Agreement”), to be entered into at or prior to the effective time of the Merger (the “Effective Time”) by and among Computershare Inc., as rights agent, and Mereo (together with the Share Consideration, the “Merger Consideration”).</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(the “Exchange Ratio”), as of immediately following the Effective Time, former OncoMed stockholders are expected to own approximately 25% of the outstanding equity interests in the Combined Company on an undiluted basis (the “Implied OncoMed Ownership”), subject to adjustment for the net cash held by OncoMed at the time of the closing of the Merger (the “Closing”). The number of Mereo Shares underlying Mereo ADSs issuable to former OncoMed stockholders in the Merger is also subject to the limitation that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(the “Share Consideration Cap”), as described further in “The Merger Agreement—Merger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The Nasdaq Stock Market (“Nasdaq”).</w:t>
      </w:r>
    </w:p>
    <w:p>
      <w:pPr>
        <w:spacing w:after="0" w:line="206"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Based on the closing price per Mereo Share of £1.90 as of December 4, 2018, which was the last trading day of Mereo Shares on the Alternative Investment Market operated by London Stock Exchange plc (“AIM”) before the announcement of the Merger, the Federal Reserve Bank of New York’s reported U.S. dollar to pound sterling exchange rate on such date of $1.2719 to £1.0000, and assuming no adjustment to the Exchange Ratio for the net cash held by OncoMed at the time of the closing of the Merger, the Share Consideration implied a value of $1.49 per share of OncoMed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common stock. This represented a premium to OncoMed stockholders of approximately 33.8% over OncoMed’s closing stock price on December 4, 2018.</w:t>
      </w:r>
    </w:p>
    <w:p>
      <w:pPr>
        <w:spacing w:after="0" w:line="197"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Based on the closing price per Mereo Share of £1.68 as of March 15, 2019, which was the latest practicable trading day of Mereo Shares on AIM before the publication of this proxy statement/prospectus, the Federal Reserve Bank of New York’s reported U.S. dollar to pound sterling exchange rate on such date of $1.3278 to £ 1.0000, and assuming no adjustment to the Exchange Ratio for the net cash held by OncoMed at the time of the closing of the Merger , the Share Consideration would imply a value of $1.37 per share of OncoMed common stock.</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CVRs?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CVRs represent the non-transferable contractual right to receive certain stock and cash payments from Mereo if specified milestones are achieved within agreed time periods. Each share of OncoMed common stock outstanding immediately prior to the Effective Time shall be converted into the right to receive one CVR, in addition to the Share Consideration. A copy of the form of the CVR Agreement is included as Annex B to this proxy statement/prospectus.</w:t>
      </w:r>
    </w:p>
    <w:p>
      <w:pPr>
        <w:spacing w:after="0" w:line="20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TIGIT Milestone</w:t>
      </w:r>
    </w:p>
    <w:p>
      <w:pPr>
        <w:spacing w:after="0" w:line="81"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(the “TIGIT Milestone”) is achieved:</w:t>
      </w:r>
    </w:p>
    <w:p>
      <w:pPr>
        <w:spacing w:after="0" w:line="224" w:lineRule="exact"/>
        <w:rPr>
          <w:sz w:val="20"/>
          <w:szCs w:val="20"/>
          <w:color w:val="auto"/>
        </w:rPr>
      </w:pPr>
    </w:p>
    <w:p>
      <w:pPr>
        <w:ind w:left="960" w:right="280" w:hanging="432"/>
        <w:spacing w:after="0" w:line="223"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Corporation or certain affiliates thereof (collectively, “Celgene”) exercise the exclusive option granted by OncoMed to Celgene in relation to OncoMed’s etigilimab product pursuant to the Master Research and Collaboration Agreement by and among Celgene and OncoMed, dated December 2, 2013 (the “Celgene Option Exercise”);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 application of the Exchange Ratio set forth in the Merger Agreement. In such event, the CVR Agreement will be amended to delete the TIGIT Milestone and all related payment mechanics.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NAVI Milestones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 cash payment will be made to CVR holders if, within eighteen months following the closing of the Merger, Mereo or any of its subsidiaries enters into a definitive agreement with one or more third parties regarding the navicixizumab products and, within five years of the closing of the Merger, Mereo or any of its subsidiaries actually receives certain eligible cash milestone payments (each, a “NAVI Milestone”).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2" w:lineRule="exact"/>
        <w:rPr>
          <w:sz w:val="20"/>
          <w:szCs w:val="20"/>
          <w:color w:val="auto"/>
        </w:rPr>
      </w:pPr>
    </w:p>
    <w:p>
      <w:pPr>
        <w:ind w:left="200" w:right="140" w:firstLine="331"/>
        <w:spacing w:after="0" w:line="248" w:lineRule="auto"/>
        <w:rPr>
          <w:sz w:val="20"/>
          <w:szCs w:val="20"/>
          <w:color w:val="auto"/>
        </w:rPr>
      </w:pPr>
      <w:r>
        <w:rPr>
          <w:rFonts w:ascii="Arial" w:cs="Arial" w:eastAsia="Arial" w:hAnsi="Arial"/>
          <w:sz w:val="17"/>
          <w:szCs w:val="17"/>
          <w:color w:val="auto"/>
        </w:rPr>
        <w:t>The CVRs may not be sold, assigned, transferred, pledged or disposed of in any other manner, in whole or in part, other than in the limited circumstances specified in the CVR Agreement. In addition, the CVRs (i) will not be evidenced by a certificate or other instrument,</w:t>
      </w:r>
    </w:p>
    <w:p>
      <w:pPr>
        <w:spacing w:after="0" w:line="1" w:lineRule="exact"/>
        <w:rPr>
          <w:sz w:val="20"/>
          <w:szCs w:val="20"/>
          <w:color w:val="auto"/>
        </w:rPr>
      </w:pPr>
    </w:p>
    <w:p>
      <w:pPr>
        <w:ind w:left="200" w:right="120" w:firstLine="4"/>
        <w:spacing w:after="0" w:line="246"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not have any voting or dividend rights and (iii) will not represent any equity or ownership interest in Mereo or any of its subsidiaries or in the surviving corporation. No interest will accrue on any amounts payable in respect of the CVRs.</w:t>
      </w:r>
    </w:p>
    <w:p>
      <w:pPr>
        <w:spacing w:after="0" w:line="197"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Mereo’s obligation to make the CVR payment, if any becomes due, is neither secured nor guaranteed. Mereo’s obligation to make the CVR payment, if any becomes due, is an unsecured general obligation of Mereo and is not guaranteed by Mereo or any of its affiliates.</w:t>
      </w:r>
    </w:p>
    <w:p>
      <w:pPr>
        <w:spacing w:after="0" w:line="197"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For a more detailed description of the CVRs and the CVR Agreement, see “Description of the CVRs” elsewhere in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After the Merger, how much of the Combined Company will OncoMed stockholders own?</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Because the number of Mereo ADSs to be exchanged for each share of OncoMed common stock will be adjusted based on the net cash held by OncoMed at the time of the closing of the Merger, the percentage of outstanding Mereo Shares actually held by former OncoMed stockholders after the Merger may be greater or less than 25%. The number of Mereo Shares to be allotted and issued by Mereo (and the corresponding number of Mereo ADSs to be issued to holders of OncoMed common stock) as Merger Consideration or pursuant to the CVR Agreement will not, in the aggregate, exceed 66.67% of the Mereo Shares issued and outstanding immediately prior to the Effective Time (approximately 40% of the share capital of the Combined Company).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 the value of the Merger Consideration change between now and the time the Merger is consummated?</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Yes, the value of the Merger Consideration can change. The Exchange Ratio that applies to the Share Consideration is subject to adjustment for the net cash held by OncoMed at the time of the closing of the Merger and to the Share Consideration Cap, meaning that former OncoMed stockholders may be entitled to receive Mereo ADSs representing more or less than 25% of the outstanding equity interests in the Combined Company immediately following the Effective Time, regardless of the trading price of Mereo Shares on AIM or currency exchange rates on the effective date of the Merger. The actual market value of the Mereo ADSs that OncoMed stockholders will receive in the Merger may increase or decrease as the trading price of Mereo Shares increases or decreases, or as currency rates fluctuate, and may be different at the time the OncoMed Special Meeting is held or the Merger is consummated than it was as of the last trading day before the Merger Agreement was signed. The market price of Mereo Shares could be higher or lower at any time prior to the consummation of the Merger than the price of Mereo Shares as of the last trading day before the Merger Agreement was signed. Additionally, fluctuations in the currency exchange rate between the U.S. dollar and the pound sterling could affect the value of the Merger Consideration. OncoMed stockholders are urged to obtain current trading prices for Mereo Shares on AIM and current exchange rates between the U.S. dollar and the pound sterling. You should obtain current trading prices of Mereo Shares and OncoMed common stock, and currency exchange rates, before deciding how to vote on the approval and adoption of the Merger Agreement.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will happen to my OncoMed options or OncoMed restricted stock units in the Merger?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At or immediately prior to the Effective Time, each outstanding and unexercised option to acquire OncoMed common stock pursuant to OncoMed’s 2004 Stock Incentive Plan, as amended, or OncoMed’s 2013 Equity Incentive Award Plan, as applicable, whether or not vested (each, an “OncoMed Option”)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Restricted Stock Units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Immediately prior to the Effective Time and contingent on the occurrence of the Closing, each outstanding restricted stock unit, representing the right to receive shares of OncoMed common stock in the future pursuant to OncoMed’s 2013 Equity Incentive Award Plan (each, an “OncoMed Unit”) will be canceled and the holders thereof will be entitled to receive, immediately prior to the Effective Time, the number of shares of OncoMed common stock that were subject to such OncoMed Unit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 and such stockholders will thereafter be entitled to receive the Merger Consideration in respect of these shares of OncoMed common stock. No OncoMed Units will remain outstanding following the consummation of the Merger.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a Mereo ADS?</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 Mereo ADS is an American Depositary Share, which is a security that allows persons in the United States to more easily hold and trade interests in companies incorporated or organized outside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of the United States. Mereo is a public limited company organized under the laws of England and Wales that issues ordinary shares that are equivalent in many respects to the common stock of a U.S. company. See “Comparison of Shareholder Rights” for a discussion of the differences between OncoMed common stock and Mereo Shares. Each Mereo ADS represents five Mereo Shares. Mereo has applied to list the Mereo ADSs on Nasdaq, under the symbol “MREO.” Citibank, N.A. is the depositary of the Mereo Shares underlying the Mereo ADSs and will be responsible for issuing Mereo ADSs to OncoMed stockholders in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Will OncoMed stockholders be able to trade the Mereo ADSs that they receive in the transaction?</w:t>
      </w:r>
    </w:p>
    <w:p>
      <w:pPr>
        <w:spacing w:after="0" w:line="99"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Yes. Mereo has applied to list the Mereo ADSs on Nasdaq under the symbol “MREO.” Mereo ADSs received in exchange for shares of OncoMed common stock in the transaction will be freely transferable under United States federal securities laws. Mereo ADSs will be listed for trading, and be quoted,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 I receive Mereo Shares in the Merger instead of Mereo ADSs?</w:t>
      </w:r>
    </w:p>
    <w:p>
      <w:pPr>
        <w:spacing w:after="0" w:line="8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No. However, you may turn in your Mereo ADSs at the depositary’s corporate office or by providing appropriate instructions to your broker. Upon payment of the fees provided in the deposit agreement and any applicable taxes, the depositary will deliver to you the Mereo Shares underlying your Mereo ADSs held on deposit by the custodian.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material U.S. federal income tax considerations of the Merger for me?</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to U.S. Holders (as defined in “Material U.S. Federal Income Tax Considerations”). Please carefully review the information under “Material U.S. Federal Income Tax Considerations” beginning on page 283 of this proxy statement/prospectus for a description of material U.S. federal income tax consequences of the merger to U.S. Holders. The tax consequences to you will depend on your own situation. You are urged to consult your tax advisors as to the specific tax consequences to you of the Merger and your receipt of the Merger Consideration, including the applicability and effect of U.S. federal, state, local and non-U.S. income and other tax laws in light of your particular circumstances.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material U.K. tax considerations of owning Mereo ADSs for me?</w:t>
      </w:r>
    </w:p>
    <w:p>
      <w:pPr>
        <w:spacing w:after="0" w:line="99"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 xml:space="preserve">You are referred to the section of this proxy statement/prospectus entitled “Material U.K. Tax Considerations” for a summary of the anticipated material U.K. tax considerations of ownership of Mereo ADSs. </w:t>
      </w:r>
      <w:r>
        <w:rPr>
          <w:rFonts w:ascii="Arial" w:cs="Arial" w:eastAsia="Arial" w:hAnsi="Arial"/>
          <w:sz w:val="18"/>
          <w:szCs w:val="18"/>
          <w:b w:val="1"/>
          <w:bCs w:val="1"/>
          <w:color w:val="auto"/>
        </w:rPr>
        <w:t>You are urged to consult with your own tax advisor for a</w:t>
      </w:r>
      <w:r>
        <w:rPr>
          <w:rFonts w:ascii="Arial" w:cs="Arial" w:eastAsia="Arial" w:hAnsi="Arial"/>
          <w:sz w:val="18"/>
          <w:szCs w:val="18"/>
          <w:color w:val="auto"/>
        </w:rPr>
        <w:t xml:space="preserve"> </w:t>
      </w:r>
      <w:r>
        <w:rPr>
          <w:rFonts w:ascii="Arial" w:cs="Arial" w:eastAsia="Arial" w:hAnsi="Arial"/>
          <w:sz w:val="18"/>
          <w:szCs w:val="18"/>
          <w:b w:val="1"/>
          <w:bCs w:val="1"/>
          <w:color w:val="auto"/>
        </w:rPr>
        <w:t>full understanding of the U.K. tax considerations to you of owning Mereo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is the Merger expected to be completed?</w:t>
      </w:r>
    </w:p>
    <w:p>
      <w:pPr>
        <w:spacing w:after="0" w:line="85"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Mereo and OncoMed expect to complete the Merger promptly after OncoMed receives, at the OncoMed Special Meeting, an affirmative vote in favor of the approval and adoption of the Merger Agreement by holders of a majority of the shares of OncoMed’s common stock entitled to vote at the OncoMed Special Meeting (the “OncoMed Stockholder Approval”). Mereo and OncoMed currently anticipate that the Merger will occur in the first half of 2019. However, neither Mereo nor OncoMed can predict the exact timing of the completion of the Merger because the Merger is subject to certain other conditions to closing as set forth in the Merger Agreement. See the section entitled “The Merger Agreement—Conditions to Closing” elsewhere in this proxy statement/prospectus.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required to complete the Merger?</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Each of Mereo’s and OncoMed’s obligation to consummate the Merger is subject to a number of conditions specified in the Merger Agreement, including (i) the approval and adoption of the Merger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Agreement by OncoMed’s stockholders and, if necessary, Mereo’s shareholders (the “Mereo Shareholder Approval”); (ii) the absence of any temporary restraining order, preliminary or permanent injunction or any other order preventing the consummation of the Merger and any law that makes illegal the consummation of the Merger; (iii) the SEC having declared effective this registration statement on Form F-4 (the “Form F-4”) and the registration statement on Form F-6 relating to the registration under the Securities Act of the issuance of the Mereo ADSs (the “Form F-6”) to be filed with the SEC; (iv) Mereo having obtained all required shareholder approvals in connection with the issuance of Mereo ADSs and the allotment and issuance of the Mereo Shares underlying the Mereo ADSs to be issued in the Merger and the grant of the CVRs to the stockholders of OncoMed pursuant to the Merger Agreement; (v) the approval for listing on Nasdaq, subject to official notice of issuance, of the Mereo ADSs to be issued in the Merger and the approval for admission to trading on AIM of the Mereo Shares underlying the Mereo ADSs to be issued in the Merger pursuant to the Merger Agreement, and the satisfaction of any other requirements of London Stock Exchange plc; (vi) subject to certain materiality exceptions, the accuracy of certain representations and warranties of each of OncoMed and Mereo contained in the Merger Agreement and the compliance by each party with the covenants contained in the Merger Agreement; and (vii) the absence of a material adverse effect with respect to each of OncoMed and Mereo. The parties expect the Merger will be completed in the first half of calendar year 2019. See “The Merger Agreement—Conditions to Closing” located elsewhere in this proxy statement/prospectus.</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 June 2, 2016, holders of Mereo Shares granted authority to the board of directors of Mereo (the “Mereo Board”) to issue and allot the Mereo Shares underlying the Mereo ADSs.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happens if the Merger is not completed?</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the Merger Agreement is not adopted by OncoMed stockholders or if the Merger is not completed for any other reason, OncoMed stockholders will not receive the Merger Consideration in exchange for their shares of OncoMed common stock. Instead, OncoMed will remain an independent public company and OncoMed common stock will continue to be listed and traded on Nasdaq. Under specified circumstances, OncoMed may be required to pay Mereo a termination fee and reimburse Mereo’s transaction expenses, or Mereo may be required to pay OncoMed a termination fee and reimburse OncoMed’s transaction expenses, as described in “The Merger Agreement— Termination Fees” located elsewhere in this proxy statement/prospectus.</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If, for any reason, the Merger does not close, the OncoMed Board may elect to, among other things, attempt to complete another strategic transaction similar to the Merger, attempt to sell or otherwise dispose of the various assets of OncoMed or continue to operate the business of OncoMed. If OncoMed decides to dissolve and liquidate its assets, OncoMed would be required to pay all of its debts and contractual obligations, and to set aside certain reserves for potential future claims, and there can be no assurances as to the amount or timing of available cash, if any, left to distribute to OncoMed stockholders after paying the debts and other obligations of OncoMed and setting aside funds for reserves.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do I need to do?</w:t>
      </w:r>
    </w:p>
    <w:p>
      <w:pPr>
        <w:spacing w:after="0" w:line="85"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After you have carefully read and considered the information contained in, or incorporated by reference into, this proxy statement/prospectus, please vote by submitting your proxy card or voting instruction form by following the instructions set forth below under “Questions and Answers about the OncoMed Special Meeting—How do I vote?”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 and Answers about the OncoMed Special Meeting</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and where is the OncoMed Special Meeting?</w:t>
      </w:r>
    </w:p>
    <w:p>
      <w:pPr>
        <w:spacing w:after="0" w:line="99"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OncoMed Special Meeting will be held at 8:00 a.m., local time, on April 17, 2019 at OncoMed’s headquarters located at 800 Chesapeake Drive, Redwood City, California 94063. Check-in will begin at 7:30 a.m., local time. Please allow ample time for the check-in procedures.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I attend the OncoMed Special Meeting?</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OncoMed stockholders as of the close of business on March 19, 2019, the record date, and those who hold a valid proxy for the special meeting are entitled to notice of, to attend and to vote at the OncoMed Special Meeting. OncoMed stockholders should be prepared to present photo identification for admittance. In addition, names of record holders will be verified against the list of record holders at the close of business on the record date prior to being admitted to the meeting. OncoMed stockholders who are not record holders but who hold shares through a broker or other nominee (i.e., in “street name”) should provide proof of beneficial ownership at the close of business on the record date, such as a letter from their broker reflecting their stock ownership as of the record date, which is March 19, 2019. If OncoMed stockholders do not provide photo identification or comply with the other procedures outlined above upon request, they will not be admitted to the OncoMed Special Meeting.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matters will OncoMed stockholders vote on at the special meeting?</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stockholders will vote on the Merger Proposal, the Advisory Vote Proposal and the Adjournment Proposal, if necessary or appropriate, to solicit additional proxies if there are not sufficient votes to approve and adopt the Merger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many votes are needed for the proposals considered by OncoMed stockholders at the OncoMed Special Meeting?</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Approval of the Merger Proposal requires the affirmative vote of the holders of at least a majority of the shares of OncoMed common stock outstanding at the close of business on the record date. Approval of Advisory Vote Proposal and the Adjournment Proposal each requires the affirmative vote of a majority of the votes cast affirmatively or negatively by holders of shares of OncoMed common stock present in person or represented by proxy at the OncoMed Special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quorum requirement for the OncoMed Special Meeting?</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quorum of OncoMed stockholders will be present if at least a majority in voting power of the stock issued and outstanding and entitled to vote as of the record date is present in person, or by remote communication, if applicable, or represented by proxy at the OncoMed Special Meeting. Your shares will be counted towards such quorum only if you submit a valid proxy (or one is submitted on your behalf by your broker or other nominee) or if you vote in person at the OncoMed Special Meeting. Abstentions and broker non-votes will be counted towards the quorum requirement. 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 If you do not vote, it will be more difficult for OncoMed to obtain the necessary quorum to approve the proposals to be considered by OncoMed stockholders at the OncoMed Special Meeting.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how can I vote?</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Stockholders of record as of the record date may vote in person by attending the OncoMed Special Meeting or by mail by completing, signing and dating a proxy card or, if you hold your shares in “street name,” a voting instruction form. Proxies and voting instruction forms submitted by mail must be received no later than April 16, 2019 at 11:59 p.m. Eastern Time to be voted at the OncoMed Special Meeting.</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Most stockholders can also vote over the Internet or by telephone. The availability of Internet and telephone voting for shares held in “street name” will depend on the voting processes of your broker or other nominee. If Internet and telephone voting are available, OncoMed stockholders can find voting instructions in the materials accompanying this proxy statement/prospectus. The Internet and telephone voting facilities will close at 11:59 p.m., Eastern Time, on April 16, 2019. Please be aware that OncoMed stockholders who vote by telephone or over the Internet may incur costs such as telephone and Internet access charges for which they will be responsible.</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method by which OncoMed stockholders vote will in no way limit the right to vote at the meeting if you later decide to attend in person. If shares are held in “street name,” OncoMed stockholders must obtain a proxy, executed in their favor, from their broker or other nominee, to be able to vote at the meeting.</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Failure by an OncoMed stockholder to submit a proxy, or instruct a broker or other nominee to vote, as the case may be, will have the effect of a vote “AGAINST” the Merger Proposal, assuming a quorum is present, but it will have no effect on the Advisory Vote Proposal or the Adjournment Proposal.</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All shares entitled to vote and represented by properly completed proxies received prior to the OncoMed Special Meeting and not revoked will be voted at the meeting in accordance with your instructions. If a signed proxy card is returned without indicating how shares should be voted on a matter and the proxy is not revoked, the shares represented by such proxy will be voted as the OncoMed Board unanimously recommends and therefore “FOR” the Merger Proposal, the Advisory Vote Proposal and the Adjournment Proposal.</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For a more detailed explanation of the voting procedures, please see the section entitled “The OncoMed Special Meeting—Voting Procedures” beginning on page 107 of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what happens if I do not vote?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Your vote is very important. For OncoMed stockholders, a failure to vote will have the same effect as a vote “AGAINST” the approval and adoption of the Merger Agreement, assuming a quorum is present. If you hold your OncoMed common stock through a broker, bank or other nominee holder of record and you do not give voting instructions to that broker, bank or other nominee holder of record, that broker, bank or other nominee holder of record will not be able to vote your shares on the approval and adoption of the Merger Agreement, and your failure to give those instructions will have the same effect as a vote “AGAINST” the approval and adoption of the Merger Agreement, assuming a quorum is present. Therefore, OncoMed urges OncoMed stockholders to vote. The OncoMed Board unanimously recommends that OncoMed stockholders vote “FOR” the approval and adoption of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may I change my vote after I have submitted a proxy card or voting instruction card?</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Yes. OncoMed stockholders may revoke a previously granted proxy or voting instruction at any time prior to the closing of the polls at the special meeting by:</w:t>
      </w:r>
    </w:p>
    <w:p>
      <w:pPr>
        <w:spacing w:after="0" w:line="224" w:lineRule="exact"/>
        <w:rPr>
          <w:sz w:val="20"/>
          <w:szCs w:val="20"/>
          <w:color w:val="auto"/>
        </w:rPr>
      </w:pPr>
    </w:p>
    <w:p>
      <w:pPr>
        <w:ind w:left="960" w:right="240" w:hanging="432"/>
        <w:spacing w:after="0" w:line="229" w:lineRule="auto"/>
        <w:tabs>
          <w:tab w:leader="none" w:pos="960" w:val="left"/>
        </w:tabs>
        <w:numPr>
          <w:ilvl w:val="0"/>
          <w:numId w:val="5"/>
        </w:numPr>
        <w:rPr>
          <w:rFonts w:ascii="MS PGothic" w:cs="MS PGothic" w:eastAsia="MS PGothic" w:hAnsi="MS PGothic"/>
          <w:sz w:val="24"/>
          <w:szCs w:val="24"/>
          <w:color w:val="auto"/>
          <w:vertAlign w:val="superscript"/>
        </w:rPr>
      </w:pPr>
      <w:r>
        <w:rPr>
          <w:rFonts w:ascii="Arial" w:cs="Arial" w:eastAsia="Arial" w:hAnsi="Arial"/>
          <w:sz w:val="17"/>
          <w:szCs w:val="17"/>
          <w:color w:val="auto"/>
        </w:rPr>
        <w:t>filing another duly executed proxy bearing a later date with OncoMed’s Secretary before the vote is counted or by voting again using the telephone or internet before the cutoff time (your latest telephone or internet proxy is the one that will be counted);</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filing an instrument in writing revoking the proxy,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40" w:hanging="432"/>
        <w:spacing w:after="0" w:line="218" w:lineRule="auto"/>
        <w:tabs>
          <w:tab w:leader="none" w:pos="9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attending the OncoMed Special Meeting and voting in person, as described in the section entitled “The OncoMed Special Meeting” beginning on page 105 of this proxy statement/prospectus.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If your shares are held in a brokerage account or another nominee, you may change your vote by submitting new voting instructions to your broker or other nominee, or, if you have obtained a legal proxy from your broker, trustee or nominee that holds your shares, by attending the OncoMed Special Meeting and voting in person.</w:t>
      </w:r>
    </w:p>
    <w:p>
      <w:pPr>
        <w:spacing w:after="0" w:line="20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Only the last submitted proxy or voting instruction card will be considered. Please submit a proxy or voting instruction card for the OncoMed Special Meeting as soon as possible.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Should OncoMed stock certificates be sent in now?</w:t>
      </w:r>
    </w:p>
    <w:p>
      <w:pPr>
        <w:spacing w:after="0" w:line="99"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No. If the Merger is completed, OncoMed stockholders will receive written instructions for sending in any stock certificates they may have.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do OncoMed stockholders need to do now?</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In order for OncoMed shares to be represented at the OncoMed Special Meeting, OncoMed stockholders can (1) vote through the Internet or by telephone by following the instructions included on their proxy card, (2) indicate on the enclosed proxy card how they would like to vote and return the proxy card in the accompanying pre-addressed postage paid envelope, or (3) attend the OncoMed Special Meeting in person.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can answer questions?</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stockholders with questions about the Merger or the other matters to be voted on at the OncoMed Special Meeting or who desire additional copies of this proxy statement/prospectus or additional proxy cards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142875</wp:posOffset>
            </wp:positionV>
            <wp:extent cx="135509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212"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you need additional copies of this proxy statement/prospectus or voting materials, contact MacKenzie Partners, Inc. as described above or OncoMed Investor Relations at the following address and telephone number:</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OncoMed Pharmaceuticals, Inc.</w:t>
      </w:r>
    </w:p>
    <w:p>
      <w:pPr>
        <w:jc w:val="center"/>
        <w:ind w:right="-21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19"/>
        <w:spacing w:after="0" w:line="235" w:lineRule="auto"/>
        <w:rPr>
          <w:sz w:val="20"/>
          <w:szCs w:val="20"/>
          <w:color w:val="auto"/>
        </w:rPr>
      </w:pPr>
      <w:r>
        <w:rPr>
          <w:rFonts w:ascii="Arial" w:cs="Arial" w:eastAsia="Arial" w:hAnsi="Arial"/>
          <w:sz w:val="18"/>
          <w:szCs w:val="18"/>
          <w:color w:val="auto"/>
        </w:rPr>
        <w:t>800 Chesapeake Drive</w:t>
      </w:r>
    </w:p>
    <w:p>
      <w:pPr>
        <w:jc w:val="center"/>
        <w:ind w:right="-21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Telephone number: (650) 995-8200</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324" w:lineRule="exact"/>
        <w:rPr>
          <w:sz w:val="20"/>
          <w:szCs w:val="20"/>
          <w:color w:val="auto"/>
        </w:rPr>
      </w:pPr>
    </w:p>
    <w:p>
      <w:pPr>
        <w:ind w:left="380" w:right="20" w:firstLine="32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statement/prospectus. This summary may not contain all the information that may be important to you, and you are urged to read this entire proxy statement/prospectus carefully, including the attached annexes, and the other documents to which this proxy statement/prospectus refers or which are incorporated by reference herein in order for you to fully understand the proposed Merger. See also the sections entitled “Where You Can Find More Information” and “Incorporation of Certain Documents by Reference.”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Information about the Companies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Mereo BioPharma Group plc</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Mereo acquired from large pharmaceutical companies. Mereo is developing BPS-804 for the treatment of osteogenesis imperfecta (“OI”), MPH-966 for the treatment of severe alpha-1 antitrypsin deficiency (“AATD”), BCT-197 for the treatment of acute exacerbations of chronic obstructive pulmonary disease (“AECOPD”), and BGS-649 for the treatment of hypogonadotropic hypogonadism (“HH”) in obese men. Each of Mereo’s product candidates has generated positive clinical data for such product candidate’s target indication or for a related indication. Mereo believes its portfolio is well diversified because each of its product candidates employs a different mechanism of action and targets a separate indication. Mereo intends to develop and directly commercialize its rare disease product candidates. For its specialty disease product candidates, Mereo intends to seek strategic relationships for further clinical development and commercialization.</w:t>
      </w:r>
    </w:p>
    <w:p>
      <w:pPr>
        <w:spacing w:after="0" w:line="207" w:lineRule="exact"/>
        <w:rPr>
          <w:sz w:val="20"/>
          <w:szCs w:val="20"/>
          <w:color w:val="auto"/>
        </w:rPr>
      </w:pPr>
    </w:p>
    <w:p>
      <w:pPr>
        <w:ind w:left="380" w:right="20" w:firstLine="320"/>
        <w:spacing w:after="0" w:line="238" w:lineRule="auto"/>
        <w:rPr>
          <w:sz w:val="20"/>
          <w:szCs w:val="20"/>
          <w:color w:val="auto"/>
        </w:rPr>
      </w:pPr>
      <w:r>
        <w:rPr>
          <w:rFonts w:ascii="Arial" w:cs="Arial" w:eastAsia="Arial" w:hAnsi="Arial"/>
          <w:sz w:val="18"/>
          <w:szCs w:val="18"/>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product candidates from Novartis Pharma AG (“Novartis”) and AstraZeneca AB (“AstraZeneca”). Mereo has commenced or completed large, randomized, placebo-controlled Phase 2 clinical trials for all of its product candidates.</w:t>
      </w:r>
    </w:p>
    <w:p>
      <w:pPr>
        <w:spacing w:after="0" w:line="200" w:lineRule="exact"/>
        <w:rPr>
          <w:sz w:val="20"/>
          <w:szCs w:val="20"/>
          <w:color w:val="auto"/>
        </w:rPr>
      </w:pPr>
    </w:p>
    <w:p>
      <w:pPr>
        <w:ind w:left="380" w:right="400" w:firstLine="320"/>
        <w:spacing w:after="0" w:line="242" w:lineRule="auto"/>
        <w:rPr>
          <w:sz w:val="20"/>
          <w:szCs w:val="20"/>
          <w:color w:val="auto"/>
        </w:rPr>
      </w:pPr>
      <w:r>
        <w:rPr>
          <w:rFonts w:ascii="Arial" w:cs="Arial" w:eastAsia="Arial" w:hAnsi="Arial"/>
          <w:sz w:val="18"/>
          <w:szCs w:val="18"/>
          <w:color w:val="auto"/>
        </w:rPr>
        <w:t>The principal executive offices of Mereo are located at 4</w:t>
      </w:r>
      <w:r>
        <w:rPr>
          <w:rFonts w:ascii="Arial" w:cs="Arial" w:eastAsia="Arial" w:hAnsi="Arial"/>
          <w:sz w:val="15"/>
          <w:szCs w:val="15"/>
          <w:color w:val="auto"/>
        </w:rPr>
        <w:t>th</w:t>
      </w:r>
      <w:r>
        <w:rPr>
          <w:rFonts w:ascii="Arial" w:cs="Arial" w:eastAsia="Arial" w:hAnsi="Arial"/>
          <w:sz w:val="18"/>
          <w:szCs w:val="18"/>
          <w:color w:val="auto"/>
        </w:rPr>
        <w:t xml:space="preserve"> Floor, 1 Cavendish Place, London, W1G 0QF, United Kingdom; its telephone number is +44 333 023 7300; and its website is www.mereobiopharma.com. Information on Mereo’s website is not incorporated by reference into or otherwise part of this proxy statement/prospectus.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Mereo MergerCo One Inc.</w:t>
      </w:r>
    </w:p>
    <w:p>
      <w:pPr>
        <w:spacing w:after="0" w:line="85" w:lineRule="exact"/>
        <w:rPr>
          <w:sz w:val="20"/>
          <w:szCs w:val="20"/>
          <w:color w:val="auto"/>
        </w:rPr>
      </w:pPr>
    </w:p>
    <w:p>
      <w:pPr>
        <w:ind w:left="380" w:right="60" w:firstLine="320"/>
        <w:spacing w:after="0" w:line="239" w:lineRule="auto"/>
        <w:rPr>
          <w:sz w:val="20"/>
          <w:szCs w:val="20"/>
          <w:color w:val="auto"/>
        </w:rPr>
      </w:pPr>
      <w:r>
        <w:rPr>
          <w:rFonts w:ascii="Arial" w:cs="Arial" w:eastAsia="Arial" w:hAnsi="Arial"/>
          <w:sz w:val="18"/>
          <w:szCs w:val="18"/>
          <w:color w:val="auto"/>
        </w:rPr>
        <w:t>Merger Sub is a wholly-owned indirect subsidiary of Mereo and was formed on December 3, 2018 exclusively for the purpose of effecting the Merger. Merger Sub has not carried on any activities to date, except for activities incidental to its formation and activities undertaken in connection with the Merger. Merger Sub’s separate corporate existence will cease upon the consummation of the Merger and OncoMed will continue as the surviving corporation.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address and telephone number for Merger Sub’s principal executive offices are the same as Mereo’s.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15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4152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OncoMed Pharmaceuticals, Inc.</w:t>
      </w:r>
    </w:p>
    <w:p>
      <w:pPr>
        <w:spacing w:after="0" w:line="85" w:lineRule="exact"/>
        <w:rPr>
          <w:sz w:val="20"/>
          <w:szCs w:val="20"/>
          <w:color w:val="auto"/>
        </w:rPr>
      </w:pPr>
    </w:p>
    <w:p>
      <w:pPr>
        <w:ind w:left="380" w:right="80" w:firstLine="320"/>
        <w:spacing w:after="0" w:line="250" w:lineRule="auto"/>
        <w:rPr>
          <w:sz w:val="20"/>
          <w:szCs w:val="20"/>
          <w:color w:val="auto"/>
        </w:rPr>
      </w:pPr>
      <w:r>
        <w:rPr>
          <w:rFonts w:ascii="Arial" w:cs="Arial" w:eastAsia="Arial" w:hAnsi="Arial"/>
          <w:sz w:val="17"/>
          <w:szCs w:val="17"/>
          <w:color w:val="auto"/>
        </w:rPr>
        <w:t>OncoMed is a clinical-stage biopharmaceutical company focused on discovering and developing novel therapeutics that address the fundamental biology driving cancer’s growth, resistance, recurrence and metastasis. OncoMed has three anti-cancer therapeutic candidates currently in clinical development, navicixizumab (anti-DLL4/VEGF, OMP-305B83), etigilimab (anti-TIGIT, OMP-313M32), and GITRL-Fc (OMP-336B11). Each of these therapeutic candidates was discovered by OncoMed scientists. OncoMed is currently conducting a Phase 1b clinical trial of its first therapeutic candidate, navicixizumab, in combination with standard chemotherapy regimens in patients with platinum-resistant ovarian cancer. OncoMed is also conducting a Phase 1a/b clinical trial of its second therapeutic candidate, etigilimab. Etigilimab is being tested as a single agent in patients with advanced or metastatic solid tumors in the Phase 1a portion of the Phase 1a/b trial and in combination with nivolumab (anti-PD1) in the Phase 1b portion of the trial. OncoMed has a strategic collaboration with Celgene Corporation regarding the etigilimab program. GITRL-Fc, OncoMed’s third therapeutic candidate, is currently in a Phase 1a clinical trial in patients with advanced or metastatic solid tumors, although OncoMed does not plan to advance GITRL-Fc beyond Phase 1a. Data for OncoMed’s two lead therapeutic candidates, navicixizumab and etigilimab, are being gathered to inform the advancement of these therapeutic candidates into later stage clinical trials independently or with potential or existing partners, with the goal of ultimately obtaining regulatory approvals and improving patient outcomes.</w:t>
      </w:r>
    </w:p>
    <w:p>
      <w:pPr>
        <w:spacing w:after="0" w:line="203"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The principal trading market for shares of OncoMed common stock (Nasdaq: OMED) is Nasdaq. The principal executive offices of OncoMed are located at 800 Chesapeake Drive, Redwood City, California 94063; its telephone number is (650) 995-8200; and its website is www.oncomed.com. Information on OncoMed’s website is not incorporated by reference into or otherwise part of this proxy statement/prospectus.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85" w:lineRule="exact"/>
        <w:rPr>
          <w:sz w:val="20"/>
          <w:szCs w:val="20"/>
          <w:color w:val="auto"/>
        </w:rPr>
      </w:pPr>
    </w:p>
    <w:p>
      <w:pPr>
        <w:ind w:left="380" w:right="80" w:firstLine="320"/>
        <w:spacing w:after="0" w:line="236" w:lineRule="auto"/>
        <w:rPr>
          <w:sz w:val="20"/>
          <w:szCs w:val="20"/>
          <w:color w:val="auto"/>
        </w:rPr>
      </w:pPr>
      <w:r>
        <w:rPr>
          <w:rFonts w:ascii="Arial" w:cs="Arial" w:eastAsia="Arial" w:hAnsi="Arial"/>
          <w:sz w:val="18"/>
          <w:szCs w:val="18"/>
          <w:color w:val="auto"/>
        </w:rPr>
        <w:t>On March 15, 2019, OncoMed announced that it had entered into a CVR Agreement, dated as of March 14, 2019, by and between OncoMed and Computershare, Inc. (the “OncoMed CVR Agreement”). Pursuant to the OncoMed CVR Agreement, each holder of OncoMed common stock as of the close of business on April 5, 2019, will be entitled to receive one contingent value right (each, an “OncoMed CVR”) for each share of OncoMed common stock held by such stockholder as of such date. The OncoMed CVRs represent the contractual right to receive cash payments from OncoMed upon the actual receipt by OncoMed or its affiliates of certain contingent cash payments from Celgene in respect of the achievement of specified approval and sales milestones or the payment of royalties pursuant to the Master Research and Collaboration Agreement by and among Celgene and OncoMed, dated December 2, 2013. The specified milestone and royalty payment obligations under the OncoMed CVR Agreement relate to OncoMed’s etigilimab (anti-TIGIT, OMP-313M32) therapeutic candidate. If a specified OncoMed CVR milestone is achieved or if royalties are paid by Celenge to OncoMed or its affiliates in respect of the etigilimab candidate, holders of OncoMed CVRs will be entitled to receive an amount in cash equal to the relevant cash payment actually received by OncoMed from Celgene, net of any tax and reasonable costs and expenses. The contingent payments under the OncoMed CVR Agreement, if they become payable, will become payable to Computershare, Inc. as rights agent, for subsequent distribution to the holders of the OncoMed CVRs. The OncoMed CVR Agreement is not conditional upon the closing of the Merger.</w:t>
      </w:r>
    </w:p>
    <w:p>
      <w:pPr>
        <w:spacing w:after="0" w:line="203" w:lineRule="exact"/>
        <w:rPr>
          <w:sz w:val="20"/>
          <w:szCs w:val="20"/>
          <w:color w:val="auto"/>
        </w:rPr>
      </w:pPr>
    </w:p>
    <w:p>
      <w:pPr>
        <w:jc w:val="both"/>
        <w:ind w:left="380" w:right="420" w:firstLine="320"/>
        <w:spacing w:after="0"/>
        <w:rPr>
          <w:sz w:val="20"/>
          <w:szCs w:val="20"/>
          <w:color w:val="auto"/>
        </w:rPr>
      </w:pPr>
      <w:r>
        <w:rPr>
          <w:rFonts w:ascii="Arial" w:cs="Arial" w:eastAsia="Arial" w:hAnsi="Arial"/>
          <w:sz w:val="18"/>
          <w:szCs w:val="18"/>
          <w:color w:val="auto"/>
        </w:rPr>
        <w:t>The OncoMed CVRs may not be sold, assigned, transferred, pledged or disposed of in any other manner, in whole or in part, other than in the limited circumstances specified in the OncoMed CVR Agreement. In addition, the OncoMed CVRs (i) will not be evidenced by a certificate or other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640"/>
        <w:spacing w:after="0" w:line="246" w:lineRule="auto"/>
        <w:rPr>
          <w:sz w:val="20"/>
          <w:szCs w:val="20"/>
          <w:color w:val="auto"/>
        </w:rPr>
      </w:pPr>
      <w:r>
        <w:rPr>
          <w:rFonts w:ascii="Arial" w:cs="Arial" w:eastAsia="Arial" w:hAnsi="Arial"/>
          <w:sz w:val="18"/>
          <w:szCs w:val="18"/>
          <w:color w:val="auto"/>
        </w:rPr>
        <w:t>instrument, and (ii) will not have any voting or dividend rights. No interest will accrue on any amounts payable in respect of the OncoMed CVRs.</w:t>
      </w:r>
    </w:p>
    <w:p>
      <w:pPr>
        <w:spacing w:after="0" w:line="197" w:lineRule="exact"/>
        <w:rPr>
          <w:sz w:val="20"/>
          <w:szCs w:val="20"/>
          <w:color w:val="auto"/>
        </w:rPr>
      </w:pPr>
    </w:p>
    <w:p>
      <w:pPr>
        <w:ind w:left="380" w:right="100" w:firstLine="320"/>
        <w:spacing w:after="0" w:line="238" w:lineRule="auto"/>
        <w:rPr>
          <w:sz w:val="20"/>
          <w:szCs w:val="20"/>
          <w:color w:val="auto"/>
        </w:rPr>
      </w:pPr>
      <w:r>
        <w:rPr>
          <w:rFonts w:ascii="Arial" w:cs="Arial" w:eastAsia="Arial" w:hAnsi="Arial"/>
          <w:sz w:val="18"/>
          <w:szCs w:val="18"/>
          <w:color w:val="auto"/>
        </w:rPr>
        <w:t>The foregoing description of the OncoMed CVR Agreement does not purport to be complete and is qualified in its entirety by reference to Exhibit 10.1 to OncoMed’s Current Report on Form 8-K filed on March 15, 2019. In connection with the OncoMed CVR Agreement, on March 15, 2019, OncoMed announced that its board of directors had approved a one-time special dividend to holders of OncoMed common stock of the right to receive one OncoMed CVR per share of OncoMed common stock held as of the close of business on the record date, at no charge, and approving the record date for such dividend as April 5, 2019.</w:t>
      </w:r>
    </w:p>
    <w:p>
      <w:pPr>
        <w:spacing w:after="0" w:line="203" w:lineRule="exact"/>
        <w:rPr>
          <w:sz w:val="20"/>
          <w:szCs w:val="20"/>
          <w:color w:val="auto"/>
        </w:rPr>
      </w:pPr>
    </w:p>
    <w:p>
      <w:pPr>
        <w:ind w:left="380" w:right="40" w:firstLine="320"/>
        <w:spacing w:after="0" w:line="255" w:lineRule="auto"/>
        <w:rPr>
          <w:sz w:val="20"/>
          <w:szCs w:val="20"/>
          <w:color w:val="auto"/>
        </w:rPr>
      </w:pPr>
      <w:r>
        <w:rPr>
          <w:rFonts w:ascii="Arial" w:cs="Arial" w:eastAsia="Arial" w:hAnsi="Arial"/>
          <w:sz w:val="17"/>
          <w:szCs w:val="17"/>
          <w:color w:val="auto"/>
        </w:rPr>
        <w:t>Simultaneously with the execution of the OncoMed CVR Agreement, certain stockholders of OncoMed, in their respective capacities as stockholders of OncoMed, entered into support agreements with Mereo pursuant to which such stockholders granted an irrevocable proxy to Mereo, among other things, to vote their respective shares of OncoMed common stock in favor of the adoption of the Merger Agreement. At the close of business on the record date for the OncoMed Special Meeting, such stockholders beneficially owned and were entitled to vote approximately 10.45% of the shares of OncoMed common stock outstanding on that date.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the Merger (page 114)</w:t>
      </w:r>
    </w:p>
    <w:p>
      <w:pPr>
        <w:spacing w:after="0" w:line="85" w:lineRule="exact"/>
        <w:rPr>
          <w:sz w:val="20"/>
          <w:szCs w:val="20"/>
          <w:color w:val="auto"/>
        </w:rPr>
      </w:pPr>
    </w:p>
    <w:p>
      <w:pPr>
        <w:ind w:left="380" w:firstLine="320"/>
        <w:spacing w:after="0" w:line="238" w:lineRule="auto"/>
        <w:rPr>
          <w:sz w:val="20"/>
          <w:szCs w:val="20"/>
          <w:color w:val="auto"/>
        </w:rPr>
      </w:pPr>
      <w:r>
        <w:rPr>
          <w:rFonts w:ascii="Arial" w:cs="Arial" w:eastAsia="Arial" w:hAnsi="Arial"/>
          <w:sz w:val="18"/>
          <w:szCs w:val="18"/>
          <w:color w:val="auto"/>
        </w:rPr>
        <w:t>Subject to the terms and conditions of the Merger Agreement, Merger Sub, a wholly-owned indirect subsidiary of Mereo, will be merged with and into OncoMed, and OncoMed will continue as the surviving corporation in the Merger and a wholly-owned indirect subsidiary of Mereo. At the Effective Time, OncoMed’s restated certificate of incorporation will be amended and restated in the form prescribed in the Merger Agreement, and will be the certificate of incorporation of the surviving corporation from and after the Effective Time.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Merger Consideration (page 151)</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Subject to the terms and conditions of the Merger Agreement, at the Effective Time, OncoMed stockholders will receive, in exchange for each outstanding share of OncoMed common stock owned immediately prior to completion of the Merger (except for any dissenting shares): (1) a number of Mereo ADSs determined by reference to the Exchange Ratio described below,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w:t>
      </w:r>
    </w:p>
    <w:p>
      <w:pPr>
        <w:spacing w:after="0" w:line="20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number of Mereo Shares underlying Mereo ADSs issuable to former OncoMed stockholders in the Merger is also subject to the limitation that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as described further in “The Merger Agreement—Merger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Nasdaq.</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67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0674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80" w:firstLine="320"/>
        <w:spacing w:after="0" w:line="255" w:lineRule="auto"/>
        <w:rPr>
          <w:sz w:val="20"/>
          <w:szCs w:val="20"/>
          <w:color w:val="auto"/>
        </w:rPr>
      </w:pPr>
      <w:r>
        <w:rPr>
          <w:rFonts w:ascii="Arial" w:cs="Arial" w:eastAsia="Arial" w:hAnsi="Arial"/>
          <w:sz w:val="17"/>
          <w:szCs w:val="17"/>
          <w:color w:val="auto"/>
        </w:rPr>
        <w:t>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CVRs (page 175)</w:t>
      </w:r>
    </w:p>
    <w:p>
      <w:pPr>
        <w:spacing w:after="0" w:line="85" w:lineRule="exact"/>
        <w:rPr>
          <w:sz w:val="20"/>
          <w:szCs w:val="20"/>
          <w:color w:val="auto"/>
        </w:rPr>
      </w:pPr>
    </w:p>
    <w:p>
      <w:pPr>
        <w:ind w:left="380" w:right="400" w:firstLine="320"/>
        <w:spacing w:after="0" w:line="246" w:lineRule="auto"/>
        <w:rPr>
          <w:sz w:val="20"/>
          <w:szCs w:val="20"/>
          <w:color w:val="auto"/>
        </w:rPr>
      </w:pPr>
      <w:r>
        <w:rPr>
          <w:rFonts w:ascii="Arial" w:cs="Arial" w:eastAsia="Arial" w:hAnsi="Arial"/>
          <w:sz w:val="18"/>
          <w:szCs w:val="18"/>
          <w:color w:val="auto"/>
        </w:rPr>
        <w:t>The CVRs will be governed by the terms of the CVR Agreement, which will be entered into at or prior to the Effective Time by Mereo and Computershare, Inc., as rights agent.</w:t>
      </w:r>
    </w:p>
    <w:p>
      <w:pPr>
        <w:spacing w:after="0" w:line="197" w:lineRule="exact"/>
        <w:rPr>
          <w:sz w:val="20"/>
          <w:szCs w:val="20"/>
          <w:color w:val="auto"/>
        </w:rPr>
      </w:pPr>
    </w:p>
    <w:p>
      <w:pPr>
        <w:jc w:val="both"/>
        <w:ind w:left="380" w:right="340" w:firstLine="320"/>
        <w:spacing w:after="0"/>
        <w:rPr>
          <w:sz w:val="20"/>
          <w:szCs w:val="20"/>
          <w:color w:val="auto"/>
        </w:rPr>
      </w:pPr>
      <w:r>
        <w:rPr>
          <w:rFonts w:ascii="Arial" w:cs="Arial" w:eastAsia="Arial" w:hAnsi="Arial"/>
          <w:sz w:val="18"/>
          <w:szCs w:val="18"/>
          <w:color w:val="auto"/>
        </w:rPr>
        <w:t>The CVRs represent the non-transferable contractual right to receive certain stock and cash payments from Mereo if specified milestones are achieved within agreed time periods. Each share of OncoMed common stock outstanding immediately prior to the Effective Time shall be converted into the right to receive one CVR, in addition to the Share Consideration.</w:t>
      </w:r>
    </w:p>
    <w:p>
      <w:pPr>
        <w:spacing w:after="0" w:line="203" w:lineRule="exact"/>
        <w:rPr>
          <w:sz w:val="20"/>
          <w:szCs w:val="20"/>
          <w:color w:val="auto"/>
        </w:rPr>
      </w:pPr>
    </w:p>
    <w:p>
      <w:pPr>
        <w:ind w:left="380" w:right="260" w:firstLine="320"/>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TIGIT Milestone</w:t>
      </w:r>
    </w:p>
    <w:p>
      <w:pPr>
        <w:spacing w:after="0" w:line="81" w:lineRule="exact"/>
        <w:rPr>
          <w:sz w:val="20"/>
          <w:szCs w:val="20"/>
          <w:color w:val="auto"/>
        </w:rPr>
      </w:pPr>
    </w:p>
    <w:p>
      <w:pPr>
        <w:ind w:left="380" w:right="380" w:firstLine="320"/>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is achieved:</w:t>
      </w:r>
    </w:p>
    <w:p>
      <w:pPr>
        <w:spacing w:after="0" w:line="224" w:lineRule="exact"/>
        <w:rPr>
          <w:sz w:val="20"/>
          <w:szCs w:val="20"/>
          <w:color w:val="auto"/>
        </w:rPr>
      </w:pPr>
    </w:p>
    <w:p>
      <w:pPr>
        <w:ind w:left="1100" w:right="20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exercises the exclusive option granted by OncoMed to Celgene in relation to OncoMed’s etigilimab product pursuant to the Master Research and Collaboration Agreement by and among Celgene and OncoMed, dated December 2, 2013; and</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 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w:t>
      </w:r>
    </w:p>
    <w:p>
      <w:pPr>
        <w:spacing w:after="0" w:line="203"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 application of the Exchange Ratio set forth in the Merger Agreement. In such event, the CVR Agreement will be amended to delete the TIGIT Milestone and all related payment mechanics.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NAVI Milestones</w:t>
      </w:r>
    </w:p>
    <w:p>
      <w:pPr>
        <w:spacing w:after="0" w:line="95" w:lineRule="exact"/>
        <w:rPr>
          <w:sz w:val="20"/>
          <w:szCs w:val="20"/>
          <w:color w:val="auto"/>
        </w:rPr>
      </w:pPr>
    </w:p>
    <w:p>
      <w:pPr>
        <w:ind w:left="380" w:right="280" w:firstLine="320"/>
        <w:spacing w:after="0" w:line="246" w:lineRule="auto"/>
        <w:rPr>
          <w:sz w:val="20"/>
          <w:szCs w:val="20"/>
          <w:color w:val="auto"/>
        </w:rPr>
      </w:pPr>
      <w:r>
        <w:rPr>
          <w:rFonts w:ascii="Arial" w:cs="Arial" w:eastAsia="Arial" w:hAnsi="Arial"/>
          <w:sz w:val="18"/>
          <w:szCs w:val="18"/>
          <w:color w:val="auto"/>
        </w:rPr>
        <w:t>A cash payment will be made to CVR holders if, within eighteen months following the closing of the Merger, Mereo or any of its subsidiaries enters into a definitive agreement with one or more third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500"/>
        <w:spacing w:after="0" w:line="246" w:lineRule="auto"/>
        <w:rPr>
          <w:sz w:val="20"/>
          <w:szCs w:val="20"/>
          <w:color w:val="auto"/>
        </w:rPr>
      </w:pPr>
      <w:r>
        <w:rPr>
          <w:rFonts w:ascii="Arial" w:cs="Arial" w:eastAsia="Arial" w:hAnsi="Arial"/>
          <w:sz w:val="18"/>
          <w:szCs w:val="18"/>
          <w:color w:val="auto"/>
        </w:rPr>
        <w:t>parties regarding the navicixizumab products and, within five years of the closing of the Merger, Mereo or any of its subsidiaries actually receives certain eligible cash milestone payments.</w:t>
      </w:r>
    </w:p>
    <w:p>
      <w:pPr>
        <w:spacing w:after="0" w:line="197"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2"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The CVRs may not be sold, assigned, transferred, pledged or disposed of in any other manner, in whole or in part, other than in the limited circumstances specified in the CVR Agreement. In addition, the CVRs (i) will not be evidenced by a certificate or other instrument, (ii) will not have any voting or dividend rights and (iii) will not represent any equity or ownership interest in Mereo or any of its subsidiaries or in the surviving corporation. No interest will accrue on any amounts payable in respect of the CVRs.</w:t>
      </w:r>
    </w:p>
    <w:p>
      <w:pPr>
        <w:spacing w:after="0" w:line="202" w:lineRule="exact"/>
        <w:rPr>
          <w:sz w:val="20"/>
          <w:szCs w:val="20"/>
          <w:color w:val="auto"/>
        </w:rPr>
      </w:pPr>
    </w:p>
    <w:p>
      <w:pPr>
        <w:ind w:left="380" w:right="580" w:firstLine="320"/>
        <w:spacing w:after="0" w:line="246" w:lineRule="auto"/>
        <w:rPr>
          <w:sz w:val="20"/>
          <w:szCs w:val="20"/>
          <w:color w:val="auto"/>
        </w:rPr>
      </w:pPr>
      <w:r>
        <w:rPr>
          <w:rFonts w:ascii="Arial" w:cs="Arial" w:eastAsia="Arial" w:hAnsi="Arial"/>
          <w:sz w:val="18"/>
          <w:szCs w:val="18"/>
          <w:color w:val="auto"/>
        </w:rPr>
        <w:t>Mereo’s obligation to make the CVR payment, if any becomes due, is an unsecured general obligation of Mereo and is not guaranteed by Mereo or any of its affiliates.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Treatment of OncoMed Options and OncoMed Units (page 154)</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380" w:right="140" w:firstLine="320"/>
        <w:spacing w:after="0" w:line="237" w:lineRule="auto"/>
        <w:rPr>
          <w:sz w:val="20"/>
          <w:szCs w:val="20"/>
          <w:color w:val="auto"/>
        </w:rPr>
      </w:pPr>
      <w:r>
        <w:rPr>
          <w:rFonts w:ascii="Arial" w:cs="Arial" w:eastAsia="Arial" w:hAnsi="Arial"/>
          <w:sz w:val="18"/>
          <w:szCs w:val="18"/>
          <w:color w:val="auto"/>
        </w:rPr>
        <w:t>At or immediately prior to the Effective Time, each outstanding and unexercised OncoMed Option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 Units</w:t>
      </w:r>
    </w:p>
    <w:p>
      <w:pPr>
        <w:spacing w:after="0" w:line="81"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Immediately prior to the Effective Time and contingent on the occurrence of the Closing, each OncoMed Unit will be canceled and the holders thereof will be entitled to receive, immediately prior to the Effective Time, the number of shares of OncoMed common stock that were subject to such OncoMed Units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 and such stockholders will thereafter be entitled to receive the Merger Consideration in respect of these shares of OncoMed common stock. No OncoMed Units will remain outstanding following the consummation of the Merger.</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Comparative per Share Market Price and Dividend Information (page 37)</w:t>
      </w:r>
    </w:p>
    <w:p>
      <w:pPr>
        <w:spacing w:after="0" w:line="99" w:lineRule="exact"/>
        <w:rPr>
          <w:sz w:val="20"/>
          <w:szCs w:val="20"/>
          <w:color w:val="auto"/>
        </w:rPr>
      </w:pPr>
    </w:p>
    <w:p>
      <w:pPr>
        <w:ind w:left="380" w:right="40" w:firstLine="320"/>
        <w:spacing w:after="0" w:line="239" w:lineRule="auto"/>
        <w:rPr>
          <w:sz w:val="20"/>
          <w:szCs w:val="20"/>
          <w:color w:val="auto"/>
        </w:rPr>
      </w:pPr>
      <w:r>
        <w:rPr>
          <w:rFonts w:ascii="Arial" w:cs="Arial" w:eastAsia="Arial" w:hAnsi="Arial"/>
          <w:sz w:val="18"/>
          <w:szCs w:val="18"/>
          <w:color w:val="auto"/>
        </w:rPr>
        <w:t>Mereo Shares are quoted in pence on AIM under the symbol “MPH.” Shares of OncoMed’s common stock are listed for trading in U.S. dollars on Nasdaq under the symbol “OMED.” The following table sets forth the closing sales prices of a Mereo Share (as reported on AIM in pence) and of OncoMed common stock (as reported on Nasdaq in U.S. dollars), each on December 4, 2018, the last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67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7670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53" w:lineRule="auto"/>
        <w:rPr>
          <w:sz w:val="20"/>
          <w:szCs w:val="20"/>
          <w:color w:val="auto"/>
        </w:rPr>
      </w:pPr>
      <w:r>
        <w:rPr>
          <w:rFonts w:ascii="Arial" w:cs="Arial" w:eastAsia="Arial" w:hAnsi="Arial"/>
          <w:sz w:val="17"/>
          <w:szCs w:val="17"/>
          <w:color w:val="auto"/>
        </w:rPr>
        <w:t>trading day before the day on which Mereo and OncoMed announced the execution of the Merger Agreement, and on March 15, 2019, the last practicable trading day before the date of this proxy statement/prospectus. This table also shows the equivalent value of the Share Consideration to be received by OncoMed stockholders in the Merger per share of OncoMed common stock, which was calculated by multiplying the closing price of a Mereo Share on AIM as of the dates specified (converted into U.S. dollars at the Federal Reserve Bank of New York’s reported U.S. dollar to pound sterling exchange rate on such dates) by the Implied OncoMed Ownership, assuming no adjustment to the Exchange Ratio for the net cash held by OncoMed at the time of the closing of the Merger.</w:t>
      </w:r>
    </w:p>
    <w:p>
      <w:pPr>
        <w:spacing w:after="0" w:line="21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00" w:type="dxa"/>
            <w:vAlign w:val="bottom"/>
            <w:gridSpan w:val="2"/>
          </w:tcPr>
          <w:p>
            <w:pPr>
              <w:jc w:val="center"/>
              <w:ind w:left="743"/>
              <w:spacing w:after="0"/>
              <w:rPr>
                <w:sz w:val="20"/>
                <w:szCs w:val="20"/>
                <w:color w:val="auto"/>
              </w:rPr>
            </w:pPr>
            <w:r>
              <w:rPr>
                <w:rFonts w:ascii="Arial" w:cs="Arial" w:eastAsia="Arial" w:hAnsi="Arial"/>
                <w:sz w:val="14"/>
                <w:szCs w:val="14"/>
                <w:b w:val="1"/>
                <w:bCs w:val="1"/>
                <w:color w:val="auto"/>
              </w:rPr>
              <w:t>Equivalent Value of the</w:t>
            </w:r>
          </w:p>
        </w:tc>
      </w:tr>
      <w:tr>
        <w:trPr>
          <w:trHeight w:val="162"/>
        </w:trPr>
        <w:tc>
          <w:tcPr>
            <w:tcW w:w="4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OncoMed</w:t>
            </w:r>
          </w:p>
        </w:tc>
        <w:tc>
          <w:tcPr>
            <w:tcW w:w="2500" w:type="dxa"/>
            <w:vAlign w:val="bottom"/>
            <w:gridSpan w:val="2"/>
          </w:tcPr>
          <w:p>
            <w:pPr>
              <w:jc w:val="center"/>
              <w:ind w:left="743"/>
              <w:spacing w:after="0"/>
              <w:rPr>
                <w:sz w:val="20"/>
                <w:szCs w:val="20"/>
                <w:color w:val="auto"/>
              </w:rPr>
            </w:pPr>
            <w:r>
              <w:rPr>
                <w:rFonts w:ascii="Arial" w:cs="Arial" w:eastAsia="Arial" w:hAnsi="Arial"/>
                <w:sz w:val="14"/>
                <w:szCs w:val="14"/>
                <w:b w:val="1"/>
                <w:bCs w:val="1"/>
                <w:color w:val="auto"/>
              </w:rPr>
              <w:t>Share Consideration</w:t>
            </w:r>
          </w:p>
        </w:tc>
      </w:tr>
      <w:tr>
        <w:trPr>
          <w:trHeight w:val="162"/>
        </w:trPr>
        <w:tc>
          <w:tcPr>
            <w:tcW w:w="4160" w:type="dxa"/>
            <w:vAlign w:val="bottom"/>
          </w:tcPr>
          <w:p>
            <w:pPr>
              <w:spacing w:after="0"/>
              <w:rPr>
                <w:sz w:val="14"/>
                <w:szCs w:val="14"/>
                <w:color w:val="auto"/>
              </w:rPr>
            </w:pPr>
          </w:p>
        </w:tc>
        <w:tc>
          <w:tcPr>
            <w:tcW w:w="21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Mereo Share</w:t>
            </w:r>
          </w:p>
        </w:tc>
        <w:tc>
          <w:tcPr>
            <w:tcW w:w="1240" w:type="dxa"/>
            <w:vAlign w:val="bottom"/>
          </w:tcPr>
          <w:p>
            <w:pPr>
              <w:jc w:val="right"/>
              <w:ind w:right="101"/>
              <w:spacing w:after="0"/>
              <w:rPr>
                <w:sz w:val="20"/>
                <w:szCs w:val="20"/>
                <w:color w:val="auto"/>
              </w:rPr>
            </w:pPr>
            <w:r>
              <w:rPr>
                <w:rFonts w:ascii="Arial" w:cs="Arial" w:eastAsia="Arial" w:hAnsi="Arial"/>
                <w:sz w:val="14"/>
                <w:szCs w:val="14"/>
                <w:b w:val="1"/>
                <w:bCs w:val="1"/>
                <w:color w:val="auto"/>
              </w:rPr>
              <w:t>Common Stock</w:t>
            </w:r>
          </w:p>
        </w:tc>
        <w:tc>
          <w:tcPr>
            <w:tcW w:w="2500" w:type="dxa"/>
            <w:vAlign w:val="bottom"/>
            <w:gridSpan w:val="2"/>
          </w:tcPr>
          <w:p>
            <w:pPr>
              <w:jc w:val="center"/>
              <w:ind w:left="743"/>
              <w:spacing w:after="0"/>
              <w:rPr>
                <w:sz w:val="20"/>
                <w:szCs w:val="20"/>
                <w:color w:val="auto"/>
              </w:rPr>
            </w:pPr>
            <w:r>
              <w:rPr>
                <w:rFonts w:ascii="Arial" w:cs="Arial" w:eastAsia="Arial" w:hAnsi="Arial"/>
                <w:sz w:val="14"/>
                <w:szCs w:val="14"/>
                <w:b w:val="1"/>
                <w:bCs w:val="1"/>
                <w:color w:val="auto"/>
              </w:rPr>
              <w:t>per Share of OncoMed</w:t>
            </w:r>
          </w:p>
        </w:tc>
      </w:tr>
      <w:tr>
        <w:trPr>
          <w:trHeight w:val="175"/>
        </w:trPr>
        <w:tc>
          <w:tcPr>
            <w:tcW w:w="4160" w:type="dxa"/>
            <w:vAlign w:val="bottom"/>
          </w:tcPr>
          <w:p>
            <w:pPr>
              <w:spacing w:after="0"/>
              <w:rPr>
                <w:sz w:val="15"/>
                <w:szCs w:val="15"/>
                <w:color w:val="auto"/>
              </w:rPr>
            </w:pPr>
          </w:p>
        </w:tc>
        <w:tc>
          <w:tcPr>
            <w:tcW w:w="21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Price per Share</w:t>
            </w:r>
          </w:p>
        </w:tc>
        <w:tc>
          <w:tcPr>
            <w:tcW w:w="1240" w:type="dxa"/>
            <w:vAlign w:val="bottom"/>
          </w:tcPr>
          <w:p>
            <w:pPr>
              <w:jc w:val="right"/>
              <w:ind w:right="101"/>
              <w:spacing w:after="0"/>
              <w:rPr>
                <w:sz w:val="20"/>
                <w:szCs w:val="20"/>
                <w:color w:val="auto"/>
              </w:rPr>
            </w:pPr>
            <w:r>
              <w:rPr>
                <w:rFonts w:ascii="Arial" w:cs="Arial" w:eastAsia="Arial" w:hAnsi="Arial"/>
                <w:sz w:val="14"/>
                <w:szCs w:val="14"/>
                <w:b w:val="1"/>
                <w:bCs w:val="1"/>
                <w:color w:val="auto"/>
              </w:rPr>
              <w:t>Price per Share</w:t>
            </w:r>
          </w:p>
        </w:tc>
        <w:tc>
          <w:tcPr>
            <w:tcW w:w="2500" w:type="dxa"/>
            <w:vAlign w:val="bottom"/>
            <w:gridSpan w:val="2"/>
          </w:tcPr>
          <w:p>
            <w:pPr>
              <w:jc w:val="center"/>
              <w:ind w:left="743"/>
              <w:spacing w:after="0"/>
              <w:rPr>
                <w:sz w:val="20"/>
                <w:szCs w:val="20"/>
                <w:color w:val="auto"/>
              </w:rPr>
            </w:pPr>
            <w:r>
              <w:rPr>
                <w:rFonts w:ascii="Arial" w:cs="Arial" w:eastAsia="Arial" w:hAnsi="Arial"/>
                <w:sz w:val="14"/>
                <w:szCs w:val="14"/>
                <w:b w:val="1"/>
                <w:bCs w:val="1"/>
                <w:color w:val="auto"/>
              </w:rPr>
              <w:t>Common stock</w:t>
            </w:r>
          </w:p>
        </w:tc>
      </w:tr>
      <w:tr>
        <w:trPr>
          <w:trHeight w:val="156"/>
        </w:trPr>
        <w:tc>
          <w:tcPr>
            <w:tcW w:w="4160" w:type="dxa"/>
            <w:vAlign w:val="bottom"/>
          </w:tcPr>
          <w:p>
            <w:pPr>
              <w:spacing w:after="0"/>
              <w:rPr>
                <w:sz w:val="13"/>
                <w:szCs w:val="13"/>
                <w:color w:val="auto"/>
              </w:rPr>
            </w:pPr>
          </w:p>
        </w:tc>
        <w:tc>
          <w:tcPr>
            <w:tcW w:w="108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(pence)</w:t>
            </w:r>
          </w:p>
        </w:tc>
        <w:tc>
          <w:tcPr>
            <w:tcW w:w="10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4, 2018</w:t>
            </w:r>
          </w:p>
        </w:tc>
        <w:tc>
          <w:tcPr>
            <w:tcW w:w="212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190</w:t>
            </w:r>
          </w:p>
        </w:tc>
        <w:tc>
          <w:tcPr>
            <w:tcW w:w="1240" w:type="dxa"/>
            <w:vAlign w:val="bottom"/>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1.11</w:t>
            </w:r>
          </w:p>
        </w:tc>
        <w:tc>
          <w:tcPr>
            <w:tcW w:w="2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1.49</w:t>
            </w:r>
          </w:p>
        </w:tc>
      </w:tr>
      <w:tr>
        <w:trPr>
          <w:trHeight w:val="217"/>
        </w:trPr>
        <w:tc>
          <w:tcPr>
            <w:tcW w:w="4160" w:type="dxa"/>
            <w:vAlign w:val="bottom"/>
          </w:tcPr>
          <w:p>
            <w:pPr>
              <w:spacing w:after="0"/>
              <w:rPr>
                <w:sz w:val="20"/>
                <w:szCs w:val="20"/>
                <w:color w:val="auto"/>
              </w:rPr>
            </w:pPr>
            <w:r>
              <w:rPr>
                <w:rFonts w:ascii="Arial" w:cs="Arial" w:eastAsia="Arial" w:hAnsi="Arial"/>
                <w:sz w:val="18"/>
                <w:szCs w:val="18"/>
                <w:color w:val="auto"/>
              </w:rPr>
              <w:t>March 15, 2019</w:t>
            </w:r>
          </w:p>
        </w:tc>
        <w:tc>
          <w:tcPr>
            <w:tcW w:w="2120" w:type="dxa"/>
            <w:vAlign w:val="bottom"/>
            <w:gridSpan w:val="2"/>
          </w:tcPr>
          <w:p>
            <w:pPr>
              <w:jc w:val="right"/>
              <w:ind w:right="1040"/>
              <w:spacing w:after="0"/>
              <w:rPr>
                <w:sz w:val="20"/>
                <w:szCs w:val="20"/>
                <w:color w:val="auto"/>
              </w:rPr>
            </w:pPr>
            <w:r>
              <w:rPr>
                <w:rFonts w:ascii="Arial" w:cs="Arial" w:eastAsia="Arial" w:hAnsi="Arial"/>
                <w:sz w:val="18"/>
                <w:szCs w:val="18"/>
                <w:color w:val="auto"/>
              </w:rPr>
              <w:t>168</w:t>
            </w:r>
          </w:p>
        </w:tc>
        <w:tc>
          <w:tcPr>
            <w:tcW w:w="1240" w:type="dxa"/>
            <w:vAlign w:val="bottom"/>
          </w:tcPr>
          <w:p>
            <w:pPr>
              <w:jc w:val="right"/>
              <w:ind w:right="81"/>
              <w:spacing w:after="0"/>
              <w:rPr>
                <w:sz w:val="20"/>
                <w:szCs w:val="20"/>
                <w:color w:val="auto"/>
              </w:rPr>
            </w:pPr>
            <w:r>
              <w:rPr>
                <w:rFonts w:ascii="Arial" w:cs="Arial" w:eastAsia="Arial" w:hAnsi="Arial"/>
                <w:sz w:val="18"/>
                <w:szCs w:val="18"/>
                <w:color w:val="auto"/>
              </w:rPr>
              <w:t>0.99</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bl>
    <w:p>
      <w:pPr>
        <w:spacing w:after="0" w:line="201" w:lineRule="exact"/>
        <w:rPr>
          <w:sz w:val="20"/>
          <w:szCs w:val="20"/>
          <w:color w:val="auto"/>
        </w:rPr>
      </w:pPr>
    </w:p>
    <w:p>
      <w:pPr>
        <w:jc w:val="both"/>
        <w:ind w:left="380" w:right="520" w:firstLine="320"/>
        <w:spacing w:after="0"/>
        <w:rPr>
          <w:sz w:val="20"/>
          <w:szCs w:val="20"/>
          <w:color w:val="auto"/>
        </w:rPr>
      </w:pPr>
      <w:r>
        <w:rPr>
          <w:rFonts w:ascii="Arial" w:cs="Arial" w:eastAsia="Arial" w:hAnsi="Arial"/>
          <w:sz w:val="18"/>
          <w:szCs w:val="18"/>
          <w:color w:val="auto"/>
        </w:rPr>
        <w:t>The market prices of Mereo Shares and shares of OncoMed common stock, and the currency exchange rates, will fluctuate before the OncoMed Special Meeting and before the Merger is consummated. You should obtain current stock or currency rate quotations from a newspaper, the Internet or your broker or banker.</w:t>
      </w:r>
    </w:p>
    <w:p>
      <w:pPr>
        <w:spacing w:after="0" w:line="203" w:lineRule="exact"/>
        <w:rPr>
          <w:sz w:val="20"/>
          <w:szCs w:val="20"/>
          <w:color w:val="auto"/>
        </w:rPr>
      </w:pPr>
    </w:p>
    <w:p>
      <w:pPr>
        <w:ind w:left="380" w:right="20" w:firstLine="320"/>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88" w:lineRule="exact"/>
        <w:rPr>
          <w:sz w:val="20"/>
          <w:szCs w:val="20"/>
          <w:color w:val="auto"/>
        </w:rPr>
      </w:pPr>
    </w:p>
    <w:p>
      <w:pPr>
        <w:ind w:left="380" w:right="140" w:firstLine="320"/>
        <w:spacing w:after="0" w:line="241" w:lineRule="auto"/>
        <w:rPr>
          <w:sz w:val="20"/>
          <w:szCs w:val="20"/>
          <w:color w:val="auto"/>
        </w:rPr>
      </w:pPr>
      <w:r>
        <w:rPr>
          <w:rFonts w:ascii="Arial" w:cs="Arial" w:eastAsia="Arial" w:hAnsi="Arial"/>
          <w:sz w:val="18"/>
          <w:szCs w:val="18"/>
          <w:i w:val="1"/>
          <w:iCs w:val="1"/>
          <w:color w:val="auto"/>
        </w:rPr>
        <w:t>Mereo’s Dividend Policy</w:t>
      </w:r>
      <w:r>
        <w:rPr>
          <w:rFonts w:ascii="Arial" w:cs="Arial" w:eastAsia="Arial" w:hAnsi="Arial"/>
          <w:sz w:val="18"/>
          <w:szCs w:val="18"/>
          <w:color w:val="auto"/>
        </w:rPr>
        <w:t>. Mereo has never paid or declared any cash dividends on its ordinary shares,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w:t>
      </w:r>
      <w:r>
        <w:rPr>
          <w:rFonts w:ascii="Arial" w:cs="Arial" w:eastAsia="Arial" w:hAnsi="Arial"/>
          <w:sz w:val="18"/>
          <w:szCs w:val="18"/>
          <w:i w:val="1"/>
          <w:iCs w:val="1"/>
          <w:color w:val="auto"/>
        </w:rPr>
        <w:t>less</w:t>
      </w:r>
      <w:r>
        <w:rPr>
          <w:rFonts w:ascii="Arial" w:cs="Arial" w:eastAsia="Arial" w:hAnsi="Arial"/>
          <w:sz w:val="18"/>
          <w:szCs w:val="18"/>
          <w:color w:val="auto"/>
        </w:rPr>
        <w:t xml:space="preserve"> its accumulated realized losses, so far as such losses have not been previously written off in a reduction or reorganization of capital.</w:t>
      </w:r>
    </w:p>
    <w:p>
      <w:pPr>
        <w:spacing w:after="0" w:line="202" w:lineRule="exact"/>
        <w:rPr>
          <w:sz w:val="20"/>
          <w:szCs w:val="20"/>
          <w:color w:val="auto"/>
        </w:rPr>
      </w:pPr>
    </w:p>
    <w:p>
      <w:pPr>
        <w:ind w:left="380" w:right="340" w:firstLine="320"/>
        <w:spacing w:after="0" w:line="246" w:lineRule="auto"/>
        <w:rPr>
          <w:sz w:val="20"/>
          <w:szCs w:val="20"/>
          <w:color w:val="auto"/>
        </w:rPr>
      </w:pPr>
      <w:r>
        <w:rPr>
          <w:rFonts w:ascii="Arial" w:cs="Arial" w:eastAsia="Arial" w:hAnsi="Arial"/>
          <w:sz w:val="18"/>
          <w:szCs w:val="18"/>
          <w:color w:val="auto"/>
        </w:rPr>
        <w:t>In addition, the terms of Mereo’s existing loan agreement with Silicon Valley Bank and Kreos Capital V (UK) Limited (“Kreos”), preclude Mereo from paying cash dividends without Kreos’s consent.</w:t>
      </w:r>
    </w:p>
    <w:p>
      <w:pPr>
        <w:spacing w:after="0" w:line="179" w:lineRule="exact"/>
        <w:rPr>
          <w:sz w:val="20"/>
          <w:szCs w:val="20"/>
          <w:color w:val="auto"/>
        </w:rPr>
      </w:pPr>
    </w:p>
    <w:p>
      <w:pPr>
        <w:ind w:left="380" w:right="440" w:firstLine="320"/>
        <w:spacing w:after="0" w:line="267" w:lineRule="auto"/>
        <w:rPr>
          <w:sz w:val="20"/>
          <w:szCs w:val="20"/>
          <w:color w:val="auto"/>
        </w:rPr>
      </w:pPr>
      <w:r>
        <w:rPr>
          <w:rFonts w:ascii="Arial" w:cs="Arial" w:eastAsia="Arial" w:hAnsi="Arial"/>
          <w:sz w:val="18"/>
          <w:szCs w:val="18"/>
          <w:i w:val="1"/>
          <w:iCs w:val="1"/>
          <w:color w:val="auto"/>
        </w:rPr>
        <w:t>OncoMed’s Dividend Policy</w:t>
      </w:r>
      <w:r>
        <w:rPr>
          <w:rFonts w:ascii="Arial" w:cs="Arial" w:eastAsia="Arial" w:hAnsi="Arial"/>
          <w:sz w:val="18"/>
          <w:szCs w:val="18"/>
          <w:color w:val="auto"/>
        </w:rPr>
        <w:t>. OncoMed has never declared or paid cash dividends on its capital stock. OncoMed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 all available funds and any future earnings to fund the development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9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1099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expansion of its business and does not anticipate paying any cash dividends in the foreseeable future.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 (page 41)</w:t>
      </w:r>
    </w:p>
    <w:p>
      <w:pPr>
        <w:spacing w:after="0" w:line="85" w:lineRule="exact"/>
        <w:rPr>
          <w:sz w:val="20"/>
          <w:szCs w:val="20"/>
          <w:color w:val="auto"/>
        </w:rPr>
      </w:pPr>
    </w:p>
    <w:p>
      <w:pPr>
        <w:jc w:val="both"/>
        <w:ind w:left="380" w:right="520" w:firstLine="320"/>
        <w:spacing w:after="0"/>
        <w:rPr>
          <w:sz w:val="20"/>
          <w:szCs w:val="20"/>
          <w:color w:val="auto"/>
        </w:rPr>
      </w:pPr>
      <w:r>
        <w:rPr>
          <w:rFonts w:ascii="Arial" w:cs="Arial" w:eastAsia="Arial" w:hAnsi="Arial"/>
          <w:sz w:val="18"/>
          <w:szCs w:val="18"/>
          <w:color w:val="auto"/>
        </w:rPr>
        <w:t>You should carefully read this proxy statement/prospectus and especially consider the factors discussed in “Risk Factors” in connection with your consideration of the Merger before deciding whether to vote for approval of the Merger Agreement and the Merger.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OncoMed Special Meeting (page 105)</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Date, Time and Place of the OncoMed Special Meeting</w:t>
      </w:r>
    </w:p>
    <w:p>
      <w:pPr>
        <w:spacing w:after="0" w:line="81" w:lineRule="exact"/>
        <w:rPr>
          <w:sz w:val="20"/>
          <w:szCs w:val="20"/>
          <w:color w:val="auto"/>
        </w:rPr>
      </w:pPr>
    </w:p>
    <w:p>
      <w:pPr>
        <w:ind w:left="380" w:right="140" w:firstLine="320"/>
        <w:spacing w:after="0" w:line="246" w:lineRule="auto"/>
        <w:rPr>
          <w:sz w:val="20"/>
          <w:szCs w:val="20"/>
          <w:color w:val="auto"/>
        </w:rPr>
      </w:pPr>
      <w:r>
        <w:rPr>
          <w:rFonts w:ascii="Arial" w:cs="Arial" w:eastAsia="Arial" w:hAnsi="Arial"/>
          <w:sz w:val="18"/>
          <w:szCs w:val="18"/>
          <w:color w:val="auto"/>
        </w:rPr>
        <w:t>The OncoMed Special Meeting is scheduled to be held at OncoMed’s headquarters located at 800 Chesapeake Drive, Redwood City, California 94063, on April 17, 2019, at 8:00 a.m., local time.</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Purpose</w:t>
      </w:r>
    </w:p>
    <w:p>
      <w:pPr>
        <w:spacing w:after="0" w:line="95" w:lineRule="exact"/>
        <w:rPr>
          <w:sz w:val="20"/>
          <w:szCs w:val="20"/>
          <w:color w:val="auto"/>
        </w:rPr>
      </w:pPr>
    </w:p>
    <w:p>
      <w:pPr>
        <w:ind w:left="380" w:right="600" w:firstLine="320"/>
        <w:spacing w:after="0" w:line="246" w:lineRule="auto"/>
        <w:rPr>
          <w:sz w:val="20"/>
          <w:szCs w:val="20"/>
          <w:color w:val="auto"/>
        </w:rPr>
      </w:pPr>
      <w:r>
        <w:rPr>
          <w:rFonts w:ascii="Arial" w:cs="Arial" w:eastAsia="Arial" w:hAnsi="Arial"/>
          <w:sz w:val="18"/>
          <w:szCs w:val="18"/>
          <w:color w:val="auto"/>
        </w:rPr>
        <w:t>At the OncoMed Special Meeting, OncoMed stockholders will be asked to approve the Merger Proposal, the Advisory Vote Proposal and the Adjournment Proposal.</w:t>
      </w:r>
    </w:p>
    <w:p>
      <w:pPr>
        <w:spacing w:after="0" w:line="175" w:lineRule="exact"/>
        <w:rPr>
          <w:sz w:val="20"/>
          <w:szCs w:val="20"/>
          <w:color w:val="auto"/>
        </w:rPr>
      </w:pPr>
    </w:p>
    <w:p>
      <w:pPr>
        <w:ind w:left="380" w:right="220" w:firstLine="320"/>
        <w:spacing w:after="0" w:line="271" w:lineRule="auto"/>
        <w:rPr>
          <w:sz w:val="20"/>
          <w:szCs w:val="20"/>
          <w:color w:val="auto"/>
        </w:rPr>
      </w:pPr>
      <w:r>
        <w:rPr>
          <w:rFonts w:ascii="Arial" w:cs="Arial" w:eastAsia="Arial" w:hAnsi="Arial"/>
          <w:sz w:val="18"/>
          <w:szCs w:val="18"/>
          <w:b w:val="1"/>
          <w:bCs w:val="1"/>
          <w:color w:val="auto"/>
        </w:rPr>
        <w:t>The OncoMed Board unanimously recommends a vote “FOR” the Merger Proposal, “FOR” the Advisory Vote Proposal and “FOR” the Adjournment Proposal.</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Who Can Vote at the OncoMed Special Meeting</w:t>
      </w:r>
    </w:p>
    <w:p>
      <w:pPr>
        <w:spacing w:after="0" w:line="81"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Only OncoMed stockholders of record at the close of business on March 19, 2019, the record date for the OncoMed Special Meeting, and other persons holding valid proxies for the special meeting will be entitled to attend the OncoMed Special Meeting. As of the record date, there were 38,690,089 shares of OncoMed common stock, par value $0.001 per share, issued and outstanding. Each share of common stock is entitled to one vote on each matter properly brought before the OncoMed Special Meeting.</w:t>
      </w:r>
    </w:p>
    <w:p>
      <w:pPr>
        <w:spacing w:after="0" w:line="202"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As of the close of business on the record date, approximately 14.63% of the issued and outstanding shares of OncoMed common stock were held by OncoMed’s directors and executive officers and their affiliates, including Delphi Ventures and The Vertical Group. In accordance with the support agreements, such OncoMed directors and executive officers granted an irrevocable proxy to Mereo to vote such individual’s shares in favor of the adoption of the Merger Agreement, and against any alternative proposal and against any action or agreement that would frustrate the purposes, or prevent, delay or otherwise adversely affect the consummation, of the transactions contemplated by the Merger Agreement.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Voting Procedures</w:t>
      </w:r>
    </w:p>
    <w:p>
      <w:pPr>
        <w:spacing w:after="0" w:line="81" w:lineRule="exact"/>
        <w:rPr>
          <w:sz w:val="20"/>
          <w:szCs w:val="20"/>
          <w:color w:val="auto"/>
        </w:rPr>
      </w:pPr>
    </w:p>
    <w:p>
      <w:pPr>
        <w:ind w:left="380" w:right="60" w:firstLine="320"/>
        <w:spacing w:after="0" w:line="236" w:lineRule="auto"/>
        <w:rPr>
          <w:sz w:val="20"/>
          <w:szCs w:val="20"/>
          <w:color w:val="auto"/>
        </w:rPr>
      </w:pPr>
      <w:r>
        <w:rPr>
          <w:rFonts w:ascii="Arial" w:cs="Arial" w:eastAsia="Arial" w:hAnsi="Arial"/>
          <w:sz w:val="18"/>
          <w:szCs w:val="18"/>
          <w:color w:val="auto"/>
        </w:rPr>
        <w:t>Record holders of shares of OncoMed common stock may submit proxies by completing, signing and dating their proxy cards for the OncoMed Special Meeting and mailing them in the accompanying pre-addressed envelopes. OncoMed stockholders who hold shares in “street name” may vote by mail by completing, signing and dating the voting instruction cards for the OncoMed Special Meeting provided by their brokers or other nominees and mailing them in the accompanying pre-addressed envelopes. Proxies and voting instruction forms submitted by mail must be received no later than April 16, 2019 at 11:59 p.m. Eastern Time to be voted at the OncoMed Special Meeting. OncoMed stockholders may also submit proxies over the Internet at the web address shown on the proxy card or by calling the telephone number shown on the proxy card. The Internet and telephone voting facilities will close at 11:59 p.m., Eastern Time, on April 16, 2019. The availability of Internet and telephone voting for shares held in “street name” will depend on the voting processes of your broker or other nominee.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75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4756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Share Ownership and Voting by OncoMed Directors and Executive Officers (page 107)</w:t>
      </w:r>
    </w:p>
    <w:p>
      <w:pPr>
        <w:spacing w:after="0" w:line="85" w:lineRule="exact"/>
        <w:rPr>
          <w:sz w:val="20"/>
          <w:szCs w:val="20"/>
          <w:color w:val="auto"/>
        </w:rPr>
      </w:pPr>
    </w:p>
    <w:p>
      <w:pPr>
        <w:ind w:left="380" w:right="60" w:firstLine="320"/>
        <w:spacing w:after="0" w:line="237" w:lineRule="auto"/>
        <w:rPr>
          <w:sz w:val="20"/>
          <w:szCs w:val="20"/>
          <w:color w:val="auto"/>
        </w:rPr>
      </w:pPr>
      <w:r>
        <w:rPr>
          <w:rFonts w:ascii="Arial" w:cs="Arial" w:eastAsia="Arial" w:hAnsi="Arial"/>
          <w:sz w:val="18"/>
          <w:szCs w:val="18"/>
          <w:color w:val="auto"/>
        </w:rPr>
        <w:t>At the close of business on the record date for the OncoMed Special Meeting, directors and executive officers of OncoMed (together with certain of their respective affiliates, including Delphi Ventures and The Vertical Group) beneficially owned and were entitled to vote approximately 14.63% of the shares of OncoMed common stock issued and outstanding on that date. Simultaneously with the execution and delivery of the Merger Agreement, each of the directors and executive officers of OncoMed, in their respective capacities as stockholders of OncoMed (together with certain of their respective affiliates, including Delphi Ventures and The Vertical Group), entered into support agreements with Mereo pursuant to which such individuals granted an irrevocable proxy to Mereo, among other things, to vote their respective shares of OncoMed common stock in favor of the adoption of the Merger Agreement.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OncoMed Board and its Reasons for the Merger (pages 105 and 126)</w:t>
      </w:r>
    </w:p>
    <w:p>
      <w:pPr>
        <w:spacing w:after="0" w:line="85" w:lineRule="exact"/>
        <w:rPr>
          <w:sz w:val="20"/>
          <w:szCs w:val="20"/>
          <w:color w:val="auto"/>
        </w:rPr>
      </w:pPr>
    </w:p>
    <w:p>
      <w:pPr>
        <w:jc w:val="both"/>
        <w:ind w:left="380" w:right="300" w:firstLine="320"/>
        <w:spacing w:after="0"/>
        <w:rPr>
          <w:sz w:val="20"/>
          <w:szCs w:val="20"/>
          <w:color w:val="auto"/>
        </w:rPr>
      </w:pPr>
      <w:r>
        <w:rPr>
          <w:rFonts w:ascii="Arial" w:cs="Arial" w:eastAsia="Arial" w:hAnsi="Arial"/>
          <w:sz w:val="18"/>
          <w:szCs w:val="18"/>
          <w:color w:val="auto"/>
        </w:rPr>
        <w:t>After careful consideration, at a meeting of the OncoMed Board held on December 4, 2018, the OncoMed Board unanimously determined that the Merger Agreement and the transactions contemplated by the Merger Agreement are advisable and in the best interests of OncoMed stockholders and unanimously approved the Merger Agreement.</w:t>
      </w:r>
    </w:p>
    <w:p>
      <w:pPr>
        <w:spacing w:after="0" w:line="181" w:lineRule="exact"/>
        <w:rPr>
          <w:sz w:val="20"/>
          <w:szCs w:val="20"/>
          <w:color w:val="auto"/>
        </w:rPr>
      </w:pPr>
    </w:p>
    <w:p>
      <w:pPr>
        <w:ind w:left="380" w:firstLine="320"/>
        <w:spacing w:after="0" w:line="271"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Opinion of OncoMed’s Financial Advisor (page 129 and Annex C)</w:t>
      </w:r>
    </w:p>
    <w:p>
      <w:pPr>
        <w:spacing w:after="0" w:line="99" w:lineRule="exact"/>
        <w:rPr>
          <w:sz w:val="20"/>
          <w:szCs w:val="20"/>
          <w:color w:val="auto"/>
        </w:rPr>
      </w:pPr>
    </w:p>
    <w:p>
      <w:pPr>
        <w:ind w:left="380" w:firstLine="320"/>
        <w:spacing w:after="0" w:line="235" w:lineRule="auto"/>
        <w:rPr>
          <w:sz w:val="20"/>
          <w:szCs w:val="20"/>
          <w:color w:val="auto"/>
        </w:rPr>
      </w:pPr>
      <w:r>
        <w:rPr>
          <w:rFonts w:ascii="Arial" w:cs="Arial" w:eastAsia="Arial" w:hAnsi="Arial"/>
          <w:sz w:val="18"/>
          <w:szCs w:val="18"/>
          <w:color w:val="auto"/>
        </w:rPr>
        <w:t>OncoMed retained Leerink Partners LLC (now known as SVB Leerink LLC, and referred to in this proxy statement/prospectus as “Leerink Partners”) as its financial advisor in connection with this transaction. 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Leerink Partners is an internationally recognized investment banking firm that has substantial experience in transactions similar to this transaction. In connection with this engagement, OncoMed requested that Leerink Partners evaluate the fairness, from a financial point of view, to the holders of the outstanding shares of OncoMed common stock (other than (i) shares held as treasury stock immediately prior to the effective time of the Merger and (ii) shares that are outstanding immediately prior to the effective time of the Merger and which are held by stockholders who have exercised and perfected appraisal rights for such shares in accordance with the General Corporation Law of the State of Delaware (the “DGCL”) (collectively, the “Excluded Shares”)) of the Merger Consideration proposed to be paid to such holders pursuant to the Merger Agreement. On December 4, 2018, Leerink Partners rendered to the OncoMed Board its oral opinion, which was subsequently confirmed by delivery of a written opinion dated December 4, 2018, that, as of such date and based upon and subject to the assumptions made and limitations upon the review undertaken by Leerink Partners in preparing its opinion, the merger consideration to be paid to the holders of the outstanding shares of OncoMed common stock (other than Excluded Shares) pursuant to the terms of the Merger Agreement was fair, from a financial point of view, to such holders.</w:t>
      </w:r>
    </w:p>
    <w:p>
      <w:pPr>
        <w:spacing w:after="0" w:line="215" w:lineRule="exact"/>
        <w:rPr>
          <w:sz w:val="20"/>
          <w:szCs w:val="20"/>
          <w:color w:val="auto"/>
        </w:rPr>
      </w:pPr>
    </w:p>
    <w:p>
      <w:pPr>
        <w:ind w:left="380" w:right="100" w:firstLine="320"/>
        <w:spacing w:after="0" w:line="239" w:lineRule="auto"/>
        <w:rPr>
          <w:sz w:val="20"/>
          <w:szCs w:val="20"/>
          <w:color w:val="auto"/>
        </w:rPr>
      </w:pPr>
      <w:r>
        <w:rPr>
          <w:rFonts w:ascii="Arial" w:cs="Arial" w:eastAsia="Arial" w:hAnsi="Arial"/>
          <w:sz w:val="18"/>
          <w:szCs w:val="18"/>
          <w:color w:val="auto"/>
        </w:rPr>
        <w:t>Leerink Partners’ financial advisory services and opinion were provided for the information and assistance of the members of the OncoMed Board (in their capacity as directors and not in any other capacity) in connection with and for purposes of the OncoMed Board’s consideration of this transaction and the Leerink Partners opinion addressed only the fairness, from a financial point of view, as of the date thereof, to the holders of the outstanding shares of OncoMed common stock (other than Excluded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35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58356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Shares) of the Merger Consideration to be paid to such holders pursuant to the terms of the Merger Agreement. The Leerink Partners opinion did not address any other term or aspect of the Merger Agreement or this transaction and does not constitute a recommendation to any stockholder of OncoMed as to whether or how such holder should vote with respect to the Merger or otherwise act with respect to this transaction or any other matter. Leerink Partners has provided its written consent to the reproduction of its opinion in this proxy statement/prospectus.</w:t>
      </w:r>
    </w:p>
    <w:p>
      <w:pPr>
        <w:spacing w:after="0" w:line="181" w:lineRule="exact"/>
        <w:rPr>
          <w:sz w:val="20"/>
          <w:szCs w:val="20"/>
          <w:color w:val="auto"/>
        </w:rPr>
      </w:pPr>
    </w:p>
    <w:p>
      <w:pPr>
        <w:ind w:left="380" w:right="100" w:firstLine="320"/>
        <w:spacing w:after="0" w:line="253" w:lineRule="auto"/>
        <w:rPr>
          <w:sz w:val="20"/>
          <w:szCs w:val="20"/>
          <w:color w:val="auto"/>
        </w:rPr>
      </w:pPr>
      <w:r>
        <w:rPr>
          <w:rFonts w:ascii="Arial" w:cs="Arial" w:eastAsia="Arial" w:hAnsi="Arial"/>
          <w:sz w:val="18"/>
          <w:szCs w:val="18"/>
          <w:b w:val="1"/>
          <w:bCs w:val="1"/>
          <w:color w:val="auto"/>
        </w:rPr>
        <w:t>The full text of the Leerink Partners written opinion, dated December 4, 2018, which describes the assumptions made and limitations upon the review undertaken by Leerink Partners in preparing its opinion, is attached hereto as Annex C and is incorporated by reference herein. You should read the opinion carefully in its entirety.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 (page 138)</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 xml:space="preserve">The merger will be accounted for in accordance with International Financial Reporting Standards (“IFRS”) as issued by the International Accounting Standards Board (“IASB”), and in particular,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Interests of OncoMed’s Directors and Executive Officers in the Merger (page 138)</w:t>
      </w:r>
    </w:p>
    <w:p>
      <w:pPr>
        <w:spacing w:after="0" w:line="85"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In considering the recommendation of the OncoMed Board to adopt the Merger Agreement and approve the transactions contemplated by the Merger Agreement, OncoMed stockholders should be aware that some of the OncoMed directors and executive officers have interests in the merger and have arrangements that are different from, or in addition to, those of OncoMed stockholders generally, including, but not limited to, the following:</w:t>
      </w:r>
    </w:p>
    <w:p>
      <w:pPr>
        <w:spacing w:after="0" w:line="229" w:lineRule="exact"/>
        <w:rPr>
          <w:sz w:val="20"/>
          <w:szCs w:val="20"/>
          <w:color w:val="auto"/>
        </w:rPr>
      </w:pPr>
    </w:p>
    <w:p>
      <w:pPr>
        <w:ind w:left="1100" w:right="18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entered into change in control and severance agreements with certain employees, including its executive officers, entitling them to certain payments and benefits in connection with a termination of employment following a change of control of OncoMed;</w:t>
      </w:r>
    </w:p>
    <w:p>
      <w:pPr>
        <w:spacing w:after="0" w:line="28" w:lineRule="exact"/>
        <w:rPr>
          <w:rFonts w:ascii="MS PGothic" w:cs="MS PGothic" w:eastAsia="MS PGothic" w:hAnsi="MS PGothic"/>
          <w:sz w:val="25"/>
          <w:szCs w:val="25"/>
          <w:color w:val="auto"/>
          <w:vertAlign w:val="superscript"/>
        </w:rPr>
      </w:pPr>
    </w:p>
    <w:p>
      <w:pPr>
        <w:ind w:left="1100" w:right="52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non-employee directors of OncoMed are entitled to vesting acceleration upon a change of control under various equity awards and agreements;</w:t>
      </w:r>
    </w:p>
    <w:p>
      <w:pPr>
        <w:spacing w:after="0" w:line="27" w:lineRule="exact"/>
        <w:rPr>
          <w:rFonts w:ascii="MS PGothic" w:cs="MS PGothic" w:eastAsia="MS PGothic" w:hAnsi="MS PGothic"/>
          <w:sz w:val="25"/>
          <w:szCs w:val="25"/>
          <w:color w:val="auto"/>
          <w:vertAlign w:val="superscript"/>
        </w:rPr>
      </w:pPr>
    </w:p>
    <w:p>
      <w:pPr>
        <w:ind w:left="1100" w:right="22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executive officers of OncoMed are entitled to accelerated vesting of their equity awards upon the closing of the Merger pursuant to the terms of the Merger Agreement;</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Dr. Lewicki is entitled to receive a performance bonus of $50,000 upon the closing of the Merger to the extent the Final Net Cash (as defined in the Merger Agreement) exceeds $37 million;</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directors and officers have continuing rights to indemnification and directors’ and officers’ liability insurance; and</w:t>
      </w:r>
    </w:p>
    <w:p>
      <w:pPr>
        <w:spacing w:after="0" w:line="26" w:lineRule="exact"/>
        <w:rPr>
          <w:rFonts w:ascii="MS PGothic" w:cs="MS PGothic" w:eastAsia="MS PGothic" w:hAnsi="MS PGothic"/>
          <w:sz w:val="25"/>
          <w:szCs w:val="25"/>
          <w:color w:val="auto"/>
          <w:vertAlign w:val="superscript"/>
        </w:rPr>
      </w:pPr>
    </w:p>
    <w:p>
      <w:pPr>
        <w:ind w:left="1100" w:right="10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terms of the Merger Agreement, two OncoMed directors will be designated to serve on the Mereo Board as of the Effective Time.</w:t>
      </w:r>
    </w:p>
    <w:p>
      <w:pPr>
        <w:spacing w:after="0" w:line="203" w:lineRule="exact"/>
        <w:rPr>
          <w:sz w:val="20"/>
          <w:szCs w:val="20"/>
          <w:color w:val="auto"/>
        </w:rPr>
      </w:pPr>
    </w:p>
    <w:p>
      <w:pPr>
        <w:jc w:val="both"/>
        <w:ind w:left="380" w:right="260" w:firstLine="320"/>
        <w:spacing w:after="0"/>
        <w:rPr>
          <w:sz w:val="20"/>
          <w:szCs w:val="20"/>
          <w:color w:val="auto"/>
        </w:rPr>
      </w:pPr>
      <w:r>
        <w:rPr>
          <w:rFonts w:ascii="Arial" w:cs="Arial" w:eastAsia="Arial" w:hAnsi="Arial"/>
          <w:sz w:val="18"/>
          <w:szCs w:val="18"/>
          <w:color w:val="auto"/>
        </w:rPr>
        <w:t>These interests and arrangements may create potential conflicts of interest. The OncoMed Board was aware of these potential conflicts of interest and considered them, among other matters, in reaching its decision to approve the Merger Agreement and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92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492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Board of Directors and Senior Management of the Combined Company (page 138)</w:t>
      </w:r>
    </w:p>
    <w:p>
      <w:pPr>
        <w:spacing w:after="0" w:line="85" w:lineRule="exact"/>
        <w:rPr>
          <w:sz w:val="20"/>
          <w:szCs w:val="20"/>
          <w:color w:val="auto"/>
        </w:rPr>
      </w:pPr>
    </w:p>
    <w:p>
      <w:pPr>
        <w:ind w:left="380" w:right="100" w:firstLine="320"/>
        <w:spacing w:after="0" w:line="239"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 Dr. Denise Scots-Knight will continue as Chief Executive Officer of the Combined Company and Richard Jones will continue as the Chief Financial Officer of the Combined Company. Dr. Peter Fellner will continue in his role as Chairman of the Mereo Board.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Mereo’s Reasons for the Merger (page 142)</w:t>
      </w:r>
    </w:p>
    <w:p>
      <w:pPr>
        <w:spacing w:after="0" w:line="85" w:lineRule="exact"/>
        <w:rPr>
          <w:sz w:val="20"/>
          <w:szCs w:val="20"/>
          <w:color w:val="auto"/>
        </w:rPr>
      </w:pPr>
    </w:p>
    <w:p>
      <w:pPr>
        <w:ind w:left="380" w:right="120" w:firstLine="320"/>
        <w:spacing w:after="0" w:line="238" w:lineRule="auto"/>
        <w:rPr>
          <w:sz w:val="20"/>
          <w:szCs w:val="20"/>
          <w:color w:val="auto"/>
        </w:rPr>
      </w:pPr>
      <w:r>
        <w:rPr>
          <w:rFonts w:ascii="Arial" w:cs="Arial" w:eastAsia="Arial" w:hAnsi="Arial"/>
          <w:sz w:val="18"/>
          <w:szCs w:val="18"/>
          <w:color w:val="auto"/>
        </w:rPr>
        <w:t>At its meeting on December 5, 2018, the Mereo Board unanimously (1) determined that the Merger Agreement, the Merger and the other transactions contemplated by the Merger Agreement are advisable and are fair to and in the best interests of Mereo and its shareholders as a whole, (2) approved the Merger Agreement, the Merger and the other transactions contemplated by the Merger Agreement, and (3) resolved to recommend to Mereo’s shareholders that they should approve the transactions contemplated by the Merger Agreement, should such approval be required.</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The Mereo Board believes (1) that the combination of Mereo’s biopharmaceutical portfolio of four assets with OncoMed’s two lead assets will create a diversified combined portfolio, resulting in an increased number of potential near-term catalysts with a core focus remaining on Mereo’s strategy to target rare diseases, (2) that the cash position of the Combined Company will provide an extended operational runway, with the potential for such runway to be extended significantly through partnering deals, and (3) that a Nasdaq listing, in addition to Mereo’s existing AIM listing, will provide a diversified international shareholder base for the Combined Company. The Mereo Board considered a variety of other factors in favor of the Merger, which are discussed further in the section entitled “The Merger—Mereo’s Reasons for the Merger” located elsewhere in this proxy statement/prospectus.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Appraisal Rights (page 144 and Annex D)</w:t>
      </w:r>
    </w:p>
    <w:p>
      <w:pPr>
        <w:spacing w:after="0" w:line="99" w:lineRule="exact"/>
        <w:rPr>
          <w:sz w:val="20"/>
          <w:szCs w:val="20"/>
          <w:color w:val="auto"/>
        </w:rPr>
      </w:pPr>
    </w:p>
    <w:p>
      <w:pPr>
        <w:ind w:left="380" w:right="100" w:firstLine="320"/>
        <w:spacing w:after="0" w:line="237" w:lineRule="auto"/>
        <w:rPr>
          <w:sz w:val="20"/>
          <w:szCs w:val="20"/>
          <w:color w:val="auto"/>
        </w:rPr>
      </w:pPr>
      <w:r>
        <w:rPr>
          <w:rFonts w:ascii="Arial" w:cs="Arial" w:eastAsia="Arial" w:hAnsi="Arial"/>
          <w:sz w:val="18"/>
          <w:szCs w:val="18"/>
          <w:color w:val="auto"/>
        </w:rPr>
        <w:t>Record holders of OncoMed common stock who do not vote in favor of the Merger Proposal and otherwise comply with the requirements and procedures of Section 262 of the DGCL are entitled to exercise appraisal rights, which generally entitle stockholders to receive in lieu of the Merger Consideration a cash payment of an amount determined by the Court of Chancery of the State of Delaware (the “Court of Chancery”) to be equal to the fair value of their OncoMed common stock as of the Effective Time. The fair value of OncoMed common stock as of the Effective Time could be less than, more than or the same as the Merger Consideration. Stockholders will not know the appraised fair value at the time such holders must elect whether to seek appraisal.</w:t>
      </w:r>
    </w:p>
    <w:p>
      <w:pPr>
        <w:spacing w:after="0" w:line="205" w:lineRule="exact"/>
        <w:rPr>
          <w:sz w:val="20"/>
          <w:szCs w:val="20"/>
          <w:color w:val="auto"/>
        </w:rPr>
      </w:pPr>
    </w:p>
    <w:p>
      <w:pPr>
        <w:ind w:left="380" w:right="360" w:firstLine="320"/>
        <w:spacing w:after="0"/>
        <w:rPr>
          <w:sz w:val="20"/>
          <w:szCs w:val="20"/>
          <w:color w:val="auto"/>
        </w:rPr>
      </w:pPr>
      <w:r>
        <w:rPr>
          <w:rFonts w:ascii="Arial" w:cs="Arial" w:eastAsia="Arial" w:hAnsi="Arial"/>
          <w:sz w:val="18"/>
          <w:szCs w:val="18"/>
          <w:color w:val="auto"/>
        </w:rPr>
        <w:t>To seek appraisal, you must deliver a written demand for appraisal to OncoMed before the vote on the adoption of the Merger Agreement at the OncoMed Special Meeting, and you must not vote in favor of the adoption of the Merger Agreement. Failure to follow exactly the procedures specified under the DGCL will result in the loss of appraisal rights.</w:t>
      </w:r>
    </w:p>
    <w:p>
      <w:pPr>
        <w:spacing w:after="0" w:line="203"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A summary description of the appraisal rights available to holders of OncoMed common stock under the DGCL and the procedures required to exercise statutory appraisal rights is included in “The Merger—Appraisal Rights.” The full text of Section 262 of the DGCL is attached as Annex D to this proxy statement/prospectus.</w:t>
      </w:r>
    </w:p>
    <w:p>
      <w:pPr>
        <w:spacing w:after="0" w:line="203" w:lineRule="exact"/>
        <w:rPr>
          <w:sz w:val="20"/>
          <w:szCs w:val="20"/>
          <w:color w:val="auto"/>
        </w:rPr>
      </w:pPr>
    </w:p>
    <w:p>
      <w:pPr>
        <w:ind w:left="380" w:right="100" w:firstLine="320"/>
        <w:spacing w:after="0" w:line="246" w:lineRule="auto"/>
        <w:rPr>
          <w:sz w:val="20"/>
          <w:szCs w:val="20"/>
          <w:color w:val="auto"/>
        </w:rPr>
      </w:pPr>
      <w:r>
        <w:rPr>
          <w:rFonts w:ascii="Arial" w:cs="Arial" w:eastAsia="Arial" w:hAnsi="Arial"/>
          <w:sz w:val="18"/>
          <w:szCs w:val="18"/>
          <w:color w:val="auto"/>
        </w:rPr>
        <w:t>Due to the complexity of the procedures described above, OncoMed stockholders who are considering exercising such rights are encouraged to seek the advice of legal counsel.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21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59213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Listing of the Mereo ADSs and Mereo Shares (page 148)</w:t>
      </w:r>
    </w:p>
    <w:p>
      <w:pPr>
        <w:spacing w:after="0" w:line="85" w:lineRule="exact"/>
        <w:rPr>
          <w:sz w:val="20"/>
          <w:szCs w:val="20"/>
          <w:color w:val="auto"/>
        </w:rPr>
      </w:pPr>
    </w:p>
    <w:p>
      <w:pPr>
        <w:ind w:left="380" w:firstLine="320"/>
        <w:spacing w:after="0" w:line="257" w:lineRule="auto"/>
        <w:rPr>
          <w:sz w:val="20"/>
          <w:szCs w:val="20"/>
          <w:color w:val="auto"/>
        </w:rPr>
      </w:pPr>
      <w:r>
        <w:rPr>
          <w:rFonts w:ascii="Arial" w:cs="Arial" w:eastAsia="Arial" w:hAnsi="Arial"/>
          <w:sz w:val="17"/>
          <w:szCs w:val="17"/>
          <w:color w:val="auto"/>
        </w:rPr>
        <w:t>The approval for listing of the Mereo ADSs on Nasdaq and the confirmation by AIM that it will admit the Mereo Shares underlying the Mereo ADSs to trading, in each case subject only to official notice of issuance, are each a condition to the obligations of Mereo and OncoMed to consummate the Merger. Mereo has applied to list the Mereo ADSs on Nasdaq and intends to apply to list the Mereo Shares underlying the Mereo ADSs on AIM. Mereo expects that the Mereo ADSs will trade on Nasdaq under the symbol “MREO.”</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Delisting and Deregistration of OncoMed Common Stock (page 149)</w:t>
      </w:r>
    </w:p>
    <w:p>
      <w:pPr>
        <w:spacing w:after="0" w:line="85" w:lineRule="exact"/>
        <w:rPr>
          <w:sz w:val="20"/>
          <w:szCs w:val="20"/>
          <w:color w:val="auto"/>
        </w:rPr>
      </w:pPr>
    </w:p>
    <w:p>
      <w:pPr>
        <w:ind w:left="380" w:right="100" w:firstLine="320"/>
        <w:spacing w:after="0" w:line="246" w:lineRule="auto"/>
        <w:rPr>
          <w:sz w:val="20"/>
          <w:szCs w:val="20"/>
          <w:color w:val="auto"/>
        </w:rPr>
      </w:pPr>
      <w:r>
        <w:rPr>
          <w:rFonts w:ascii="Arial" w:cs="Arial" w:eastAsia="Arial" w:hAnsi="Arial"/>
          <w:sz w:val="18"/>
          <w:szCs w:val="18"/>
          <w:color w:val="auto"/>
        </w:rPr>
        <w:t>If the Merger is completed, OncoMed’s common stock will be deregistered under the Exchange Act and will cease to be listed for trading on Nasdaq.</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Litigation Related to the Merger (page 149)</w:t>
      </w:r>
    </w:p>
    <w:p>
      <w:pPr>
        <w:spacing w:after="0" w:line="99" w:lineRule="exact"/>
        <w:rPr>
          <w:sz w:val="20"/>
          <w:szCs w:val="20"/>
          <w:color w:val="auto"/>
        </w:rPr>
      </w:pPr>
    </w:p>
    <w:p>
      <w:pPr>
        <w:ind w:left="380" w:right="40" w:firstLine="320"/>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Merger Agreement (page 150 and Annex A)</w:t>
      </w:r>
    </w:p>
    <w:p>
      <w:pPr>
        <w:spacing w:after="0" w:line="85" w:lineRule="exact"/>
        <w:rPr>
          <w:sz w:val="20"/>
          <w:szCs w:val="20"/>
          <w:color w:val="auto"/>
        </w:rPr>
      </w:pPr>
    </w:p>
    <w:p>
      <w:pPr>
        <w:jc w:val="both"/>
        <w:ind w:left="380" w:firstLine="320"/>
        <w:spacing w:after="0" w:line="261" w:lineRule="auto"/>
        <w:rPr>
          <w:sz w:val="20"/>
          <w:szCs w:val="20"/>
          <w:color w:val="auto"/>
        </w:rPr>
      </w:pPr>
      <w:r>
        <w:rPr>
          <w:rFonts w:ascii="Arial" w:cs="Arial" w:eastAsia="Arial" w:hAnsi="Arial"/>
          <w:sz w:val="17"/>
          <w:szCs w:val="17"/>
          <w:color w:val="auto"/>
        </w:rPr>
        <w:t>A copy of the Agreement and Plan of Merger and Reorganization is attached as Annex A to this proxy statement/prospectus. You should read the entire Merger Agreement carefully because it is the principal document governing the Merger. For a further discussion of the Merger Agreement, see the section entitled “The Merger Agreement” located elsewhere in this proxy statement/prospectus.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Solicitation of Offers (page 162)</w:t>
      </w:r>
    </w:p>
    <w:p>
      <w:pPr>
        <w:spacing w:after="0" w:line="85" w:lineRule="exact"/>
        <w:rPr>
          <w:sz w:val="20"/>
          <w:szCs w:val="20"/>
          <w:color w:val="auto"/>
        </w:rPr>
      </w:pPr>
    </w:p>
    <w:p>
      <w:pPr>
        <w:ind w:left="380" w:right="40" w:firstLine="320"/>
        <w:spacing w:after="0"/>
        <w:rPr>
          <w:sz w:val="20"/>
          <w:szCs w:val="20"/>
          <w:color w:val="auto"/>
        </w:rPr>
      </w:pPr>
      <w:r>
        <w:rPr>
          <w:rFonts w:ascii="Arial" w:cs="Arial" w:eastAsia="Arial" w:hAnsi="Arial"/>
          <w:sz w:val="18"/>
          <w:szCs w:val="18"/>
          <w:color w:val="auto"/>
        </w:rPr>
        <w:t>As more fully described in this proxy statement/prospectus and in the Merger Agreement, and subject to the exceptions described below and in the Merger Agreement, each of OncoMed and Mereo has agreed, among other things, that it will not, directly or indirectly:</w:t>
      </w:r>
    </w:p>
    <w:p>
      <w:pPr>
        <w:spacing w:after="0" w:line="230" w:lineRule="exact"/>
        <w:rPr>
          <w:sz w:val="20"/>
          <w:szCs w:val="20"/>
          <w:color w:val="auto"/>
        </w:rPr>
      </w:pPr>
    </w:p>
    <w:p>
      <w:pPr>
        <w:jc w:val="both"/>
        <w:ind w:left="1100" w:right="120" w:hanging="407"/>
        <w:spacing w:after="0" w:line="223"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initiate or knowingly encourage, induce or facilitate the communication, making, submission or announcement of any proposal or offer that constitutes, or would reasonably be expected to result in, an acquisition proposal or acquisition inquiry from any third party;</w:t>
      </w:r>
    </w:p>
    <w:p>
      <w:pPr>
        <w:spacing w:after="0" w:line="28" w:lineRule="exact"/>
        <w:rPr>
          <w:rFonts w:ascii="MS PGothic" w:cs="MS PGothic" w:eastAsia="MS PGothic" w:hAnsi="MS PGothic"/>
          <w:sz w:val="25"/>
          <w:szCs w:val="25"/>
          <w:color w:val="auto"/>
          <w:vertAlign w:val="superscript"/>
        </w:rPr>
      </w:pPr>
    </w:p>
    <w:p>
      <w:pPr>
        <w:ind w:left="1100" w:right="100" w:hanging="407"/>
        <w:spacing w:after="0" w:line="223"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furnish any non-public information regarding the other party to any person in connection with or in response to, or engage in discussions or negotiations with any person with respect to, any proposal or offer that constitutes, or would reasonably be expected to result in, any acquisition proposal or acquisition inquiry;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approve, endorse or recommend any acquisition proposal; or</w:t>
      </w:r>
    </w:p>
    <w:p>
      <w:pPr>
        <w:spacing w:after="0" w:line="26" w:lineRule="exact"/>
        <w:rPr>
          <w:rFonts w:ascii="MS PGothic" w:cs="MS PGothic" w:eastAsia="MS PGothic" w:hAnsi="MS PGothic"/>
          <w:sz w:val="25"/>
          <w:szCs w:val="25"/>
          <w:color w:val="auto"/>
          <w:vertAlign w:val="superscript"/>
        </w:rPr>
      </w:pPr>
    </w:p>
    <w:p>
      <w:pPr>
        <w:ind w:left="1100" w:right="420" w:hanging="407"/>
        <w:spacing w:after="0" w:line="226"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execute or enter into any letter of intent or any acquisition agreement, merger agreement or similar definitive agreement (other than a confidentiality agreement containing provisions (including nondisclosure provisions, use restrictions, non-solicitation provisions and no hire provisions) at least as favorable to such party as those contained in the existing confidentiality agreement between OncoMed and Mereo) relating to an acquisition proposal.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72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56724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120" w:firstLine="320"/>
        <w:spacing w:after="0"/>
        <w:rPr>
          <w:sz w:val="20"/>
          <w:szCs w:val="20"/>
          <w:color w:val="auto"/>
        </w:rPr>
      </w:pPr>
      <w:r>
        <w:rPr>
          <w:rFonts w:ascii="Arial" w:cs="Arial" w:eastAsia="Arial" w:hAnsi="Arial"/>
          <w:sz w:val="18"/>
          <w:szCs w:val="18"/>
          <w:color w:val="auto"/>
        </w:rPr>
        <w:t>Each party has further agreed (1) subject to any regulatory obligations of such party under applicable law, to promptly advise the other party orally and in writing upon receipt of any acquisition proposal or acquisition inquiry, and (2) to cease any discussions, negotiations or communications with any person with respect to any acquisition proposal as of the date of the Merger Agreement.</w:t>
      </w:r>
    </w:p>
    <w:p>
      <w:pPr>
        <w:spacing w:after="0" w:line="203" w:lineRule="exact"/>
        <w:rPr>
          <w:sz w:val="20"/>
          <w:szCs w:val="20"/>
          <w:color w:val="auto"/>
        </w:rPr>
      </w:pPr>
    </w:p>
    <w:p>
      <w:pPr>
        <w:ind w:left="380" w:right="60" w:firstLine="320"/>
        <w:spacing w:after="0" w:line="238" w:lineRule="auto"/>
        <w:rPr>
          <w:sz w:val="20"/>
          <w:szCs w:val="20"/>
          <w:color w:val="auto"/>
        </w:rPr>
      </w:pPr>
      <w:r>
        <w:rPr>
          <w:rFonts w:ascii="Arial" w:cs="Arial" w:eastAsia="Arial" w:hAnsi="Arial"/>
          <w:sz w:val="18"/>
          <w:szCs w:val="18"/>
          <w:color w:val="auto"/>
        </w:rPr>
        <w:t>However, at any time prior to the approval and adoption of the Merger Agreement by OncoMed stockholders, in the case of OncoMed, or Mereo shareholders, in the case of Mereo, each party may furnish non-public information regarding such party and its subsidiaries to, and enter into discussions or negotiations with, any person in response to a bona fide written acquisition proposal which such party’s board of directors determines in good faith, after consultation with such party’s financial advisors and outside legal counsel, constitutes or is reasonably likely to result in a superior offer, provided that:</w:t>
      </w:r>
    </w:p>
    <w:p>
      <w:pPr>
        <w:spacing w:after="0" w:line="194" w:lineRule="exact"/>
        <w:rPr>
          <w:sz w:val="20"/>
          <w:szCs w:val="20"/>
          <w:color w:val="auto"/>
        </w:rPr>
      </w:pPr>
    </w:p>
    <w:p>
      <w:pPr>
        <w:ind w:left="1100" w:hanging="407"/>
        <w:spacing w:after="0"/>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neither party nor any representative of such party has breached the obligations outlined above;</w:t>
      </w:r>
    </w:p>
    <w:p>
      <w:pPr>
        <w:spacing w:after="0" w:line="26" w:lineRule="exact"/>
        <w:rPr>
          <w:rFonts w:ascii="MS PGothic" w:cs="MS PGothic" w:eastAsia="MS PGothic" w:hAnsi="MS PGothic"/>
          <w:sz w:val="25"/>
          <w:szCs w:val="25"/>
          <w:color w:val="auto"/>
          <w:vertAlign w:val="superscript"/>
        </w:rPr>
      </w:pPr>
    </w:p>
    <w:p>
      <w:pPr>
        <w:ind w:left="1100" w:right="120" w:hanging="407"/>
        <w:spacing w:after="0" w:line="223"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board of directors of such party concludes in good faith having consulted with its outside legal counsel that the failure to take such action is reasonably likely to be inconsistent with the duties or obligations of the board of directors of such party under applicable law; and</w:t>
      </w:r>
    </w:p>
    <w:p>
      <w:pPr>
        <w:spacing w:after="0" w:line="28" w:lineRule="exact"/>
        <w:rPr>
          <w:rFonts w:ascii="MS PGothic" w:cs="MS PGothic" w:eastAsia="MS PGothic" w:hAnsi="MS PGothic"/>
          <w:sz w:val="25"/>
          <w:szCs w:val="25"/>
          <w:color w:val="auto"/>
          <w:vertAlign w:val="superscript"/>
        </w:rPr>
      </w:pPr>
    </w:p>
    <w:p>
      <w:pPr>
        <w:ind w:left="1100" w:right="320" w:hanging="407"/>
        <w:spacing w:after="0" w:line="223"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party receives from such third party an executed confidentiality agreement containing provisions (including nondisclosure provisions, use restrictions, non-solicitation provisions and no hire provisions) at least as favorable to such party as those contained in the existing confidentiality agreement between OncoMed and Mereo.</w:t>
      </w:r>
    </w:p>
    <w:p>
      <w:pPr>
        <w:spacing w:after="0" w:line="204" w:lineRule="exact"/>
        <w:rPr>
          <w:sz w:val="20"/>
          <w:szCs w:val="20"/>
          <w:color w:val="auto"/>
        </w:rPr>
      </w:pPr>
    </w:p>
    <w:p>
      <w:pPr>
        <w:ind w:left="380" w:firstLine="320"/>
        <w:spacing w:after="0" w:line="238" w:lineRule="auto"/>
        <w:rPr>
          <w:sz w:val="20"/>
          <w:szCs w:val="20"/>
          <w:color w:val="auto"/>
        </w:rPr>
      </w:pPr>
      <w:r>
        <w:rPr>
          <w:rFonts w:ascii="Arial" w:cs="Arial" w:eastAsia="Arial" w:hAnsi="Arial"/>
          <w:sz w:val="18"/>
          <w:szCs w:val="18"/>
          <w:color w:val="auto"/>
        </w:rPr>
        <w:t>In addition, (1) Mereo’s obligation not to solicit offers shall not require Mereo to take any action, or prevent Mereo from taking any action, which Mereo reasonably determines, having consulted with its outside legal counsel, would be inconsistent with or in breach of the U.K. City Code on Takeovers and Mergers (the “U.K. City Code”), and (2) OncoMed’s obligation not to solicit offers shall not require OncoMed to take any action, or prevent OncoMed from taking any action, which OncoMed reasonably determines, having consulted with its outside legal counsel, would be inconsistent with or in breach of OncoMed’s obligations under the DGCL.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 of Recommendation (page 163)</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OncoMed’s Board Recommendation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exceptions described below and in the Merger Agreement, OncoMed has agreed:</w:t>
      </w:r>
    </w:p>
    <w:p>
      <w:pPr>
        <w:spacing w:after="0" w:line="239" w:lineRule="exact"/>
        <w:rPr>
          <w:sz w:val="20"/>
          <w:szCs w:val="20"/>
          <w:color w:val="auto"/>
        </w:rPr>
      </w:pPr>
    </w:p>
    <w:p>
      <w:pPr>
        <w:ind w:left="1100" w:right="300" w:hanging="407"/>
        <w:spacing w:after="0" w:line="218"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recommend that OncoMed’s stockholders vote to approve and adopt the Merger Agreement and the transactions contemplated thereby (the “OncoMed Board Recommendation”);</w:t>
      </w:r>
    </w:p>
    <w:p>
      <w:pPr>
        <w:spacing w:after="0" w:line="27" w:lineRule="exact"/>
        <w:rPr>
          <w:rFonts w:ascii="MS PGothic" w:cs="MS PGothic" w:eastAsia="MS PGothic" w:hAnsi="MS PGothic"/>
          <w:sz w:val="25"/>
          <w:szCs w:val="25"/>
          <w:color w:val="auto"/>
          <w:vertAlign w:val="superscript"/>
        </w:rPr>
      </w:pPr>
    </w:p>
    <w:p>
      <w:pPr>
        <w:ind w:left="1100" w:hanging="407"/>
        <w:spacing w:after="0" w:line="218"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not withdraw or modify the OncoMed Board Recommendation in any manner adverse to Mereo; and</w:t>
      </w:r>
    </w:p>
    <w:p>
      <w:pPr>
        <w:spacing w:after="0" w:line="27" w:lineRule="exact"/>
        <w:rPr>
          <w:rFonts w:ascii="MS PGothic" w:cs="MS PGothic" w:eastAsia="MS PGothic" w:hAnsi="MS PGothic"/>
          <w:sz w:val="25"/>
          <w:szCs w:val="25"/>
          <w:color w:val="auto"/>
          <w:vertAlign w:val="superscript"/>
        </w:rPr>
      </w:pPr>
    </w:p>
    <w:p>
      <w:pPr>
        <w:ind w:left="1100" w:right="620" w:hanging="407"/>
        <w:spacing w:after="0" w:line="223"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OncoMed Board or any committee thereof to withdraw or modify the OncoMed Board Recommendation in any manner adverse to Mereo or to adopt, approve or recommend (or publicly propose to adopt, approve or recommend) any acquisition proposal shall be adopted or proposed.</w:t>
      </w:r>
    </w:p>
    <w:p>
      <w:pPr>
        <w:spacing w:after="0" w:line="204" w:lineRule="exact"/>
        <w:rPr>
          <w:sz w:val="20"/>
          <w:szCs w:val="20"/>
          <w:color w:val="auto"/>
        </w:rPr>
      </w:pPr>
    </w:p>
    <w:p>
      <w:pPr>
        <w:ind w:left="380" w:right="20" w:firstLine="320"/>
        <w:spacing w:after="0" w:line="261" w:lineRule="auto"/>
        <w:rPr>
          <w:sz w:val="20"/>
          <w:szCs w:val="20"/>
          <w:color w:val="auto"/>
        </w:rPr>
      </w:pPr>
      <w:r>
        <w:rPr>
          <w:rFonts w:ascii="Arial" w:cs="Arial" w:eastAsia="Arial" w:hAnsi="Arial"/>
          <w:sz w:val="17"/>
          <w:szCs w:val="17"/>
          <w:color w:val="auto"/>
        </w:rPr>
        <w:t>Notwithstanding the above, the OncoMed Board may withhold, amend, withdraw or modify the OncoMed Board Recommendation in a manner adverse to Mereo (an “OncoMed Adverse Recommendation Change”) (so long as OncoMed has provided prior written notice to Mereo of the OncoMed Board’s intention to make an OncoMed Adverse Recommendation Change at least four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business days in advance of taking such action (the “Notice Period”)) if, and only if, following receipt of a superior offer:</w:t>
      </w:r>
    </w:p>
    <w:p>
      <w:pPr>
        <w:spacing w:after="0" w:line="239" w:lineRule="exact"/>
        <w:rPr>
          <w:sz w:val="20"/>
          <w:szCs w:val="20"/>
          <w:color w:val="auto"/>
        </w:rPr>
      </w:pPr>
    </w:p>
    <w:p>
      <w:pPr>
        <w:ind w:left="1100" w:right="40" w:hanging="407"/>
        <w:spacing w:after="0" w:line="223" w:lineRule="auto"/>
        <w:tabs>
          <w:tab w:leader="none" w:pos="11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and has caused its financial advisors and outside legal counsel to, during the Notice Period, negotiate with Mereo in good faith to make such adjustments to the terms and conditions of the Merger Agreement so that such acquisition proposal ceases to constitute a superior offer; and</w:t>
      </w:r>
    </w:p>
    <w:p>
      <w:pPr>
        <w:spacing w:after="0" w:line="28" w:lineRule="exact"/>
        <w:rPr>
          <w:rFonts w:ascii="MS PGothic" w:cs="MS PGothic" w:eastAsia="MS PGothic" w:hAnsi="MS PGothic"/>
          <w:sz w:val="25"/>
          <w:szCs w:val="25"/>
          <w:color w:val="auto"/>
          <w:vertAlign w:val="superscript"/>
        </w:rPr>
      </w:pPr>
    </w:p>
    <w:p>
      <w:pPr>
        <w:jc w:val="both"/>
        <w:ind w:left="1100" w:right="220" w:hanging="407"/>
        <w:spacing w:after="0" w:line="223" w:lineRule="auto"/>
        <w:tabs>
          <w:tab w:leader="none" w:pos="11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shall have determined in good faith, having consulted with its outside legal counsel, that the failure to withhold, amend, withdraw or modify the OncoMed Board Recommendation would result in a breach of its fiduciary duties under applicable law.</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Mereo’s Board Recommendation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exceptions described below and in the Merger Agreement, Mereo has agreed:</w:t>
      </w:r>
    </w:p>
    <w:p>
      <w:pPr>
        <w:spacing w:after="0" w:line="239" w:lineRule="exact"/>
        <w:rPr>
          <w:sz w:val="20"/>
          <w:szCs w:val="20"/>
          <w:color w:val="auto"/>
        </w:rPr>
      </w:pPr>
    </w:p>
    <w:p>
      <w:pPr>
        <w:ind w:left="1100" w:right="540" w:hanging="407"/>
        <w:spacing w:after="0" w:line="223"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if a vote of Mereo’s shareholders is required, the Mereo Board will recommend that Mereo’s shareholders vote to approve and adopt the Merger Agreement and the transactions contemplated thereby (the “Mereo Board Recommendation”);</w:t>
      </w:r>
    </w:p>
    <w:p>
      <w:pPr>
        <w:spacing w:after="0" w:line="28" w:lineRule="exact"/>
        <w:rPr>
          <w:rFonts w:ascii="MS PGothic" w:cs="MS PGothic" w:eastAsia="MS PGothic" w:hAnsi="MS PGothic"/>
          <w:sz w:val="25"/>
          <w:szCs w:val="25"/>
          <w:color w:val="auto"/>
          <w:vertAlign w:val="superscript"/>
        </w:rPr>
      </w:pPr>
    </w:p>
    <w:p>
      <w:pPr>
        <w:ind w:left="1100" w:right="240" w:hanging="407"/>
        <w:spacing w:after="0" w:line="218"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Mereo Board will not withdraw or modify the Mereo Board Recommendation in any manner adverse to OncoMed; and</w:t>
      </w:r>
    </w:p>
    <w:p>
      <w:pPr>
        <w:spacing w:after="0" w:line="27" w:lineRule="exact"/>
        <w:rPr>
          <w:rFonts w:ascii="MS PGothic" w:cs="MS PGothic" w:eastAsia="MS PGothic" w:hAnsi="MS PGothic"/>
          <w:sz w:val="25"/>
          <w:szCs w:val="25"/>
          <w:color w:val="auto"/>
          <w:vertAlign w:val="superscript"/>
        </w:rPr>
      </w:pPr>
    </w:p>
    <w:p>
      <w:pPr>
        <w:jc w:val="both"/>
        <w:ind w:left="1100" w:right="20" w:hanging="407"/>
        <w:spacing w:after="0" w:line="223"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Mereo Board or any committee thereof to withdraw or modify the Mereo Board Recommendation in any manner adverse to OncoMed or to adopt, approve or recommend (or publicly propose to adopt, approve or recommend) any acquisition proposal shall be adopted or proposed.</w:t>
      </w:r>
    </w:p>
    <w:p>
      <w:pPr>
        <w:spacing w:after="0" w:line="204" w:lineRule="exact"/>
        <w:rPr>
          <w:sz w:val="20"/>
          <w:szCs w:val="20"/>
          <w:color w:val="auto"/>
        </w:rPr>
      </w:pPr>
    </w:p>
    <w:p>
      <w:pPr>
        <w:ind w:left="380" w:right="40" w:firstLine="320"/>
        <w:spacing w:after="0" w:line="239" w:lineRule="auto"/>
        <w:rPr>
          <w:sz w:val="20"/>
          <w:szCs w:val="20"/>
          <w:color w:val="auto"/>
        </w:rPr>
      </w:pPr>
      <w:r>
        <w:rPr>
          <w:rFonts w:ascii="Arial" w:cs="Arial" w:eastAsia="Arial" w:hAnsi="Arial"/>
          <w:sz w:val="18"/>
          <w:szCs w:val="18"/>
          <w:color w:val="auto"/>
        </w:rPr>
        <w:t>Notwithstanding the above, the Mereo Board may withhold, amend, withdraw or modify the Mereo Board Recommendation in a manner adverse to OncoMed (a “Mereo Adverse Recommendation Change”) (so long as Mereo has provided prior written notice to OncoMed of the Mereo Board’s intention to make a Mereo Adverse Recommendation Change at least four business days in advance of taking such action) if, and only if, following receipt of a superior offer:</w:t>
      </w:r>
    </w:p>
    <w:p>
      <w:pPr>
        <w:spacing w:after="0" w:line="229" w:lineRule="exact"/>
        <w:rPr>
          <w:sz w:val="20"/>
          <w:szCs w:val="20"/>
          <w:color w:val="auto"/>
        </w:rPr>
      </w:pPr>
    </w:p>
    <w:p>
      <w:pPr>
        <w:ind w:left="1100" w:right="280" w:hanging="407"/>
        <w:spacing w:after="0" w:line="223" w:lineRule="auto"/>
        <w:tabs>
          <w:tab w:leader="none" w:pos="11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has, and has requested its financial advisors and outside legal counsel to, during the Notice Period, negotiate with OncoMed in good faith to make such adjustments to the terms and conditions of the Merger Agreement so that such acquisition proposal ceases to constitute a superior offer; and</w:t>
      </w:r>
    </w:p>
    <w:p>
      <w:pPr>
        <w:spacing w:after="0" w:line="28" w:lineRule="exact"/>
        <w:rPr>
          <w:rFonts w:ascii="MS PGothic" w:cs="MS PGothic" w:eastAsia="MS PGothic" w:hAnsi="MS PGothic"/>
          <w:sz w:val="25"/>
          <w:szCs w:val="25"/>
          <w:color w:val="auto"/>
          <w:vertAlign w:val="superscript"/>
        </w:rPr>
      </w:pPr>
    </w:p>
    <w:p>
      <w:pPr>
        <w:ind w:left="1100" w:hanging="407"/>
        <w:spacing w:after="0" w:line="223" w:lineRule="auto"/>
        <w:tabs>
          <w:tab w:leader="none" w:pos="11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Board shall have determined in good faith, having consulted with its outside legal counsel, that the failure to withhold, amend, withdraw or modify the Mereo Board Recommendation would result in a breach of its fiduciary duties under applicable law.</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Indemnification and Insurance (page 165)</w:t>
      </w:r>
    </w:p>
    <w:p>
      <w:pPr>
        <w:spacing w:after="0" w:line="85" w:lineRule="exact"/>
        <w:rPr>
          <w:sz w:val="20"/>
          <w:szCs w:val="20"/>
          <w:color w:val="auto"/>
        </w:rPr>
      </w:pPr>
    </w:p>
    <w:p>
      <w:pPr>
        <w:ind w:left="380" w:right="320" w:firstLine="320"/>
        <w:spacing w:after="0" w:line="239" w:lineRule="auto"/>
        <w:rPr>
          <w:sz w:val="20"/>
          <w:szCs w:val="20"/>
          <w:color w:val="auto"/>
        </w:rPr>
      </w:pPr>
      <w:r>
        <w:rPr>
          <w:rFonts w:ascii="Arial" w:cs="Arial" w:eastAsia="Arial" w:hAnsi="Arial"/>
          <w:sz w:val="18"/>
          <w:szCs w:val="18"/>
          <w:color w:val="auto"/>
        </w:rPr>
        <w:t>Pursuant to the terms of the Merger Agreement, OncoMed’s directors and executive officers will be entitled to certain ongoing indemnification and coverage under directors’ and officers’ liability insurance policies of, and the organizational documents of, OncoMed and Mereo. See the section entitled “The Merger Agreement—Indemnification and Insurance” located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1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55613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Conditions to Closing (page 167)</w:t>
      </w:r>
    </w:p>
    <w:p>
      <w:pPr>
        <w:spacing w:after="0" w:line="85" w:lineRule="exact"/>
        <w:rPr>
          <w:sz w:val="20"/>
          <w:szCs w:val="20"/>
          <w:color w:val="auto"/>
        </w:rPr>
      </w:pPr>
    </w:p>
    <w:p>
      <w:pPr>
        <w:ind w:left="380" w:right="220" w:firstLine="320"/>
        <w:spacing w:after="0" w:line="246" w:lineRule="auto"/>
        <w:rPr>
          <w:sz w:val="20"/>
          <w:szCs w:val="20"/>
          <w:color w:val="auto"/>
        </w:rPr>
      </w:pPr>
      <w:r>
        <w:rPr>
          <w:rFonts w:ascii="Arial" w:cs="Arial" w:eastAsia="Arial" w:hAnsi="Arial"/>
          <w:sz w:val="18"/>
          <w:szCs w:val="18"/>
          <w:color w:val="auto"/>
        </w:rPr>
        <w:t>Each party’s obligation to effect the Merger is subject to satisfaction or, to the extent permitted by applicable law, mutual written waiver by each of the parties of the following conditions:</w:t>
      </w:r>
    </w:p>
    <w:p>
      <w:pPr>
        <w:spacing w:after="0" w:line="188" w:lineRule="exact"/>
        <w:rPr>
          <w:sz w:val="20"/>
          <w:szCs w:val="20"/>
          <w:color w:val="auto"/>
        </w:rPr>
      </w:pPr>
    </w:p>
    <w:p>
      <w:pPr>
        <w:ind w:left="1100" w:hanging="407"/>
        <w:spacing w:after="0"/>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and, if necessary, the Mereo Shareholder Approval shall have been obtained;</w:t>
      </w:r>
    </w:p>
    <w:p>
      <w:pPr>
        <w:spacing w:after="0" w:line="26" w:lineRule="exact"/>
        <w:rPr>
          <w:rFonts w:ascii="MS PGothic" w:cs="MS PGothic" w:eastAsia="MS PGothic" w:hAnsi="MS PGothic"/>
          <w:sz w:val="25"/>
          <w:szCs w:val="25"/>
          <w:color w:val="auto"/>
          <w:vertAlign w:val="superscript"/>
        </w:rPr>
      </w:pPr>
    </w:p>
    <w:p>
      <w:pPr>
        <w:ind w:left="1100" w:hanging="407"/>
        <w:spacing w:after="0" w:line="226"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and there shall not be any law which has the effect of making the consummation of the Merger Agreement or the transactions contemplated thereby illegal;</w:t>
      </w:r>
    </w:p>
    <w:p>
      <w:pPr>
        <w:spacing w:after="0" w:line="27" w:lineRule="exact"/>
        <w:rPr>
          <w:rFonts w:ascii="MS PGothic" w:cs="MS PGothic" w:eastAsia="MS PGothic" w:hAnsi="MS PGothic"/>
          <w:sz w:val="25"/>
          <w:szCs w:val="25"/>
          <w:color w:val="auto"/>
          <w:vertAlign w:val="superscript"/>
        </w:rPr>
      </w:pPr>
    </w:p>
    <w:p>
      <w:pPr>
        <w:ind w:left="1100" w:right="800" w:hanging="407"/>
        <w:spacing w:after="0" w:line="218"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Form F-4 shall have become effective under the Securities Act and shall not be the subject of any stop order or proceeding (or threatened proceeding by the SEC);</w:t>
      </w:r>
    </w:p>
    <w:p>
      <w:pPr>
        <w:spacing w:after="0" w:line="27" w:lineRule="exact"/>
        <w:rPr>
          <w:rFonts w:ascii="MS PGothic" w:cs="MS PGothic" w:eastAsia="MS PGothic" w:hAnsi="MS PGothic"/>
          <w:sz w:val="25"/>
          <w:szCs w:val="25"/>
          <w:color w:val="auto"/>
          <w:vertAlign w:val="superscript"/>
        </w:rPr>
      </w:pPr>
    </w:p>
    <w:p>
      <w:pPr>
        <w:ind w:left="1100" w:right="40" w:hanging="407"/>
        <w:spacing w:after="0" w:line="228"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ADSs issuable to the OncoMed stockholders as contemplated by the Merger Agreement shall have been approved for listing on Nasdaq, subject to official notice of issuance, and the Mereo Shares underlying the Mereo ADSs issuable to the OncoMed stockholders pursuant to the Merger Agreement shall have been approved for admission to trading on AIM and any other requirements of London Stock Exchange plc in respect of the Merger Agreement or the transactions contemplated thereby shall have been satisfied.</w:t>
      </w:r>
    </w:p>
    <w:p>
      <w:pPr>
        <w:spacing w:after="0" w:line="202" w:lineRule="exact"/>
        <w:rPr>
          <w:sz w:val="20"/>
          <w:szCs w:val="20"/>
          <w:color w:val="auto"/>
        </w:rPr>
      </w:pPr>
    </w:p>
    <w:p>
      <w:pPr>
        <w:ind w:left="380" w:right="580" w:firstLine="320"/>
        <w:spacing w:after="0" w:line="246" w:lineRule="auto"/>
        <w:rPr>
          <w:sz w:val="20"/>
          <w:szCs w:val="20"/>
          <w:color w:val="auto"/>
        </w:rPr>
      </w:pPr>
      <w:r>
        <w:rPr>
          <w:rFonts w:ascii="Arial" w:cs="Arial" w:eastAsia="Arial" w:hAnsi="Arial"/>
          <w:sz w:val="18"/>
          <w:szCs w:val="18"/>
          <w:color w:val="auto"/>
        </w:rPr>
        <w:t>The obligations of Mereo, HoldCo and Merger Sub to effect the Merger is further subject to the satisfaction or waiver of the following conditions:</w:t>
      </w:r>
    </w:p>
    <w:p>
      <w:pPr>
        <w:spacing w:after="0" w:line="224" w:lineRule="exact"/>
        <w:rPr>
          <w:sz w:val="20"/>
          <w:szCs w:val="20"/>
          <w:color w:val="auto"/>
        </w:rPr>
      </w:pPr>
    </w:p>
    <w:p>
      <w:pPr>
        <w:ind w:left="1100" w:right="60" w:hanging="407"/>
        <w:spacing w:after="0" w:line="228"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relating to corporate organization, subsidiaries, organizational documents, corporate authority and approvals, required vote, and brokers and finders (the “OncoMed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rFonts w:ascii="MS PGothic" w:cs="MS PGothic" w:eastAsia="MS PGothic" w:hAnsi="MS PGothic"/>
          <w:sz w:val="25"/>
          <w:szCs w:val="25"/>
          <w:color w:val="auto"/>
          <w:vertAlign w:val="superscript"/>
        </w:rPr>
      </w:pPr>
    </w:p>
    <w:p>
      <w:pPr>
        <w:ind w:left="1100" w:right="140" w:hanging="407"/>
        <w:spacing w:after="0" w:line="211"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relating to capital structure will be true and correct on and as of the closing date of the Merger, except, in each case, (x) for such inaccuracies which are de minimis, individually or in the aggregate,</w:t>
      </w:r>
    </w:p>
    <w:p>
      <w:pPr>
        <w:jc w:val="both"/>
        <w:ind w:left="1100" w:right="1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the Merger Agreement;</w:t>
      </w:r>
    </w:p>
    <w:p>
      <w:pPr>
        <w:spacing w:after="0" w:line="27" w:lineRule="exact"/>
        <w:rPr>
          <w:rFonts w:ascii="MS PGothic" w:cs="MS PGothic" w:eastAsia="MS PGothic" w:hAnsi="MS PGothic"/>
          <w:sz w:val="25"/>
          <w:szCs w:val="25"/>
          <w:color w:val="auto"/>
          <w:vertAlign w:val="superscript"/>
        </w:rPr>
      </w:pPr>
    </w:p>
    <w:p>
      <w:pPr>
        <w:ind w:left="1100" w:right="40" w:hanging="407"/>
        <w:spacing w:after="0" w:line="229"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(other than with respect to capital structure and the OncoMed Specified Representations) will be true and correct on and as of the closing date of the Merger except (a) in each case, or in the aggregate, where the failure to be so true and correct would not reasonably be expected to have a material adverse effect on OncoMed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1100" w:right="620" w:hanging="407"/>
        <w:spacing w:after="0" w:line="218"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performed in all material respects its covenants required to be performed by it under the Merger Agreement at or prior to the closing date of the Merger;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00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49009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120" w:hanging="407"/>
        <w:spacing w:after="0" w:line="235" w:lineRule="auto"/>
        <w:tabs>
          <w:tab w:leader="none" w:pos="1100" w:val="left"/>
        </w:tabs>
        <w:numPr>
          <w:ilvl w:val="0"/>
          <w:numId w:val="17"/>
        </w:numPr>
        <w:rPr>
          <w:rFonts w:ascii="MS PGothic" w:cs="MS PGothic" w:eastAsia="MS PGothic" w:hAnsi="MS PGothic"/>
          <w:sz w:val="24"/>
          <w:szCs w:val="24"/>
          <w:color w:val="auto"/>
          <w:vertAlign w:val="superscript"/>
        </w:rPr>
      </w:pPr>
      <w:r>
        <w:rPr>
          <w:rFonts w:ascii="Arial" w:cs="Arial" w:eastAsia="Arial" w:hAnsi="Arial"/>
          <w:sz w:val="17"/>
          <w:szCs w:val="17"/>
          <w:color w:val="auto"/>
        </w:rPr>
        <w:t>Mereo shall have received a certificate signed on behalf of OncoMed by the chief executive officer and chief financial officer (or if there is no chief financial officer at such time, the principal financial and accounting officer) of OncoMed to the effect that the conditions related to OncoMed’s representations, warranties and covenants described above have been satisfied;</w:t>
      </w:r>
    </w:p>
    <w:p>
      <w:pPr>
        <w:spacing w:after="0" w:line="28" w:lineRule="exact"/>
        <w:rPr>
          <w:rFonts w:ascii="MS PGothic" w:cs="MS PGothic" w:eastAsia="MS PGothic" w:hAnsi="MS PGothic"/>
          <w:sz w:val="24"/>
          <w:szCs w:val="24"/>
          <w:color w:val="auto"/>
          <w:vertAlign w:val="superscript"/>
        </w:rPr>
      </w:pPr>
    </w:p>
    <w:p>
      <w:pPr>
        <w:ind w:left="1100" w:right="560" w:hanging="407"/>
        <w:spacing w:after="0" w:line="218"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from OncoMed a form of notice to the IRS in accordance with the requirements of Treasury Regulation Section 1.897-2(h) and in form and substance reasonably acceptable to Mereo;</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OncoMed shall not have occurred; and</w:t>
      </w:r>
    </w:p>
    <w:p>
      <w:pPr>
        <w:spacing w:after="0" w:line="26" w:lineRule="exact"/>
        <w:rPr>
          <w:rFonts w:ascii="MS PGothic" w:cs="MS PGothic" w:eastAsia="MS PGothic" w:hAnsi="MS PGothic"/>
          <w:sz w:val="25"/>
          <w:szCs w:val="25"/>
          <w:color w:val="auto"/>
          <w:vertAlign w:val="superscript"/>
        </w:rPr>
      </w:pPr>
    </w:p>
    <w:p>
      <w:pPr>
        <w:ind w:left="1100" w:hanging="407"/>
        <w:spacing w:after="0" w:line="205"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calculation of OncoMed’s net cash as of the closing date of the Merger shall have been finally determined.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OncoMed’s obligation to effect the Merger is further subject to the satisfaction or waiver of the following conditions:</w:t>
      </w:r>
    </w:p>
    <w:p>
      <w:pPr>
        <w:spacing w:after="0" w:line="239" w:lineRule="exact"/>
        <w:rPr>
          <w:sz w:val="20"/>
          <w:szCs w:val="20"/>
          <w:color w:val="auto"/>
        </w:rPr>
      </w:pPr>
    </w:p>
    <w:p>
      <w:pPr>
        <w:ind w:left="1100" w:right="100" w:hanging="407"/>
        <w:spacing w:after="0" w:line="229"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relating to corporate organization, subsidiaries, organizational documents, corporate authority and approvals, required vote, and brokers and finders (the “Mereo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7" w:lineRule="exact"/>
        <w:rPr>
          <w:rFonts w:ascii="MS PGothic" w:cs="MS PGothic" w:eastAsia="MS PGothic" w:hAnsi="MS PGothic"/>
          <w:sz w:val="25"/>
          <w:szCs w:val="25"/>
          <w:color w:val="auto"/>
          <w:vertAlign w:val="superscript"/>
        </w:rPr>
      </w:pPr>
    </w:p>
    <w:p>
      <w:pPr>
        <w:ind w:left="1100" w:hanging="407"/>
        <w:spacing w:after="0" w:line="228"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relating to capital structure will be true and correct on and as of the closing date of the Merger,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the Merger Agreement;</w:t>
      </w:r>
    </w:p>
    <w:p>
      <w:pPr>
        <w:spacing w:after="0" w:line="26" w:lineRule="exact"/>
        <w:rPr>
          <w:rFonts w:ascii="MS PGothic" w:cs="MS PGothic" w:eastAsia="MS PGothic" w:hAnsi="MS PGothic"/>
          <w:sz w:val="25"/>
          <w:szCs w:val="25"/>
          <w:color w:val="auto"/>
          <w:vertAlign w:val="superscript"/>
        </w:rPr>
      </w:pPr>
    </w:p>
    <w:p>
      <w:pPr>
        <w:ind w:left="1100" w:right="60" w:hanging="407"/>
        <w:spacing w:after="0" w:line="229"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(other than with respect to capital structure and the Mereo Specified Representations) will be true and correct on and as of the closing date of the Merger except (a) in each case, or in the aggregate, where the failure to be so true and correct would not reasonably be expected to have a material adverse effect on Mereo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1100" w:right="580" w:hanging="407"/>
        <w:spacing w:after="0" w:line="218"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Mereo and Merger Sub shall have performed in all material respects their respective covenants required to be performed by each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1100" w:right="180" w:hanging="407"/>
        <w:spacing w:after="0" w:line="223"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received a certificate signed on behalf of Mereo by the chief executive office and chief financial officer of Mereo to the effect that the conditions related to Mereo’s and Merger Sub’s representations, warranties and covenants described above have been satisfied; and</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Mereo shall not have occurred.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07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54070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Events (page 169)</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Merger Agreement may be terminated at any time prior to the Effective Time by mutual written consent of Mereo and</w:t>
      </w:r>
    </w:p>
    <w:p>
      <w:pPr>
        <w:ind w:left="380"/>
        <w:spacing w:after="0"/>
        <w:rPr>
          <w:sz w:val="20"/>
          <w:szCs w:val="20"/>
          <w:color w:val="auto"/>
        </w:rPr>
      </w:pPr>
      <w:r>
        <w:rPr>
          <w:rFonts w:ascii="Arial" w:cs="Arial" w:eastAsia="Arial" w:hAnsi="Arial"/>
          <w:sz w:val="18"/>
          <w:szCs w:val="18"/>
          <w:color w:val="auto"/>
        </w:rPr>
        <w:t>OncoMed, and either party may terminate the Merger Agreement in the following circumstances:</w:t>
      </w:r>
    </w:p>
    <w:p>
      <w:pPr>
        <w:spacing w:after="0" w:line="239" w:lineRule="exact"/>
        <w:rPr>
          <w:sz w:val="20"/>
          <w:szCs w:val="20"/>
          <w:color w:val="auto"/>
        </w:rPr>
      </w:pPr>
    </w:p>
    <w:p>
      <w:pPr>
        <w:ind w:left="1100" w:right="160" w:hanging="407"/>
        <w:spacing w:after="0" w:line="229"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Merger shall not have been consummated by September 4, 2019 (the “End Date”), except that the right to terminate the Merger Agreement on this basis shall not be available to OncoMed or Mereo if such party’s action or failure to act has been a principal cause of the failure of the Merger to occur on or before the End Date and such action or failure to act constitutes a breach of the Merger Agreement and except that, in the event that the SEC has not declared this Form F-4 effective under the Securities Act by the date which is sixty days prior to the End Date, then either OncoMed or Mereo shall be entitled to extend the End Date for an additional sixty days;</w:t>
      </w:r>
    </w:p>
    <w:p>
      <w:pPr>
        <w:spacing w:after="0" w:line="27" w:lineRule="exact"/>
        <w:rPr>
          <w:rFonts w:ascii="MS PGothic" w:cs="MS PGothic" w:eastAsia="MS PGothic" w:hAnsi="MS PGothic"/>
          <w:sz w:val="25"/>
          <w:szCs w:val="25"/>
          <w:color w:val="auto"/>
          <w:vertAlign w:val="superscript"/>
        </w:rPr>
      </w:pPr>
    </w:p>
    <w:p>
      <w:pPr>
        <w:ind w:left="1100" w:right="20" w:hanging="407"/>
        <w:spacing w:after="0" w:line="223"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court of competent jurisdiction or other governmental authority shall have issued a final and nonappealable order, or shall have taken any other action, having the effect of permanently restraining, enjoining or otherwise prohibiting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1100" w:right="20" w:hanging="407"/>
        <w:spacing w:after="0"/>
        <w:tabs>
          <w:tab w:leader="none" w:pos="1100" w:val="left"/>
        </w:tabs>
        <w:numPr>
          <w:ilvl w:val="0"/>
          <w:numId w:val="19"/>
        </w:numPr>
        <w:rPr>
          <w:rFonts w:ascii="MS PGothic" w:cs="MS PGothic" w:eastAsia="MS PGothic" w:hAnsi="MS PGothic"/>
          <w:sz w:val="24"/>
          <w:szCs w:val="24"/>
          <w:color w:val="auto"/>
          <w:vertAlign w:val="superscript"/>
        </w:rPr>
      </w:pPr>
      <w:r>
        <w:rPr>
          <w:rFonts w:ascii="Arial" w:cs="Arial" w:eastAsia="Arial" w:hAnsi="Arial"/>
          <w:sz w:val="17"/>
          <w:szCs w:val="17"/>
          <w:color w:val="auto"/>
        </w:rPr>
        <w:t>if (i) the OncoMed Special Meeting shall have been held and completed and OncoMed’s stockholders shall have taken a final vote on the Merger Agreement and (ii) the Merger Agreement shall not have been adopted and approved at the OncoMed Special Meeting, except that the right to terminate the Merger Agreement on this basis shall not be available to OncoMed where the failure to obtain the approval of OncoMed’s stockholders shall have been caused by the action or failure to act of OncoMed and such action or failure to act constitutes a material breach by OncoMed of the Merger Agreement; and</w:t>
      </w:r>
    </w:p>
    <w:p>
      <w:pPr>
        <w:spacing w:after="0" w:line="29" w:lineRule="exact"/>
        <w:rPr>
          <w:rFonts w:ascii="MS PGothic" w:cs="MS PGothic" w:eastAsia="MS PGothic" w:hAnsi="MS PGothic"/>
          <w:sz w:val="24"/>
          <w:szCs w:val="24"/>
          <w:color w:val="auto"/>
          <w:vertAlign w:val="superscript"/>
        </w:rPr>
      </w:pPr>
    </w:p>
    <w:p>
      <w:pPr>
        <w:jc w:val="both"/>
        <w:ind w:left="1100" w:right="40" w:hanging="407"/>
        <w:spacing w:after="0" w:line="228"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(i) the Mereo Shareholder Meeting, if necessary, shall have been held and completed and Mereo’s shareholders shall have taken a final vote on the matters requiring such shareholders’ approval and (ii) such matters shall not have been approved at the Mereo Shareholder Meeting, except that the right to terminate the Merger Agreement on this basis shall not be available to Mereo where the failure to obtain the approval of Mereo’s shareholders shall have been caused by the action or failure to act of Mereo and such action or failure to act constitutes a material breach by Mereo of the Merger Agreement.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 may terminate the Merger Agreement at any time prior to the Effective Time as follows:</w:t>
      </w:r>
    </w:p>
    <w:p>
      <w:pPr>
        <w:spacing w:after="0" w:line="239" w:lineRule="exact"/>
        <w:rPr>
          <w:sz w:val="20"/>
          <w:szCs w:val="20"/>
          <w:color w:val="auto"/>
        </w:rPr>
      </w:pPr>
    </w:p>
    <w:p>
      <w:pPr>
        <w:ind w:left="1100" w:right="760" w:hanging="407"/>
        <w:spacing w:after="0" w:line="218"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Board or any committee thereof shall have made a Mereo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1100" w:hanging="407"/>
        <w:spacing w:after="0" w:line="229"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Mereo as those contained in the existing confidentiality agreement between OncoMed and Mereo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1100" w:right="80" w:hanging="407"/>
        <w:spacing w:after="0" w:line="223"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40"/>
        <w:spacing w:after="0" w:line="237" w:lineRule="auto"/>
        <w:rPr>
          <w:sz w:val="20"/>
          <w:szCs w:val="20"/>
          <w:color w:val="auto"/>
        </w:rPr>
      </w:pPr>
      <w:r>
        <w:rPr>
          <w:rFonts w:ascii="Arial" w:cs="Arial" w:eastAsia="Arial" w:hAnsi="Arial"/>
          <w:sz w:val="18"/>
          <w:szCs w:val="18"/>
          <w:color w:val="auto"/>
        </w:rPr>
        <w:t>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may terminate the Merger Agreement at any time prior to the Effective Time as follows:</w:t>
      </w:r>
    </w:p>
    <w:p>
      <w:pPr>
        <w:spacing w:after="0" w:line="239" w:lineRule="exact"/>
        <w:rPr>
          <w:sz w:val="20"/>
          <w:szCs w:val="20"/>
          <w:color w:val="auto"/>
        </w:rPr>
      </w:pPr>
    </w:p>
    <w:p>
      <w:pPr>
        <w:ind w:left="1100" w:right="80" w:hanging="407"/>
        <w:spacing w:after="0" w:line="218"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Board or any committee thereof shall have made an OncoMed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1100" w:hanging="407"/>
        <w:spacing w:after="0" w:line="229"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1100" w:right="60" w:hanging="407"/>
        <w:spacing w:after="0" w:line="231"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Fees (page 171)</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 will be required to pay to Mereo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Mereo in the event that:</w:t>
      </w:r>
    </w:p>
    <w:p>
      <w:pPr>
        <w:spacing w:after="0" w:line="239" w:lineRule="exact"/>
        <w:rPr>
          <w:sz w:val="20"/>
          <w:szCs w:val="20"/>
          <w:color w:val="auto"/>
        </w:rPr>
      </w:pPr>
    </w:p>
    <w:p>
      <w:pPr>
        <w:ind w:left="1100" w:right="140" w:hanging="407"/>
        <w:spacing w:after="0" w:line="228" w:lineRule="auto"/>
        <w:tabs>
          <w:tab w:leader="none" w:pos="11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was not obtained after OncoMed stockholders voted at the OncoMed Special Meeting, where the failure to obtain the OncoMed Stockholder Approval was not caused by the action or failure to act of OncoMed and such action or failure to act did not constitute a material breach by OncoMed of the Merger Agreement, and within twelve months after the date of such termination, OncoMed enters into a definitive agreement with respect to a subsequent transaction or consummates a subsequent transaction;</w:t>
      </w:r>
    </w:p>
    <w:p>
      <w:pPr>
        <w:spacing w:after="0" w:line="26" w:lineRule="exact"/>
        <w:rPr>
          <w:rFonts w:ascii="MS PGothic" w:cs="MS PGothic" w:eastAsia="MS PGothic" w:hAnsi="MS PGothic"/>
          <w:sz w:val="25"/>
          <w:szCs w:val="25"/>
          <w:color w:val="auto"/>
          <w:vertAlign w:val="superscript"/>
        </w:rPr>
      </w:pPr>
    </w:p>
    <w:p>
      <w:pPr>
        <w:ind w:left="1100" w:right="260" w:hanging="407"/>
        <w:spacing w:after="0" w:line="211" w:lineRule="auto"/>
        <w:tabs>
          <w:tab w:leader="none" w:pos="11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OncoMed Stockholder Approval, an acquisition proposal with respect to OncoMed has been publicly announced, disclosed or otherwise communicated to the OncoMed Board (and has not been withdrawn), and if</w:t>
      </w:r>
    </w:p>
    <w:p>
      <w:pPr>
        <w:ind w:left="11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74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48748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auto"/>
        </w:rPr>
        <w:t>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permitted by the Merger Agreement or any action required to be taken by OncoMed pursuant to the DGCL); or</w:t>
      </w:r>
    </w:p>
    <w:p>
      <w:pPr>
        <w:spacing w:after="0" w:line="27" w:lineRule="exact"/>
        <w:rPr>
          <w:sz w:val="20"/>
          <w:szCs w:val="20"/>
          <w:color w:val="auto"/>
        </w:rPr>
      </w:pPr>
    </w:p>
    <w:p>
      <w:pPr>
        <w:ind w:left="1100" w:right="60" w:hanging="407"/>
        <w:spacing w:after="0" w:line="231" w:lineRule="auto"/>
        <w:tabs>
          <w:tab w:leader="none" w:pos="11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380" w:right="40" w:firstLine="320"/>
        <w:spacing w:after="0" w:line="261" w:lineRule="auto"/>
        <w:rPr>
          <w:sz w:val="20"/>
          <w:szCs w:val="20"/>
          <w:color w:val="auto"/>
        </w:rPr>
      </w:pPr>
      <w:r>
        <w:rPr>
          <w:rFonts w:ascii="Arial" w:cs="Arial" w:eastAsia="Arial" w:hAnsi="Arial"/>
          <w:sz w:val="17"/>
          <w:szCs w:val="17"/>
          <w:color w:val="auto"/>
        </w:rPr>
        <w:t>In addition to the payment of the termination fee, OncoMed shall reimburse Mereo for all reasonable out-of-pocket fees and expenses incurred by Mereo in connection with the Merger Agreement and the transactions contemplated by the Merger Agreement up to a maximum of $750,000 (subject to any adjustments for VAT) if the Merger Agreement is terminated by Mereo in the event that:</w:t>
      </w:r>
    </w:p>
    <w:p>
      <w:pPr>
        <w:spacing w:after="0" w:line="213" w:lineRule="exact"/>
        <w:rPr>
          <w:sz w:val="20"/>
          <w:szCs w:val="20"/>
          <w:color w:val="auto"/>
        </w:rPr>
      </w:pPr>
    </w:p>
    <w:p>
      <w:pPr>
        <w:ind w:left="1100" w:hanging="407"/>
        <w:spacing w:after="0" w:line="229" w:lineRule="auto"/>
        <w:tabs>
          <w:tab w:leader="none" w:pos="11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1100" w:right="60" w:hanging="407"/>
        <w:spacing w:after="0" w:line="231" w:lineRule="auto"/>
        <w:tabs>
          <w:tab w:leader="none" w:pos="11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52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Mereo or OncoMed in the event that:</w:t>
      </w:r>
    </w:p>
    <w:p>
      <w:pPr>
        <w:spacing w:after="0" w:line="239" w:lineRule="exact"/>
        <w:rPr>
          <w:sz w:val="20"/>
          <w:szCs w:val="20"/>
          <w:color w:val="auto"/>
        </w:rPr>
      </w:pPr>
    </w:p>
    <w:p>
      <w:pPr>
        <w:ind w:left="1100" w:right="80" w:hanging="407"/>
        <w:spacing w:after="0" w:line="228" w:lineRule="auto"/>
        <w:tabs>
          <w:tab w:leader="none" w:pos="110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Shareholder Approval, if necessary, was not obtained after Mereo shareholders voted at the Mereo Shareholder Meeting, where the failure to obtain the Mereo Shareholder Approval was not caused by the action or failure to act of Mereo and such action or failure to act did not constitute a material breach by Mereo of the Merger Agreement, and within twelve months after the date of such termination, Mereo enters into a definitive agreement with respect to a subsequent transaction or consummates a subsequent transaction.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OncoMed in the event that:</w:t>
      </w:r>
    </w:p>
    <w:p>
      <w:pPr>
        <w:spacing w:after="0" w:line="239" w:lineRule="exact"/>
        <w:rPr>
          <w:sz w:val="20"/>
          <w:szCs w:val="20"/>
          <w:color w:val="auto"/>
        </w:rPr>
      </w:pPr>
    </w:p>
    <w:p>
      <w:pPr>
        <w:ind w:left="1100" w:right="140" w:hanging="407"/>
        <w:spacing w:after="0" w:line="229" w:lineRule="auto"/>
        <w:tabs>
          <w:tab w:leader="none" w:pos="11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Mereo Shareholder Approval, an acquisition proposal with respect to Mereo has been publicly announced, disclosed or otherwise communicated to the Mereo Board (and has not been withdrawn), and 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1100" w:right="80" w:hanging="407"/>
        <w:spacing w:after="0" w:line="231" w:lineRule="auto"/>
        <w:tabs>
          <w:tab w:leader="none" w:pos="11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5"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In addition to the payment of the termination fee, Mereo shall reimburse OncoMed for all reasonable out-of-pocket fees and expenses incurred by OncoMed in connection with the Merger Agreement and the transactions contemplated by the Merger Agreement up to a maximum of $750,000 (subject to any adjustments for VAT) if the Merger Agreement is terminated by OncoMed in the event that:</w:t>
      </w:r>
    </w:p>
    <w:p>
      <w:pPr>
        <w:spacing w:after="0" w:line="229" w:lineRule="exact"/>
        <w:rPr>
          <w:sz w:val="20"/>
          <w:szCs w:val="20"/>
          <w:color w:val="auto"/>
        </w:rPr>
      </w:pPr>
    </w:p>
    <w:p>
      <w:pPr>
        <w:ind w:left="1100" w:hanging="407"/>
        <w:spacing w:after="0" w:line="228" w:lineRule="auto"/>
        <w:tabs>
          <w:tab w:leader="none" w:pos="110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66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2145" cy="45662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80" w:hanging="407"/>
        <w:spacing w:after="0" w:line="231" w:lineRule="auto"/>
        <w:tabs>
          <w:tab w:leader="none" w:pos="11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Considerations (page 283)</w:t>
      </w:r>
    </w:p>
    <w:p>
      <w:pPr>
        <w:spacing w:after="0" w:line="85"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to U.S. Holders (as defined in “Material U.S. Federal Income Tax Considerations”). Please carefully review the information under “Material U.S. Federal Income Tax Considerations” beginning on page 283 of this proxy statement/prospectus for a description of material U.S. federal income tax consequences of the Merger to U.S. Holders. The tax consequences to you will depend on your own situation. You are urged to consult your tax advisors as to the specific tax consequences to you of the Merger and your receipt of the Merger Consideration, including the applicability and effect of U.S. federal, state, local and non-U.S. income and other tax laws in light of your particular circumstances.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U.K. Tax Considerations (page 290)</w:t>
      </w:r>
    </w:p>
    <w:p>
      <w:pPr>
        <w:spacing w:after="0" w:line="85" w:lineRule="exact"/>
        <w:rPr>
          <w:sz w:val="20"/>
          <w:szCs w:val="20"/>
          <w:color w:val="auto"/>
        </w:rPr>
      </w:pPr>
    </w:p>
    <w:p>
      <w:pPr>
        <w:ind w:left="380" w:right="360" w:firstLine="320"/>
        <w:spacing w:after="0" w:line="246" w:lineRule="auto"/>
        <w:rPr>
          <w:sz w:val="20"/>
          <w:szCs w:val="20"/>
          <w:color w:val="auto"/>
        </w:rPr>
      </w:pPr>
      <w:r>
        <w:rPr>
          <w:rFonts w:ascii="Arial" w:cs="Arial" w:eastAsia="Arial" w:hAnsi="Arial"/>
          <w:sz w:val="18"/>
          <w:szCs w:val="18"/>
          <w:color w:val="auto"/>
        </w:rPr>
        <w:t>For a summary of the anticipated material U.K. tax considerations of ownership of Mereo ADSs, please see the section of this proxy statement/prospectus entitled “Material U.K. Tax Considerations.”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Shareholder Rights (page 315)</w:t>
      </w:r>
    </w:p>
    <w:p>
      <w:pPr>
        <w:spacing w:after="0" w:line="99" w:lineRule="exact"/>
        <w:rPr>
          <w:sz w:val="20"/>
          <w:szCs w:val="20"/>
          <w:color w:val="auto"/>
        </w:rPr>
      </w:pPr>
    </w:p>
    <w:p>
      <w:pPr>
        <w:ind w:left="380" w:firstLine="320"/>
        <w:spacing w:after="0" w:line="248" w:lineRule="auto"/>
        <w:rPr>
          <w:sz w:val="20"/>
          <w:szCs w:val="20"/>
          <w:color w:val="auto"/>
        </w:rPr>
      </w:pPr>
      <w:r>
        <w:rPr>
          <w:rFonts w:ascii="Arial" w:cs="Arial" w:eastAsia="Arial" w:hAnsi="Arial"/>
          <w:sz w:val="17"/>
          <w:szCs w:val="17"/>
          <w:color w:val="auto"/>
        </w:rPr>
        <w:t>As a result of the Merger, OncoMed stockholders will become holders of Mereo ADSs, and will have different rights as holders of Mereo ADSs than they had as holders of OncoMed common stock. The differences between the rights of these respective holders result from the differences among (1) English and Delaware law, (2) the respective governing documents of Mereo and OncoMed, and</w:t>
      </w:r>
    </w:p>
    <w:p>
      <w:pPr>
        <w:spacing w:after="0" w:line="2" w:lineRule="exact"/>
        <w:rPr>
          <w:sz w:val="20"/>
          <w:szCs w:val="20"/>
          <w:color w:val="auto"/>
        </w:rPr>
      </w:pPr>
    </w:p>
    <w:p>
      <w:pPr>
        <w:ind w:left="380" w:right="140" w:firstLine="2"/>
        <w:spacing w:after="0" w:line="239" w:lineRule="auto"/>
        <w:tabs>
          <w:tab w:leader="none" w:pos="6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deposit agreement among Citibank, Mereo and the holders and beneficial owners of Mereo ADSs. For additional information, see “Comparison of Shareholder Rights” and “Description of the Mereo ADSs.” For a copy of OncoMed’s current certificate of incorporation or bylaws, see “Where You Can Find More Information.” Mereo’s articles of association as of the date hereof are included as an exhibit to the registration statement of which this proxy statement/prospectus is a part.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INFORMATION OF MEREO</w:t>
      </w:r>
    </w:p>
    <w:p>
      <w:pPr>
        <w:spacing w:after="0" w:line="342" w:lineRule="exact"/>
        <w:rPr>
          <w:sz w:val="20"/>
          <w:szCs w:val="20"/>
          <w:color w:val="auto"/>
        </w:rPr>
      </w:pPr>
    </w:p>
    <w:p>
      <w:pPr>
        <w:ind w:left="200" w:right="100" w:firstLine="331"/>
        <w:spacing w:after="0" w:line="251" w:lineRule="auto"/>
        <w:rPr>
          <w:sz w:val="20"/>
          <w:szCs w:val="20"/>
          <w:color w:val="auto"/>
        </w:rPr>
      </w:pPr>
      <w:r>
        <w:rPr>
          <w:rFonts w:ascii="Arial" w:cs="Arial" w:eastAsia="Arial" w:hAnsi="Arial"/>
          <w:sz w:val="17"/>
          <w:szCs w:val="17"/>
          <w:color w:val="auto"/>
        </w:rPr>
        <w:t>You should read the following selected consolidated financial data together with the audited consolidated financial statements and the section titled “Management’s Discussion and Analysis of Financial Condition and Results of Operations.” Mereo derived the consolidated statement of comprehensive loss data for the years ended December 31, 2016 and 2017 and the consolidated balance sheet data as of December 31, 2016 and 2017 from its consolidated financial statements included elsewhere in this proxy statement/prospectus. Mereo derived the unaudited consolidated interim statement of comprehensive loss data for the periods ended June 30, 2017 and 2018 and the unaudited consolidated interim balance sheet data as of June 30, 2018 from its unaudited consolidated interim financial statements included elsewhere in this proxy statement/prospectus, which have been prepared on the same basis as the audited financial statements. In the opinion of Mereo’s management, the unaudited financial statements reflect all adjustments, consisting only of normal recurring adjustments, necessary for a fair presentation of the financial information in those statements. Mereo’s historical results are not necessarily indicative of the results that should be expected in any future period, and results for the six months ended June 30, 2018 are not necessarily indicative of the results to be expected for the full year ending December 31, 2018 or any other future period.</w:t>
      </w:r>
    </w:p>
    <w:p>
      <w:pPr>
        <w:spacing w:after="0" w:line="196"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Mereo maintains its books and records in pound sterling, and prepares its financial statements in accordance with IFRS as issued by the IASB. Mereo reports its financial results in pound sterling. For the convenience of the reader, Mereo has translated pound sterling amounts in the tables below into U.S. dollars at the noon buying rate of the Federal Reserve Bank of New York on June 29, 2018, which was £1.00 to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gridSpan w:val="9"/>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8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Consolidated Statement of Comprehensive</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Data:</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(24,563)</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(32,415)</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(34,607)</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(45,670)</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(21,407)</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(28,250)</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(10,864)</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(14,338)</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(11,617)</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(15,331)</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(10,697)</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(14,117)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(5,041)</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(6,652)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(7,102)</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(9,372)</w:t>
            </w:r>
          </w:p>
        </w:tc>
      </w:tr>
      <w:tr>
        <w:trPr>
          <w:trHeight w:val="20"/>
        </w:trPr>
        <w:tc>
          <w:tcPr>
            <w:tcW w:w="39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(36,180)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(47,746)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(45,304)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(59,787)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(26,448)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(34,902)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(17,966)</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(23,710)</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(237)</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(1,438)</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(1,587)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(2,095)</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2,986</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(1,384)</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(1,827)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(1,040)</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(1,373)</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7"/>
                <w:szCs w:val="17"/>
                <w:color w:val="auto"/>
              </w:rPr>
            </w:pPr>
          </w:p>
        </w:tc>
      </w:tr>
      <w:tr>
        <w:trPr>
          <w:trHeight w:val="20"/>
        </w:trPr>
        <w:tc>
          <w:tcPr>
            <w:tcW w:w="39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Net loss before tax</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(33,722)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(44,502)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(46,951)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(61,961)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(27,288)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(36,012)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(25,540)</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7,036</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10,758</w:t>
            </w:r>
          </w:p>
        </w:tc>
        <w:tc>
          <w:tcPr>
            <w:tcW w:w="2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5,999</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2,365</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1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5"/>
                <w:szCs w:val="15"/>
                <w:color w:val="auto"/>
              </w:rPr>
            </w:pPr>
          </w:p>
        </w:tc>
        <w:tc>
          <w:tcPr>
            <w:tcW w:w="2840" w:type="dxa"/>
            <w:vAlign w:val="bottom"/>
            <w:gridSpan w:val="1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7"/>
          </w:tcPr>
          <w:p>
            <w:pPr>
              <w:jc w:val="right"/>
              <w:ind w:right="54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48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w w:val="81"/>
              </w:rPr>
              <w:t>(£)</w:t>
            </w: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16"/>
          </w:tcPr>
          <w:p>
            <w:pPr>
              <w:jc w:val="center"/>
              <w:ind w:right="8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9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(28,391)</w:t>
            </w: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(37,466)</w:t>
            </w:r>
          </w:p>
        </w:tc>
        <w:tc>
          <w:tcPr>
            <w:tcW w:w="9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(38,799)</w:t>
            </w: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(51,203)</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8"/>
              </w:rPr>
              <w:t>(22,742)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(30,013)</w:t>
            </w:r>
          </w:p>
        </w:tc>
        <w:tc>
          <w:tcPr>
            <w:tcW w:w="9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(16,988)</w:t>
            </w:r>
          </w:p>
        </w:tc>
        <w:tc>
          <w:tcPr>
            <w:tcW w:w="9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(22,419)</w:t>
            </w:r>
          </w:p>
        </w:tc>
      </w:tr>
      <w:tr>
        <w:trPr>
          <w:trHeight w:val="209"/>
        </w:trPr>
        <w:tc>
          <w:tcPr>
            <w:tcW w:w="3900" w:type="dxa"/>
            <w:vAlign w:val="bottom"/>
            <w:gridSpan w:val="2"/>
          </w:tcPr>
          <w:p>
            <w:pPr>
              <w:spacing w:after="0"/>
              <w:rPr>
                <w:sz w:val="20"/>
                <w:szCs w:val="20"/>
                <w:color w:val="auto"/>
              </w:rPr>
            </w:pPr>
            <w:r>
              <w:rPr>
                <w:rFonts w:ascii="Arial" w:cs="Arial" w:eastAsia="Arial" w:hAnsi="Arial"/>
                <w:sz w:val="18"/>
                <w:szCs w:val="18"/>
                <w:color w:val="auto"/>
              </w:rPr>
              <w:t>Total comprehensive loss attributable to equity</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holders of Mereo</w:t>
            </w:r>
          </w:p>
        </w:tc>
        <w:tc>
          <w:tcPr>
            <w:tcW w:w="900" w:type="dxa"/>
            <w:vAlign w:val="bottom"/>
            <w:gridSpan w:val="3"/>
          </w:tcPr>
          <w:p>
            <w:pPr>
              <w:jc w:val="right"/>
              <w:ind w:right="108"/>
              <w:spacing w:after="0" w:line="203" w:lineRule="exact"/>
              <w:rPr>
                <w:sz w:val="20"/>
                <w:szCs w:val="20"/>
                <w:color w:val="auto"/>
              </w:rPr>
            </w:pPr>
            <w:r>
              <w:rPr>
                <w:rFonts w:ascii="Arial" w:cs="Arial" w:eastAsia="Arial" w:hAnsi="Arial"/>
                <w:sz w:val="18"/>
                <w:szCs w:val="18"/>
                <w:color w:val="auto"/>
              </w:rPr>
              <w:t>(28,391)</w:t>
            </w:r>
          </w:p>
        </w:tc>
        <w:tc>
          <w:tcPr>
            <w:tcW w:w="40" w:type="dxa"/>
            <w:vAlign w:val="bottom"/>
          </w:tcPr>
          <w:p>
            <w:pPr>
              <w:spacing w:after="0"/>
              <w:rPr>
                <w:sz w:val="17"/>
                <w:szCs w:val="17"/>
                <w:color w:val="auto"/>
              </w:rPr>
            </w:pPr>
          </w:p>
        </w:tc>
        <w:tc>
          <w:tcPr>
            <w:tcW w:w="7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(37,466)</w:t>
            </w:r>
          </w:p>
        </w:tc>
        <w:tc>
          <w:tcPr>
            <w:tcW w:w="90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(38,799)</w:t>
            </w:r>
          </w:p>
        </w:tc>
        <w:tc>
          <w:tcPr>
            <w:tcW w:w="1080" w:type="dxa"/>
            <w:vAlign w:val="bottom"/>
            <w:gridSpan w:val="3"/>
          </w:tcPr>
          <w:p>
            <w:pPr>
              <w:jc w:val="right"/>
              <w:ind w:right="180"/>
              <w:spacing w:after="0" w:line="203" w:lineRule="exact"/>
              <w:rPr>
                <w:sz w:val="20"/>
                <w:szCs w:val="20"/>
                <w:color w:val="auto"/>
              </w:rPr>
            </w:pPr>
            <w:r>
              <w:rPr>
                <w:rFonts w:ascii="Arial" w:cs="Arial" w:eastAsia="Arial" w:hAnsi="Arial"/>
                <w:sz w:val="18"/>
                <w:szCs w:val="18"/>
                <w:color w:val="auto"/>
              </w:rPr>
              <w:t>(51,203)</w:t>
            </w:r>
          </w:p>
        </w:tc>
        <w:tc>
          <w:tcPr>
            <w:tcW w:w="40" w:type="dxa"/>
            <w:vAlign w:val="bottom"/>
          </w:tcPr>
          <w:p>
            <w:pPr>
              <w:spacing w:after="0"/>
              <w:rPr>
                <w:sz w:val="17"/>
                <w:szCs w:val="17"/>
                <w:color w:val="auto"/>
              </w:rPr>
            </w:pPr>
          </w:p>
        </w:tc>
        <w:tc>
          <w:tcPr>
            <w:tcW w:w="7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w w:val="98"/>
              </w:rPr>
              <w:t>(22,742)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w w:val="98"/>
              </w:rPr>
              <w:t>(30,013)</w:t>
            </w:r>
          </w:p>
        </w:tc>
        <w:tc>
          <w:tcPr>
            <w:tcW w:w="9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(16,988)</w:t>
            </w:r>
          </w:p>
        </w:tc>
        <w:tc>
          <w:tcPr>
            <w:tcW w:w="960" w:type="dxa"/>
            <w:vAlign w:val="bottom"/>
            <w:gridSpan w:val="4"/>
          </w:tcPr>
          <w:p>
            <w:pPr>
              <w:jc w:val="right"/>
              <w:ind w:right="80"/>
              <w:spacing w:after="0" w:line="203" w:lineRule="exact"/>
              <w:rPr>
                <w:sz w:val="20"/>
                <w:szCs w:val="20"/>
                <w:color w:val="auto"/>
              </w:rPr>
            </w:pPr>
            <w:r>
              <w:rPr>
                <w:rFonts w:ascii="Arial" w:cs="Arial" w:eastAsia="Arial" w:hAnsi="Arial"/>
                <w:sz w:val="18"/>
                <w:szCs w:val="18"/>
                <w:color w:val="auto"/>
              </w:rPr>
              <w:t>(22,419)</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per share</w:t>
            </w:r>
          </w:p>
        </w:tc>
        <w:tc>
          <w:tcPr>
            <w:tcW w:w="900" w:type="dxa"/>
            <w:vAlign w:val="bottom"/>
            <w:gridSpan w:val="3"/>
            <w:shd w:val="clear" w:color="auto" w:fill="CCEEFF"/>
          </w:tcPr>
          <w:p>
            <w:pPr>
              <w:jc w:val="right"/>
              <w:ind w:right="108"/>
              <w:spacing w:after="0" w:line="196" w:lineRule="exact"/>
              <w:rPr>
                <w:sz w:val="20"/>
                <w:szCs w:val="20"/>
                <w:color w:val="auto"/>
              </w:rPr>
            </w:pPr>
            <w:r>
              <w:rPr>
                <w:rFonts w:ascii="Arial" w:cs="Arial" w:eastAsia="Arial" w:hAnsi="Arial"/>
                <w:sz w:val="18"/>
                <w:szCs w:val="18"/>
                <w:color w:val="auto"/>
              </w:rPr>
              <w:t>(0.63)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9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08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(0.24)</w:t>
            </w:r>
          </w:p>
        </w:tc>
        <w:tc>
          <w:tcPr>
            <w:tcW w:w="9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(0.32)</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As of June 30,</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7"/>
          </w:tcPr>
          <w:p>
            <w:pPr>
              <w:jc w:val="center"/>
              <w:ind w:right="26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Sheets Data:</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Cash and short-term deposits and short-term</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investments</w:t>
            </w: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53,578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70,706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52,545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69,343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5"/>
          </w:tcPr>
          <w:p>
            <w:pPr>
              <w:jc w:val="right"/>
              <w:ind w:right="60"/>
              <w:spacing w:after="0" w:line="203" w:lineRule="exact"/>
              <w:rPr>
                <w:sz w:val="20"/>
                <w:szCs w:val="20"/>
                <w:color w:val="auto"/>
              </w:rPr>
            </w:pPr>
            <w:r>
              <w:rPr>
                <w:rFonts w:ascii="Arial" w:cs="Arial" w:eastAsia="Arial" w:hAnsi="Arial"/>
                <w:sz w:val="18"/>
                <w:szCs w:val="18"/>
                <w:color w:val="auto"/>
              </w:rPr>
              <w:t>36,912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48,713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86,765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114,504</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96,335</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127,133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82,082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108,324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213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99,975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131,938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w w:val="98"/>
              </w:rPr>
              <w:t>118,227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156,024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118,370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156,212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(40,579)</w:t>
            </w:r>
          </w:p>
        </w:tc>
        <w:tc>
          <w:tcPr>
            <w:tcW w:w="180" w:type="dxa"/>
            <w:vAlign w:val="bottom"/>
          </w:tcPr>
          <w:p>
            <w:pPr>
              <w:spacing w:after="0"/>
              <w:rPr>
                <w:sz w:val="17"/>
                <w:szCs w:val="17"/>
                <w:color w:val="auto"/>
              </w:rPr>
            </w:pPr>
          </w:p>
        </w:tc>
        <w:tc>
          <w:tcPr>
            <w:tcW w:w="1360" w:type="dxa"/>
            <w:vAlign w:val="bottom"/>
            <w:gridSpan w:val="5"/>
          </w:tcPr>
          <w:p>
            <w:pPr>
              <w:jc w:val="right"/>
              <w:ind w:right="380"/>
              <w:spacing w:after="0" w:line="202" w:lineRule="exact"/>
              <w:rPr>
                <w:sz w:val="20"/>
                <w:szCs w:val="20"/>
                <w:color w:val="auto"/>
              </w:rPr>
            </w:pPr>
            <w:r>
              <w:rPr>
                <w:rFonts w:ascii="Arial" w:cs="Arial" w:eastAsia="Arial" w:hAnsi="Arial"/>
                <w:sz w:val="18"/>
                <w:szCs w:val="18"/>
                <w:color w:val="auto"/>
              </w:rPr>
              <w:t>(53,552)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(79,316)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(104,673)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(96,180)</w:t>
            </w:r>
          </w:p>
        </w:tc>
        <w:tc>
          <w:tcPr>
            <w:tcW w:w="13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(126,928)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79,257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104,595</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62,483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82,459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47,149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62,223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liabilities</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86,765(1)</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114,504(1)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96,335(2)</w:t>
            </w:r>
          </w:p>
        </w:tc>
        <w:tc>
          <w:tcPr>
            <w:tcW w:w="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127,134(2)</w:t>
            </w:r>
          </w:p>
        </w:tc>
        <w:tc>
          <w:tcPr>
            <w:tcW w:w="1380" w:type="dxa"/>
            <w:vAlign w:val="bottom"/>
            <w:gridSpan w:val="6"/>
          </w:tcPr>
          <w:p>
            <w:pPr>
              <w:jc w:val="right"/>
              <w:ind w:right="181"/>
              <w:spacing w:after="0"/>
              <w:rPr>
                <w:sz w:val="20"/>
                <w:szCs w:val="20"/>
                <w:color w:val="auto"/>
              </w:rPr>
            </w:pPr>
            <w:r>
              <w:rPr>
                <w:rFonts w:ascii="Arial" w:cs="Arial" w:eastAsia="Arial" w:hAnsi="Arial"/>
                <w:sz w:val="18"/>
                <w:szCs w:val="18"/>
                <w:color w:val="auto"/>
              </w:rPr>
              <w:t>34,933(2)</w:t>
            </w:r>
          </w:p>
        </w:tc>
        <w:tc>
          <w:tcPr>
            <w:tcW w:w="8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46,102(2)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380" w:hanging="316"/>
        <w:spacing w:after="0" w:line="24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£3.1 million ($4.1 million) aggregate principal amount of, and accrued interest on, the Novartis Notes. See “Related Party Transactions—Other Transactions with Novartis—Novartis Notes.”</w:t>
      </w:r>
    </w:p>
    <w:p>
      <w:pPr>
        <w:spacing w:after="0" w:line="21" w:lineRule="exact"/>
        <w:rPr>
          <w:rFonts w:ascii="Arial" w:cs="Arial" w:eastAsia="Arial" w:hAnsi="Arial"/>
          <w:sz w:val="18"/>
          <w:szCs w:val="18"/>
          <w:color w:val="auto"/>
        </w:rPr>
      </w:pPr>
    </w:p>
    <w:p>
      <w:pPr>
        <w:ind w:left="520" w:right="380" w:hanging="316"/>
        <w:spacing w:after="0" w:line="24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£2.0 million ($2.6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INFORMATION OF ONCOMED</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following table sets forth OncoMed’s selected historical financial data for the periods ended and as of the dates indicated. The statements of operations data for the fiscal years ended December 31, 2018, 2017 and 2016 and the balance sheet data as of December 31, 2018 and 2017 have been derived from OncoMed’s audited financial statements and related notes which are incorporated by reference into this proxy statement/prospectus. The statements of operations data for the fiscal years ended December 31, 2015 and 2014 and the balance sheet data as of December 31, 2016, 2015 and 2014 have been derived from OncoMed’s audited financial statements and related notes which are not incorporated by reference into this proxy statement/prospectus.</w:t>
      </w:r>
    </w:p>
    <w:p>
      <w:pPr>
        <w:spacing w:after="0" w:line="20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data presented below is only a summary and it is not necessarily indicative of future results, nor does it include the effects of the Merger. The selected historical financial statement data provided below is only a summary, and you should read it in conjunction with the section entitled “Management’s Discussion and Analysis of Financial Condition and Results of Operations” and the financial statements of OncoMed and the related notes contained in its Annual Report on Form 10-K for the year ended December 31, 2018 and the other information that OncoMed has previously filed with the SEC and which is incorporated into this proxy statement/prospectus by reference. See the section entitled “Where You Can Find More Information” beginning on page 335 of this proxy statement/prospectus.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Statements of Operations Data:</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Collaboration 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44,421</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36,016</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25,216</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39,559</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Other 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44,421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38,154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39,559</w:t>
            </w:r>
          </w:p>
        </w:tc>
        <w:tc>
          <w:tcPr>
            <w:tcW w:w="100" w:type="dxa"/>
            <w:vAlign w:val="bottom"/>
            <w:shd w:val="clear" w:color="auto" w:fill="CCEEFF"/>
          </w:tcPr>
          <w:p>
            <w:pPr>
              <w:spacing w:after="0"/>
              <w:rPr>
                <w:sz w:val="14"/>
                <w:szCs w:val="14"/>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109,713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92,873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76,430</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18,172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16,761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18,583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13,753</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charges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79,127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111,456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90,183</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(10,045)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(40,973)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(103,387)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(85,557)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(50,624)</w:t>
            </w: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color w:val="auto"/>
              </w:rPr>
              <w:t>Interest and other income (expense), net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(8,483)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(40,145)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(103,088)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(85,387)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(50,519)</w:t>
            </w: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(509)</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(103,102)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(50,010)</w:t>
            </w:r>
          </w:p>
        </w:tc>
      </w:tr>
      <w:tr>
        <w:trPr>
          <w:trHeight w:val="20"/>
        </w:trPr>
        <w:tc>
          <w:tcPr>
            <w:tcW w:w="4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80" w:type="dxa"/>
            <w:vAlign w:val="bottom"/>
            <w:gridSpan w:val="2"/>
          </w:tcPr>
          <w:p>
            <w:pPr>
              <w:spacing w:after="0" w:line="156" w:lineRule="exact"/>
              <w:rPr>
                <w:sz w:val="20"/>
                <w:szCs w:val="20"/>
                <w:color w:val="auto"/>
              </w:rPr>
            </w:pPr>
            <w:r>
              <w:rPr>
                <w:rFonts w:ascii="Arial" w:cs="Arial" w:eastAsia="Arial" w:hAnsi="Arial"/>
                <w:sz w:val="14"/>
                <w:szCs w:val="14"/>
                <w:color w:val="auto"/>
              </w:rPr>
              <w:t>Net loss per common share, basic and diluted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(0.21)</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(1.04)</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(3.14)</w:t>
            </w:r>
          </w:p>
        </w:tc>
        <w:tc>
          <w:tcPr>
            <w:tcW w:w="3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(2.84)</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(1.69)</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Shares used to compute net loss per common share, basic and diluted</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38,442,994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37,631,348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32,859,554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30,028,684</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29,664,326</w:t>
            </w:r>
          </w:p>
        </w:tc>
        <w:tc>
          <w:tcPr>
            <w:tcW w:w="10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Sheet Data:</w:t>
            </w:r>
          </w:p>
        </w:tc>
        <w:tc>
          <w:tcPr>
            <w:tcW w:w="2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Cash and short-term investments</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  57,345</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$ 103,091</w:t>
            </w: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$ 184,573</w:t>
            </w:r>
          </w:p>
        </w:tc>
        <w:tc>
          <w:tcPr>
            <w:tcW w:w="3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$ 157,279</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$ 231,966</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51,083</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12,073</w:t>
            </w: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133,730</w:t>
            </w:r>
          </w:p>
        </w:tc>
        <w:tc>
          <w:tcPr>
            <w:tcW w:w="3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178,614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202,264</w:t>
            </w:r>
          </w:p>
        </w:tc>
        <w:tc>
          <w:tcPr>
            <w:tcW w:w="100" w:type="dxa"/>
            <w:vAlign w:val="bottom"/>
            <w:shd w:val="clear" w:color="auto" w:fill="CCEEFF"/>
          </w:tcPr>
          <w:p>
            <w:pPr>
              <w:spacing w:after="0"/>
              <w:rPr>
                <w:sz w:val="14"/>
                <w:szCs w:val="14"/>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65,078</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110,322</w:t>
            </w: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195,482</w:t>
            </w:r>
          </w:p>
        </w:tc>
        <w:tc>
          <w:tcPr>
            <w:tcW w:w="3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237,887</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247,842</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(361,786)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(452,007)</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(412,945)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(309,843)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(224,436)</w:t>
            </w:r>
          </w:p>
        </w:tc>
      </w:tr>
      <w:tr>
        <w:trPr>
          <w:trHeight w:val="177"/>
        </w:trPr>
        <w:tc>
          <w:tcPr>
            <w:tcW w:w="3760" w:type="dxa"/>
            <w:vAlign w:val="bottom"/>
            <w:gridSpan w:val="2"/>
          </w:tcPr>
          <w:p>
            <w:pPr>
              <w:spacing w:after="0"/>
              <w:rPr>
                <w:sz w:val="20"/>
                <w:szCs w:val="20"/>
                <w:color w:val="auto"/>
              </w:rPr>
            </w:pPr>
            <w:r>
              <w:rPr>
                <w:rFonts w:ascii="Arial" w:cs="Arial" w:eastAsia="Arial" w:hAnsi="Arial"/>
                <w:sz w:val="14"/>
                <w:szCs w:val="14"/>
                <w:color w:val="auto"/>
              </w:rPr>
              <w:t>Total stockholders’ equity (deficit)</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48,231</w:t>
            </w:r>
          </w:p>
        </w:tc>
        <w:tc>
          <w:tcPr>
            <w:tcW w:w="2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(48,603)</w:t>
            </w:r>
          </w:p>
        </w:tc>
        <w:tc>
          <w:tcPr>
            <w:tcW w:w="1380" w:type="dxa"/>
            <w:vAlign w:val="bottom"/>
            <w:gridSpan w:val="3"/>
          </w:tcPr>
          <w:p>
            <w:pPr>
              <w:jc w:val="right"/>
              <w:ind w:right="320"/>
              <w:spacing w:after="0"/>
              <w:rPr>
                <w:sz w:val="20"/>
                <w:szCs w:val="20"/>
                <w:color w:val="auto"/>
              </w:rPr>
            </w:pPr>
            <w:r>
              <w:rPr>
                <w:rFonts w:ascii="Arial" w:cs="Arial" w:eastAsia="Arial" w:hAnsi="Arial"/>
                <w:sz w:val="14"/>
                <w:szCs w:val="14"/>
                <w:color w:val="auto"/>
              </w:rPr>
              <w:t>(23,028)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3,551</w:t>
            </w: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76,367</w:t>
            </w:r>
          </w:p>
        </w:tc>
        <w:tc>
          <w:tcPr>
            <w:tcW w:w="100" w:type="dxa"/>
            <w:vAlign w:val="bottom"/>
          </w:tcPr>
          <w:p>
            <w:pPr>
              <w:spacing w:after="0"/>
              <w:rPr>
                <w:sz w:val="15"/>
                <w:szCs w:val="15"/>
                <w:color w:val="auto"/>
              </w:rPr>
            </w:pPr>
          </w:p>
        </w:tc>
      </w:tr>
      <w:tr>
        <w:trPr>
          <w:trHeight w:val="35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40" w:type="dxa"/>
            <w:vAlign w:val="bottom"/>
          </w:tcPr>
          <w:p>
            <w:pPr>
              <w:jc w:val="right"/>
              <w:ind w:right="305"/>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342"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The following unaudited pro forma condensed consolidated financial information is comprised of (i) the unaudited pro forma condensed consolidated statement of operations for the year ended December 31, 2017, after giving effect to the Merger as if it had occurred on January 1, 2017, (ii) the unaudited pro forma condensed consolidated statement of operations for the six months ended June 30, 2018, after giving effect to the Merger as if it had occurred on January 1, 2017, and (iii) the unaudited pro forma condensed consolidated balance sheet as of June 30, 2018 as if the Merger had occurred on June 30, 2018 (together, the “Unaudited Pro Forma Condensed Consolidated Financial Information”).</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Unaudited Pro Forma Condensed Consolidated Financial Information has been prepared using the principles of the acquisition method of accounting in accordance with International Financial Reporting Standards (“IFRS”) as issued by the International Accounting Standards Board (“IASB”), and in particular IFRS 3 Business Combinations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208"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Pro forma adjustments reflected in the pro forma financial information are based on items that are factually supportable and directly attributable to the Merger; and with regards to the unaudited pro forma condensed consolidated statement of operations only, are expected to have a continuing impact on the consolidated entity.</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unaudited pro forma condensed consolidated statement of operations for the year ended December 31, 2017 has been prepared based on (i) the audited consolidated financial statements of Mereo as of and for the year ended December 31, 2017 and (ii) the audited consolidated financial statements of OncoMed as of and for year ended December 31, 2017, included in OncoMed’s Form 10-K for the year ended December 31, 2018, incorporated by reference in this prospectus.</w:t>
      </w:r>
    </w:p>
    <w:p>
      <w:pPr>
        <w:spacing w:after="0" w:line="202" w:lineRule="exact"/>
        <w:rPr>
          <w:sz w:val="20"/>
          <w:szCs w:val="20"/>
          <w:color w:val="auto"/>
        </w:rPr>
      </w:pPr>
    </w:p>
    <w:p>
      <w:pPr>
        <w:jc w:val="both"/>
        <w:ind w:left="200" w:right="160" w:firstLine="331"/>
        <w:spacing w:after="0" w:line="239" w:lineRule="auto"/>
        <w:rPr>
          <w:sz w:val="20"/>
          <w:szCs w:val="20"/>
          <w:color w:val="auto"/>
        </w:rPr>
      </w:pPr>
      <w:r>
        <w:rPr>
          <w:rFonts w:ascii="Arial" w:cs="Arial" w:eastAsia="Arial" w:hAnsi="Arial"/>
          <w:sz w:val="18"/>
          <w:szCs w:val="18"/>
          <w:color w:val="auto"/>
        </w:rPr>
        <w:t>The unaudited pro forma condensed consolidated financial information as of and for the six months ended June 30, 2018 has been prepared based on (i) the unaudited condensed consolidated financial statements of Mereo as of and for the six months ended June 30, 2018 and (ii) the unaudited condensed consolidated financial statements of OncoMed as of and for the six months ended June 30, 2018 incorporated by reference in this prospectus.</w:t>
      </w:r>
    </w:p>
    <w:p>
      <w:pPr>
        <w:spacing w:after="0" w:line="20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audited consolidated financial statements of Mereo as of and for the year ended December 31, 2017 were prepared in accordance with IFRS as issued by the IASB. The audited consolidated statement of operations for OncoMed for the year ended December 31, 2017 was prepared in accordance with accounting principles generally accepted in the United States of America (“US GAAP”) and for the purposes of the Unaudited Pro Forma Condensed Consolidated Financial Information, has been converted to IFRS as issued by the IASB on a basis consistent with the accounting policies and presentation adopted by Mereo.</w:t>
      </w:r>
    </w:p>
    <w:p>
      <w:pPr>
        <w:spacing w:after="0" w:line="20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The unaudited condensed consolidated financial statements for Mereo as of and for the six months ended June 30, 2018 were prepared in accordance with International Accounting Standards 34—Interim Financial Reporting (“IAS 34”). The unaudited condensed consolidated financial statements for OncoMed as of and for the six months ended June 30, 2018 were prepared in accordance with</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US GAAP and for the purposes of the Unaudited Pro Forma Condensed Consolidated Financial Information, have been converted to a basis consistent with the accounting policies and presentation adopted by Mereo as of and for the six months ended June 30, 2018 under IAS 34.</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As noted above, the Unaudited Pro Forma Condensed Consolidated Financial Information has been prepared using the acquisition method of accounting in accordance with IFRS 3, the accounting for the acquisition is dependent upon certain valuations that are preliminary and subject to change. Mereo will finalize amounts as it obtains the information necessary to complete the measurement processes. Accordingly, the pro forma adjustments are preliminary and have been made solely for the purposes of the Unaudited Pro Forma Condensed Consolidated Financial Information. Differences between these preliminary estimates and the final acquisition accounting may occur and these differences could be material. The differences, if any, could have a material impact on the accompanying Unaudited Pro Forma Condensed Consolidated Financial Information and Mereo’s future results of operations and financial position.</w:t>
      </w:r>
    </w:p>
    <w:p>
      <w:pPr>
        <w:spacing w:after="0" w:line="19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Unaudited Pro Forma Condensed Consolidated Financial Information has been prepared by Mereo’s management in accordance with SEC Regulation S-X Article 11 for illustrative purposes only. The Unaudited Pro Forma Condensed Consolidated Financial Information does not purport to represent what the actual results of operations of Mereo would have been had the Merger occurred on the respective dates assumed, nor is it indicative of the future results of the consolidated company. The unaudited pro forma condensed consolidated statement of operations for the year ended December 31, 2017 and the unaudited pro forma condensed consolidated statement of operations for the six months ended June 30, 2018 do not reflect any cost savings, operating synergies or revenue enhancements that the combined company may achieve as a result of the Merger. The pro forma adjustments reflected in the accompanying Unaudited Pro Forma Condensed Consolidated Financial Information reflect estimates and assumptions made by Mereo’s management that Mereo believes to be reasonable.</w:t>
      </w:r>
    </w:p>
    <w:p>
      <w:pPr>
        <w:spacing w:after="0" w:line="207"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The Unaudited Pro Forma Condensed Consolidated Financial Information should be read in conjunction with the information contained in “Risk Factors,” “Cautionary Statement Regarding Forward-Looking Statements,” “Selected Consolidated Financial Information of Mereo,” “Selected Consolidated Financial Information of OncoMed,” “Business of Mereo and Certain Information about Mereo,” and the consolidated financial statements of Mereo and OncoMed included elsewhere in this proxy statement/prospectus or incorporated by reference into this proxy statement/prospectus from OncoMed’s Annual Report on Form 10-K for the year ended December 31, 2017.</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Condensed Consolidated Statement of Operations for the Six Months Ended June 30,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Historical financial</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information</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IFRS</w:t>
            </w:r>
          </w:p>
        </w:tc>
        <w:tc>
          <w:tcPr>
            <w:tcW w:w="34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OncoMed</w:t>
            </w:r>
          </w:p>
        </w:tc>
        <w:tc>
          <w:tcPr>
            <w:tcW w:w="106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rPr>
              <w:t>Conversion</w:t>
            </w:r>
          </w:p>
        </w:tc>
        <w:tc>
          <w:tcPr>
            <w:tcW w:w="340" w:type="dxa"/>
            <w:vAlign w:val="bottom"/>
          </w:tcPr>
          <w:p>
            <w:pPr>
              <w:spacing w:after="0"/>
              <w:rPr>
                <w:sz w:val="14"/>
                <w:szCs w:val="14"/>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Mereo</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(Note 2)</w:t>
            </w:r>
          </w:p>
        </w:tc>
        <w:tc>
          <w:tcPr>
            <w:tcW w:w="26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(Note 3)</w:t>
            </w:r>
          </w:p>
        </w:tc>
        <w:tc>
          <w:tcPr>
            <w:tcW w:w="3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20" w:type="dxa"/>
            <w:vAlign w:val="bottom"/>
            <w:tcBorders>
              <w:top w:val="single" w:sz="8" w:color="auto"/>
            </w:tcBorders>
            <w:gridSpan w:val="16"/>
          </w:tcPr>
          <w:p>
            <w:pPr>
              <w:jc w:val="right"/>
              <w:ind w:right="740"/>
              <w:spacing w:after="0" w:line="155" w:lineRule="exact"/>
              <w:rPr>
                <w:sz w:val="20"/>
                <w:szCs w:val="20"/>
                <w:color w:val="auto"/>
              </w:rPr>
            </w:pPr>
            <w:r>
              <w:rPr>
                <w:rFonts w:ascii="Arial" w:cs="Arial" w:eastAsia="Arial" w:hAnsi="Arial"/>
                <w:sz w:val="14"/>
                <w:szCs w:val="14"/>
                <w:b w:val="1"/>
                <w:bCs w:val="1"/>
                <w:color w:val="auto"/>
              </w:rPr>
              <w:t>(GBP thousands, except for share information)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lef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10,694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(10,864)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(11,945)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5"/>
              </w:rPr>
              <w:t>(238)</w:t>
            </w:r>
          </w:p>
        </w:tc>
        <w:tc>
          <w:tcPr>
            <w:tcW w:w="14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(23,047)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(6,610)</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(270)</w:t>
            </w:r>
          </w:p>
        </w:tc>
        <w:tc>
          <w:tcPr>
            <w:tcW w:w="1420" w:type="dxa"/>
            <w:vAlign w:val="bottom"/>
            <w:tcBorders>
              <w:lef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profit/(loss)</w:t>
            </w:r>
          </w:p>
        </w:tc>
        <w:tc>
          <w:tcPr>
            <w:tcW w:w="3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(17,966)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(7,861)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(26,335)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lef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Finance charge</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Loss before tax</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(19,353)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(7,217)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(27,078)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(6,939)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and diluted loss per share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(0.24)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(0.18)</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tcBorders>
              <w:lef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23"/>
        </w:trPr>
        <w:tc>
          <w:tcPr>
            <w:tcW w:w="5640" w:type="dxa"/>
            <w:vAlign w:val="bottom"/>
            <w:gridSpan w:val="4"/>
          </w:tcPr>
          <w:p>
            <w:pPr>
              <w:spacing w:after="0"/>
              <w:rPr>
                <w:sz w:val="20"/>
                <w:szCs w:val="20"/>
                <w:color w:val="auto"/>
              </w:rPr>
            </w:pPr>
            <w:r>
              <w:rPr>
                <w:rFonts w:ascii="Arial" w:cs="Arial" w:eastAsia="Arial" w:hAnsi="Arial"/>
                <w:sz w:val="18"/>
                <w:szCs w:val="18"/>
                <w:color w:val="auto"/>
                <w:w w:val="99"/>
              </w:rPr>
              <w:t>Shares used to compute net loss per common share, basic and diluted</w:t>
            </w:r>
          </w:p>
        </w:tc>
        <w:tc>
          <w:tcPr>
            <w:tcW w:w="62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71,103,042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38,316,914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94,849,799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20" w:type="dxa"/>
            <w:vAlign w:val="bottom"/>
            <w:gridSpan w:val="18"/>
          </w:tcPr>
          <w:p>
            <w:pPr>
              <w:spacing w:after="0"/>
              <w:rPr>
                <w:sz w:val="20"/>
                <w:szCs w:val="20"/>
                <w:color w:val="auto"/>
              </w:rPr>
            </w:pPr>
            <w:r>
              <w:rPr>
                <w:rFonts w:ascii="Arial" w:cs="Arial" w:eastAsia="Arial" w:hAnsi="Arial"/>
                <w:sz w:val="18"/>
                <w:szCs w:val="18"/>
                <w:b w:val="1"/>
                <w:bCs w:val="1"/>
                <w:color w:val="auto"/>
              </w:rPr>
              <w:t>Unaudited Pro Forma Condensed Consolidated Statement of Operations for the Year Ended December 31, 2017</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Historical financial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information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4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IFRS</w:t>
            </w:r>
          </w:p>
        </w:tc>
        <w:tc>
          <w:tcPr>
            <w:tcW w:w="380" w:type="dxa"/>
            <w:vAlign w:val="bottom"/>
          </w:tcPr>
          <w:p>
            <w:pPr>
              <w:spacing w:after="0"/>
              <w:rPr>
                <w:sz w:val="14"/>
                <w:szCs w:val="14"/>
                <w:color w:val="auto"/>
              </w:rPr>
            </w:pPr>
          </w:p>
        </w:tc>
        <w:tc>
          <w:tcPr>
            <w:tcW w:w="1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Reclassification</w:t>
            </w:r>
          </w:p>
        </w:tc>
        <w:tc>
          <w:tcPr>
            <w:tcW w:w="3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OncoMed</w:t>
            </w: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and Conversion</w:t>
            </w:r>
          </w:p>
        </w:tc>
        <w:tc>
          <w:tcPr>
            <w:tcW w:w="3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Mereo</w:t>
            </w:r>
          </w:p>
        </w:tc>
        <w:tc>
          <w:tcPr>
            <w:tcW w:w="420" w:type="dxa"/>
            <w:vAlign w:val="bottom"/>
          </w:tcPr>
          <w:p>
            <w:pPr>
              <w:spacing w:after="0"/>
              <w:rPr>
                <w:sz w:val="15"/>
                <w:szCs w:val="15"/>
                <w:color w:val="auto"/>
              </w:rPr>
            </w:pPr>
          </w:p>
        </w:tc>
        <w:tc>
          <w:tcPr>
            <w:tcW w:w="112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(Note 2)</w:t>
            </w:r>
          </w:p>
        </w:tc>
        <w:tc>
          <w:tcPr>
            <w:tcW w:w="280" w:type="dxa"/>
            <w:vAlign w:val="bottom"/>
          </w:tcPr>
          <w:p>
            <w:pPr>
              <w:spacing w:after="0"/>
              <w:rPr>
                <w:sz w:val="15"/>
                <w:szCs w:val="15"/>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(Note 3)</w:t>
            </w:r>
          </w:p>
        </w:tc>
        <w:tc>
          <w:tcPr>
            <w:tcW w:w="380" w:type="dxa"/>
            <w:vAlign w:val="bottom"/>
          </w:tcPr>
          <w:p>
            <w:pPr>
              <w:spacing w:after="0"/>
              <w:rPr>
                <w:sz w:val="15"/>
                <w:szCs w:val="15"/>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gridSpan w:val="13"/>
          </w:tcPr>
          <w:p>
            <w:pPr>
              <w:jc w:val="right"/>
              <w:spacing w:after="0" w:line="155" w:lineRule="exact"/>
              <w:rPr>
                <w:sz w:val="20"/>
                <w:szCs w:val="20"/>
                <w:color w:val="auto"/>
              </w:rPr>
            </w:pPr>
            <w:r>
              <w:rPr>
                <w:rFonts w:ascii="Arial" w:cs="Arial" w:eastAsia="Arial" w:hAnsi="Arial"/>
                <w:sz w:val="14"/>
                <w:szCs w:val="14"/>
                <w:b w:val="1"/>
                <w:bCs w:val="1"/>
                <w:color w:val="auto"/>
              </w:rPr>
              <w:t>(GBP thousands, except for share information)</w:t>
            </w: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left w:val="single" w:sz="8" w:color="CCEEFF"/>
            </w:tcBorders>
            <w:gridSpan w:val="6"/>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29,599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(34,607)</w:t>
            </w:r>
          </w:p>
        </w:tc>
        <w:tc>
          <w:tcPr>
            <w:tcW w:w="1540" w:type="dxa"/>
            <w:vAlign w:val="bottom"/>
            <w:gridSpan w:val="6"/>
          </w:tcPr>
          <w:p>
            <w:pPr>
              <w:jc w:val="right"/>
              <w:ind w:right="28"/>
              <w:spacing w:after="0" w:line="202" w:lineRule="exact"/>
              <w:rPr>
                <w:sz w:val="20"/>
                <w:szCs w:val="20"/>
                <w:color w:val="auto"/>
              </w:rPr>
            </w:pPr>
            <w:r>
              <w:rPr>
                <w:rFonts w:ascii="Arial" w:cs="Arial" w:eastAsia="Arial" w:hAnsi="Arial"/>
                <w:sz w:val="18"/>
                <w:szCs w:val="18"/>
                <w:color w:val="auto"/>
              </w:rPr>
              <w:t>(46,422)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(2,890)</w:t>
            </w:r>
          </w:p>
        </w:tc>
        <w:tc>
          <w:tcPr>
            <w:tcW w:w="380" w:type="dxa"/>
            <w:vAlign w:val="bottom"/>
          </w:tcPr>
          <w:p>
            <w:pPr>
              <w:spacing w:after="0"/>
              <w:rPr>
                <w:sz w:val="17"/>
                <w:szCs w:val="17"/>
                <w:color w:val="auto"/>
              </w:rPr>
            </w:pP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(83,919)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(10,697)</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(13,003)</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(2,678)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20" w:type="dxa"/>
            <w:vAlign w:val="bottom"/>
            <w:gridSpan w:val="5"/>
          </w:tcPr>
          <w:p>
            <w:pPr>
              <w:jc w:val="right"/>
              <w:ind w:right="28"/>
              <w:spacing w:after="0" w:line="202" w:lineRule="exact"/>
              <w:rPr>
                <w:sz w:val="20"/>
                <w:szCs w:val="20"/>
                <w:color w:val="auto"/>
              </w:rPr>
            </w:pPr>
            <w:r>
              <w:rPr>
                <w:rFonts w:ascii="Arial" w:cs="Arial" w:eastAsia="Arial" w:hAnsi="Arial"/>
                <w:sz w:val="18"/>
                <w:szCs w:val="18"/>
                <w:color w:val="auto"/>
              </w:rPr>
              <w:t>(1,960)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1,960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profit/(loss)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(45,304)</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(31,786)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(80,698)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642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c>
          <w:tcPr>
            <w:tcW w:w="42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Net foreign exchange loss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(1,384)</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(46,951)</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(31,144)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(81,703)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8,152</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840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8,992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(38,799)</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(30,304)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(72,711)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3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420" w:type="dxa"/>
            <w:vAlign w:val="bottom"/>
          </w:tcPr>
          <w:p>
            <w:pPr>
              <w:spacing w:after="0"/>
              <w:rPr>
                <w:sz w:val="18"/>
                <w:szCs w:val="18"/>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(0.81)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to compute net loss per common share,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basic and diluted</w:t>
            </w:r>
          </w:p>
        </w:tc>
        <w:tc>
          <w:tcPr>
            <w:tcW w:w="9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69,012,348</w:t>
            </w:r>
          </w:p>
        </w:tc>
        <w:tc>
          <w:tcPr>
            <w:tcW w:w="1380" w:type="dxa"/>
            <w:vAlign w:val="bottom"/>
            <w:tcBorders>
              <w:left w:val="single" w:sz="8" w:color="CCEEFF"/>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37,631,348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92,759,105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Condensed Consolidated Balance Sheet as of June 30,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Historical financial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information</w:t>
            </w:r>
          </w:p>
        </w:tc>
        <w:tc>
          <w:tcPr>
            <w:tcW w:w="140" w:type="dxa"/>
            <w:vAlign w:val="bottom"/>
          </w:tcPr>
          <w:p>
            <w:pPr>
              <w:spacing w:after="0"/>
              <w:rPr>
                <w:sz w:val="15"/>
                <w:szCs w:val="15"/>
                <w:color w:val="auto"/>
              </w:rPr>
            </w:pPr>
          </w:p>
        </w:tc>
        <w:tc>
          <w:tcPr>
            <w:tcW w:w="24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Pro forma adjustments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Purchase</w:t>
            </w: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IFRS</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OncoMed</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Conversion</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Adjustements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(Note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(Note 2)</w:t>
            </w: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(Note 3)</w:t>
            </w:r>
          </w:p>
        </w:tc>
        <w:tc>
          <w:tcPr>
            <w:tcW w:w="1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(Note 4)</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5)</w:t>
            </w:r>
          </w:p>
        </w:tc>
        <w:tc>
          <w:tcPr>
            <w:tcW w:w="3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5"/>
          </w:tcPr>
          <w:p>
            <w:pPr>
              <w:jc w:val="right"/>
              <w:ind w:right="860"/>
              <w:spacing w:after="0" w:line="155" w:lineRule="exact"/>
              <w:rPr>
                <w:sz w:val="20"/>
                <w:szCs w:val="20"/>
                <w:color w:val="auto"/>
              </w:rPr>
            </w:pPr>
            <w:r>
              <w:rPr>
                <w:rFonts w:ascii="Arial" w:cs="Arial" w:eastAsia="Arial" w:hAnsi="Arial"/>
                <w:sz w:val="14"/>
                <w:szCs w:val="14"/>
                <w:b w:val="1"/>
                <w:bCs w:val="1"/>
                <w:color w:val="auto"/>
              </w:rPr>
              <w:t>(GBP thousands)</w:t>
            </w:r>
          </w:p>
        </w:tc>
        <w:tc>
          <w:tcPr>
            <w:tcW w:w="5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(439)</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32,690</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14,481</w:t>
            </w:r>
          </w:p>
        </w:tc>
        <w:tc>
          <w:tcPr>
            <w:tcW w:w="3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47,171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32,842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14,042</w:t>
            </w:r>
          </w:p>
        </w:tc>
        <w:tc>
          <w:tcPr>
            <w:tcW w:w="3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Prepayments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1,226</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tax credits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10,517</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Other receivables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Cash and short-term deposits</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34,412</w:t>
            </w:r>
          </w:p>
        </w:tc>
        <w:tc>
          <w:tcPr>
            <w:tcW w:w="3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49,240</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61,733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110,973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82,082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14,042</w:t>
            </w:r>
          </w:p>
        </w:tc>
        <w:tc>
          <w:tcPr>
            <w:tcW w:w="3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capital</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308,577</w:t>
            </w:r>
          </w:p>
        </w:tc>
        <w:tc>
          <w:tcPr>
            <w:tcW w:w="1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4,115</w:t>
            </w:r>
          </w:p>
        </w:tc>
        <w:tc>
          <w:tcPr>
            <w:tcW w:w="180" w:type="dxa"/>
            <w:vAlign w:val="bottom"/>
          </w:tcPr>
          <w:p>
            <w:pPr>
              <w:spacing w:after="0"/>
              <w:rPr>
                <w:sz w:val="17"/>
                <w:szCs w:val="17"/>
                <w:color w:val="auto"/>
              </w:rPr>
            </w:pP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(312,692)</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118,370</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39,823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17,746</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(275,241)</w:t>
            </w:r>
          </w:p>
        </w:tc>
        <w:tc>
          <w:tcPr>
            <w:tcW w:w="1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(4,115)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279,356</w:t>
            </w:r>
          </w:p>
        </w:tc>
        <w:tc>
          <w:tcPr>
            <w:tcW w:w="3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profit/(loss)</w:t>
            </w: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(96,180)</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22,664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(4,162)</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(77,721)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47,149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29,193</w:t>
            </w:r>
          </w:p>
        </w:tc>
        <w:tc>
          <w:tcPr>
            <w:tcW w:w="3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(4,162)</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15,261</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Deferred revenue less current portion</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(3,704)</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(2,895)</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w:t>
            </w:r>
          </w:p>
        </w:tc>
        <w:tc>
          <w:tcPr>
            <w:tcW w:w="3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20,789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(6,599)</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Deferred Revenue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(8,552)</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4,984</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5,644</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34,933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(15,151)</w:t>
            </w:r>
          </w:p>
        </w:tc>
        <w:tc>
          <w:tcPr>
            <w:tcW w:w="580" w:type="dxa"/>
            <w:vAlign w:val="bottom"/>
          </w:tcPr>
          <w:p>
            <w:pPr>
              <w:jc w:val="right"/>
              <w:spacing w:after="0"/>
              <w:rPr>
                <w:sz w:val="20"/>
                <w:szCs w:val="20"/>
                <w:color w:val="auto"/>
              </w:rPr>
            </w:pPr>
            <w:r>
              <w:rPr>
                <w:rFonts w:ascii="Arial" w:cs="Arial" w:eastAsia="Arial" w:hAnsi="Arial"/>
                <w:sz w:val="18"/>
                <w:szCs w:val="18"/>
                <w:color w:val="auto"/>
              </w:rPr>
              <w:t>4,162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82,082</w:t>
            </w:r>
          </w:p>
        </w:tc>
        <w:tc>
          <w:tcPr>
            <w:tcW w:w="34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14,042</w:t>
            </w:r>
          </w:p>
        </w:tc>
        <w:tc>
          <w:tcPr>
            <w:tcW w:w="32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161,222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Pro Forma Condensed Consolidated Financial Information</w:t>
      </w:r>
    </w:p>
    <w:p>
      <w:pPr>
        <w:spacing w:after="0" w:line="23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1.</w:t>
        <w:tab/>
        <w:t>Basis of presentation</w:t>
      </w:r>
    </w:p>
    <w:p>
      <w:pPr>
        <w:spacing w:after="0" w:line="99" w:lineRule="exact"/>
        <w:rPr>
          <w:sz w:val="20"/>
          <w:szCs w:val="20"/>
          <w:color w:val="auto"/>
        </w:rPr>
      </w:pPr>
    </w:p>
    <w:p>
      <w:pPr>
        <w:ind w:left="200" w:right="20" w:firstLine="331"/>
        <w:spacing w:after="0" w:line="253" w:lineRule="auto"/>
        <w:rPr>
          <w:sz w:val="20"/>
          <w:szCs w:val="20"/>
          <w:color w:val="auto"/>
        </w:rPr>
      </w:pPr>
      <w:r>
        <w:rPr>
          <w:rFonts w:ascii="Arial" w:cs="Arial" w:eastAsia="Arial" w:hAnsi="Arial"/>
          <w:sz w:val="17"/>
          <w:szCs w:val="17"/>
          <w:color w:val="auto"/>
        </w:rPr>
        <w:t>This Unaudited Pro Forma Condensed Consolidated Financial Information is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consolidated statement of operations for the six months ended June 30, 2018 and the unaudited pro forma condensed consolidated statement of operations for the year ended December 31, 2017 give effect to the Merger as if it had occurred on January 1, 2017. The unaudited pro forma condensed consolidated balance sheet as of June 30, 2018 gives effect to the Merger as if it had occurred on June 30, 2018.</w:t>
      </w:r>
    </w:p>
    <w:p>
      <w:pPr>
        <w:spacing w:after="0" w:line="2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7"/>
          <w:szCs w:val="17"/>
          <w:b w:val="1"/>
          <w:bCs w:val="1"/>
          <w:i w:val="1"/>
          <w:iCs w:val="1"/>
          <w:color w:val="auto"/>
        </w:rPr>
        <w:t>OncoMed’s financial information—Currency Adjustment</w:t>
      </w:r>
    </w:p>
    <w:p>
      <w:pPr>
        <w:spacing w:after="0" w:line="8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Consolidated Financial Information,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0" w:type="dxa"/>
            <w:vAlign w:val="bottom"/>
            <w:gridSpan w:val="2"/>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Average Exchange Rate from January 1, 2018 to June 30, 2018</w:t>
            </w:r>
          </w:p>
        </w:tc>
        <w:tc>
          <w:tcPr>
            <w:tcW w:w="2180" w:type="dxa"/>
            <w:vAlign w:val="bottom"/>
          </w:tcPr>
          <w:p>
            <w:pPr>
              <w:jc w:val="right"/>
              <w:spacing w:after="0"/>
              <w:rPr>
                <w:sz w:val="20"/>
                <w:szCs w:val="20"/>
                <w:color w:val="auto"/>
              </w:rPr>
            </w:pPr>
            <w:r>
              <w:rPr>
                <w:rFonts w:ascii="Arial" w:cs="Arial" w:eastAsia="Arial" w:hAnsi="Arial"/>
                <w:sz w:val="18"/>
                <w:szCs w:val="18"/>
                <w:color w:val="auto"/>
              </w:rPr>
              <w:t>1.37635</w:t>
            </w:r>
          </w:p>
        </w:tc>
      </w:tr>
      <w:tr>
        <w:trPr>
          <w:trHeight w:val="203"/>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Average Exchange Rate from January 1, 2017 to December 31, 2017</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1.28903</w:t>
            </w:r>
          </w:p>
        </w:tc>
      </w:tr>
      <w:tr>
        <w:trPr>
          <w:trHeight w:val="217"/>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7200" w:type="dxa"/>
            <w:vAlign w:val="bottom"/>
          </w:tcPr>
          <w:p>
            <w:pPr>
              <w:ind w:left="140"/>
              <w:spacing w:after="0"/>
              <w:rPr>
                <w:sz w:val="20"/>
                <w:szCs w:val="20"/>
                <w:color w:val="auto"/>
              </w:rPr>
            </w:pPr>
            <w:r>
              <w:rPr>
                <w:rFonts w:ascii="Arial" w:cs="Arial" w:eastAsia="Arial" w:hAnsi="Arial"/>
                <w:sz w:val="18"/>
                <w:szCs w:val="18"/>
                <w:color w:val="auto"/>
              </w:rPr>
              <w:t>Exchange Rate on June 30, 2018</w:t>
            </w:r>
          </w:p>
        </w:tc>
        <w:tc>
          <w:tcPr>
            <w:tcW w:w="2180" w:type="dxa"/>
            <w:vAlign w:val="bottom"/>
          </w:tcPr>
          <w:p>
            <w:pPr>
              <w:jc w:val="right"/>
              <w:spacing w:after="0"/>
              <w:rPr>
                <w:sz w:val="20"/>
                <w:szCs w:val="20"/>
                <w:color w:val="auto"/>
              </w:rPr>
            </w:pPr>
            <w:r>
              <w:rPr>
                <w:rFonts w:ascii="Arial" w:cs="Arial" w:eastAsia="Arial" w:hAnsi="Arial"/>
                <w:sz w:val="18"/>
                <w:szCs w:val="18"/>
                <w:color w:val="auto"/>
              </w:rPr>
              <w:t>1.31970</w:t>
            </w:r>
          </w:p>
        </w:tc>
      </w:tr>
    </w:tbl>
    <w:p>
      <w:pPr>
        <w:spacing w:after="0" w:line="207"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3.</w:t>
        <w:tab/>
        <w:t>OncoMed financial information—US GAAP to IFRS Adjustment and Reclassifications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Consolidated Financial Information, certain adjustments have been made to (i) reclassify the respective line items and financial captions of OncoMed to align with those used by Mereo (“Reclassifications”) and (ii) convert the financial information of OncoMed from US GAAP to IFRS (“IFRS Conversion Adjustments”). Reclassifications were identified in relation to restructuring expense to align to Mereo’s financial statement presentation and IFRS Conversion Adjustments were identified in relation to share-based payment accounting (as further explained below).</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Reclassifications</w:t>
      </w:r>
    </w:p>
    <w:p>
      <w:pPr>
        <w:spacing w:after="0" w:line="95" w:lineRule="exact"/>
        <w:rPr>
          <w:sz w:val="20"/>
          <w:szCs w:val="20"/>
          <w:color w:val="auto"/>
        </w:rPr>
      </w:pPr>
    </w:p>
    <w:p>
      <w:pPr>
        <w:ind w:left="200" w:right="40" w:firstLine="331"/>
        <w:spacing w:after="0" w:line="248" w:lineRule="auto"/>
        <w:rPr>
          <w:sz w:val="20"/>
          <w:szCs w:val="20"/>
          <w:color w:val="auto"/>
        </w:rPr>
      </w:pPr>
      <w:r>
        <w:rPr>
          <w:rFonts w:ascii="Arial" w:cs="Arial" w:eastAsia="Arial" w:hAnsi="Arial"/>
          <w:sz w:val="17"/>
          <w:szCs w:val="17"/>
          <w:color w:val="auto"/>
        </w:rPr>
        <w:t>OncoMed recorded restructuring costs for the year-ended December 31, 2017 as a single line in its statement of operations, however, to align to the functional presentation of Mereo’s statement of operations, an adjustment has been made to reclassify OncoMed’s</w:t>
      </w:r>
    </w:p>
    <w:p>
      <w:pPr>
        <w:spacing w:after="0" w:line="1" w:lineRule="exact"/>
        <w:rPr>
          <w:sz w:val="20"/>
          <w:szCs w:val="20"/>
          <w:color w:val="auto"/>
        </w:rPr>
      </w:pPr>
    </w:p>
    <w:p>
      <w:pPr>
        <w:ind w:left="200" w:right="660"/>
        <w:spacing w:after="0" w:line="246" w:lineRule="auto"/>
        <w:rPr>
          <w:sz w:val="20"/>
          <w:szCs w:val="20"/>
          <w:color w:val="auto"/>
        </w:rPr>
      </w:pPr>
      <w:r>
        <w:rPr>
          <w:rFonts w:ascii="Arial" w:cs="Arial" w:eastAsia="Arial" w:hAnsi="Arial"/>
          <w:sz w:val="18"/>
          <w:szCs w:val="18"/>
          <w:color w:val="auto"/>
        </w:rPr>
        <w:t>£2.0 million total expense from “Restructuring charges” to “Research and development” and “Administrative expenses” expense of £1.0 million and £1.0 million, respectively.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IFRS Conversion Adjustments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OncoMed has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requires that compensation expense be recorded to reflect the vesting as it occurs for each tranche/installment within the grant over the vesting period of that tranche/installment.</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Accordingly, £0.2 million of additional expense has been reflected in “Research and development expenses” and £0.3 million has been reflected in “Administrative expenses” in the unaudited pro forma condensed consolidated statement of operations for the six months ended June 30, 2018. £1.9 million has been reflected in “Research and development expenses” and £1.7 million has been reflected in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60"/>
        <w:spacing w:after="0"/>
        <w:rPr>
          <w:sz w:val="20"/>
          <w:szCs w:val="20"/>
          <w:color w:val="auto"/>
        </w:rPr>
      </w:pPr>
      <w:r>
        <w:rPr>
          <w:rFonts w:ascii="Arial" w:cs="Arial" w:eastAsia="Arial" w:hAnsi="Arial"/>
          <w:sz w:val="18"/>
          <w:szCs w:val="18"/>
          <w:color w:val="auto"/>
        </w:rPr>
        <w:t>“Administrative expenses” the unaudited pro forma condensed consolidated statement of operations for the year ended December 31, 2017. A corresponding adjustment of £4.1 million has been reflected in “Additional paid in capital” and “Accumulated deficit” within the unaudited pro forma condensed consolidated balance sheet as of June 30, 2018.</w:t>
      </w:r>
    </w:p>
    <w:p>
      <w:pPr>
        <w:spacing w:after="0" w:line="208"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7"/>
          <w:szCs w:val="17"/>
          <w:b w:val="1"/>
          <w:bCs w:val="1"/>
          <w:i w:val="1"/>
          <w:iCs w:val="1"/>
          <w:color w:val="auto"/>
        </w:rPr>
        <w:t>Acquisition Accounting</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unaudited pro forma financial information for the six months ended June 30, 2018 has been prepared on the basis that the Merger will be treated as a business combination in accordance with IFRS, under which the assets and liabilities of OncoMed will be recognized by Mereo at their respective fair values determined on a provisional basis as of the date the Merger is completed. The fair value adjustments, when finalized, may be material.</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Estimate of Consideration Expected to be Transferred in Connection with the Proposed Merger</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preliminary estimate of the consideration expected to be paid to effect the merger with OncoMed:</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Existing Mereo Share Capital on March 5, 2019 (75% ownership of the Combined Company)</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71,240,272</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Shares Expected to be Issued to OncoMed Stockholders (25%(1) ownership of the Combined Company)</w:t>
            </w: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23,746,757</w:t>
            </w:r>
          </w:p>
        </w:tc>
      </w:tr>
      <w:tr>
        <w:trPr>
          <w:trHeight w:val="27"/>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Expected Post Merger Shares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94,987,029</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Mereo Share Price on March 5, 2019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Expected to be Issued to OncoMed Stockholders (as above)</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23,746,757</w:t>
            </w:r>
          </w:p>
        </w:tc>
      </w:tr>
      <w:tr>
        <w:trPr>
          <w:trHeight w:val="20"/>
        </w:trPr>
        <w:tc>
          <w:tcPr>
            <w:tcW w:w="9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Expected Purchase Price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39,894,552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hanging="316"/>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Assuming no adjustment to the Exchange Ratio for the net cash held by OncoMed at the time of the closing of the Merger.</w:t>
      </w:r>
    </w:p>
    <w:p>
      <w:pPr>
        <w:spacing w:after="0" w:line="36" w:lineRule="exact"/>
        <w:rPr>
          <w:rFonts w:ascii="Arial" w:cs="Arial" w:eastAsia="Arial" w:hAnsi="Arial"/>
          <w:sz w:val="18"/>
          <w:szCs w:val="18"/>
          <w:color w:val="auto"/>
        </w:rPr>
      </w:pPr>
    </w:p>
    <w:p>
      <w:pPr>
        <w:ind w:left="960" w:right="180" w:hanging="432"/>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For the purposes of the Unaudited Pro forma Condensed Consolidated Financial Information, the fair value of share consideration to be transferred is estimated based on the Implied OncoMed Ownership and the closing price of Mereo of £1.68 per share (equivalent to £8.40 per Mereo ADS), as of March 5, 2019.</w:t>
      </w:r>
    </w:p>
    <w:p>
      <w:pPr>
        <w:spacing w:after="0" w:line="27" w:lineRule="exact"/>
        <w:rPr>
          <w:rFonts w:ascii="Arial" w:cs="Arial" w:eastAsia="Arial" w:hAnsi="Arial"/>
          <w:sz w:val="18"/>
          <w:szCs w:val="18"/>
          <w:color w:val="auto"/>
        </w:rPr>
      </w:pPr>
    </w:p>
    <w:p>
      <w:pPr>
        <w:ind w:left="960"/>
        <w:spacing w:after="0" w:line="236" w:lineRule="auto"/>
        <w:rPr>
          <w:rFonts w:ascii="Arial" w:cs="Arial" w:eastAsia="Arial" w:hAnsi="Arial"/>
          <w:sz w:val="18"/>
          <w:szCs w:val="18"/>
          <w:color w:val="auto"/>
        </w:rPr>
      </w:pPr>
      <w:r>
        <w:rPr>
          <w:rFonts w:ascii="Arial" w:cs="Arial" w:eastAsia="Arial" w:hAnsi="Arial"/>
          <w:sz w:val="18"/>
          <w:szCs w:val="18"/>
          <w:color w:val="auto"/>
        </w:rPr>
        <w:t>The estimated consideration for Mereo’s merger with OncoMed reflected in these Unaudited Pro Forma Condensed Consolidated Financial Information does not purport to represent the actual consideration when the proposed merger with OncoMed is consummated. As described beginning on page 151 of this proxy statement/prospectus, the Exchange Ratio will be adjusted based on the net cash held by OncoMed at the time of the closing of the Merger. Therefore, the actual number of Mereo ADSs to be received by OncoMed common stockholders will be unaffected by any increase or decrease in the share price of Mereo Shares between now and the closing of the Merger but instead, will be impacted by movements in net cash as at the closing date. An increase in OncoMed’s net cash balance by $2 million will result in an estimated purchase price of £40.9 million. A decrease in OncoMed’s net cash balance by $2 million will result in an estimated purchase price of £38.6 million. An increase or decrease in the estimated purchase price would result in an increase or decrease in the gain on acquisition reflected in this Unaudited Pro Forma Condensed Consolidated Financial Information.</w:t>
      </w:r>
    </w:p>
    <w:p>
      <w:pPr>
        <w:spacing w:after="0" w:line="30" w:lineRule="exact"/>
        <w:rPr>
          <w:rFonts w:ascii="Arial" w:cs="Arial" w:eastAsia="Arial" w:hAnsi="Arial"/>
          <w:sz w:val="18"/>
          <w:szCs w:val="18"/>
          <w:color w:val="auto"/>
        </w:rPr>
      </w:pPr>
    </w:p>
    <w:p>
      <w:pPr>
        <w:ind w:left="960" w:right="40"/>
        <w:spacing w:after="0" w:line="239" w:lineRule="auto"/>
        <w:rPr>
          <w:rFonts w:ascii="Arial" w:cs="Arial" w:eastAsia="Arial" w:hAnsi="Arial"/>
          <w:sz w:val="18"/>
          <w:szCs w:val="18"/>
          <w:color w:val="auto"/>
        </w:rPr>
      </w:pPr>
      <w:r>
        <w:rPr>
          <w:rFonts w:ascii="Arial" w:cs="Arial" w:eastAsia="Arial" w:hAnsi="Arial"/>
          <w:sz w:val="18"/>
          <w:szCs w:val="18"/>
          <w:color w:val="auto"/>
        </w:rPr>
        <w:t>Further, in accordance with IFRS 3, the fair value of equity securities issued as part of the consideration paid will be measured on the closing date of the combination at the then-current market price. This requirement will likely result in a per share equity component different from the £1.68 assumed in these Unaudited Pro Forma Condensed Consolidated Financial Information, and that difference may be material. An increase or decrease in the price per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260"/>
        <w:spacing w:after="0"/>
        <w:rPr>
          <w:sz w:val="20"/>
          <w:szCs w:val="20"/>
          <w:color w:val="auto"/>
        </w:rPr>
      </w:pPr>
      <w:r>
        <w:rPr>
          <w:rFonts w:ascii="Arial" w:cs="Arial" w:eastAsia="Arial" w:hAnsi="Arial"/>
          <w:sz w:val="18"/>
          <w:szCs w:val="18"/>
          <w:color w:val="auto"/>
        </w:rPr>
        <w:t>Mereo Share assumed in these Unaudited Pro Forma Condensed Consolidated Financial Information by 10% will increase or decrease the estimated purchase price by approximately £4.0 million, which would be reflected in these Unaudited Pro Forma Condensed Consolidated Financial Information as an increase or decrease in the gain on acquisition.</w:t>
      </w:r>
    </w:p>
    <w:p>
      <w:pPr>
        <w:spacing w:after="0" w:line="27" w:lineRule="exact"/>
        <w:rPr>
          <w:sz w:val="20"/>
          <w:szCs w:val="20"/>
          <w:color w:val="auto"/>
        </w:rPr>
      </w:pPr>
    </w:p>
    <w:p>
      <w:pPr>
        <w:ind w:left="960" w:hanging="432"/>
        <w:spacing w:after="0" w:line="23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OncoMed Options: As described beginning on page 154 of this proxy statement/prospectus, pursuant to the terms of the Merger Agreement, to the extent that an OncoMed Option is not exercised voluntarily through the day immediately preceding the Effective Time, such OncoMed Option will be automatically “net-exercised” immediately prior to the Effective Time. Further, each OncoMed Option that has a per-share exercise price that is higher than the Merger Consideration shall be cancelled at the Effective Time for no consideration. The estimate of Merger Consideration included in the Unaudited Pro Forma Condensed Consolidated Financial Information does not reflect the impact of any “net exercised” OncoMed options as the per-share exercise prices of such options are expected to be higher than the Merger Consideration, and thus expected to be cancelled at the Effective Time for no consideration and therefore no impact to the estimated purchase price.</w:t>
      </w:r>
    </w:p>
    <w:p>
      <w:pPr>
        <w:spacing w:after="0" w:line="32" w:lineRule="exact"/>
        <w:rPr>
          <w:rFonts w:ascii="Arial" w:cs="Arial" w:eastAsia="Arial" w:hAnsi="Arial"/>
          <w:sz w:val="18"/>
          <w:szCs w:val="18"/>
          <w:color w:val="auto"/>
        </w:rPr>
      </w:pPr>
    </w:p>
    <w:p>
      <w:pPr>
        <w:ind w:left="960" w:right="200" w:hanging="432"/>
        <w:spacing w:after="0" w:line="238"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OncoMed Units: Further, immediately prior to the Effective Time, each outstanding OncoMed Unit will be cancelled and the holders thereof will be entitled to receive, immediately prior to the Effective Time, the number of shares of OncoMed common stock that were subject to such OncoMed Units (with certain adjustments as described further beginning on page 155 of this proxy statement/prospectus) and such stockholders will thereafter be entitled to receive the Merger Consideration in respect of these shares of OncoMed common stock.</w:t>
      </w:r>
    </w:p>
    <w:p>
      <w:pPr>
        <w:spacing w:after="0" w:line="27" w:lineRule="exact"/>
        <w:rPr>
          <w:rFonts w:ascii="Arial" w:cs="Arial" w:eastAsia="Arial" w:hAnsi="Arial"/>
          <w:sz w:val="18"/>
          <w:szCs w:val="18"/>
          <w:color w:val="auto"/>
        </w:rPr>
      </w:pPr>
    </w:p>
    <w:p>
      <w:pPr>
        <w:ind w:left="960" w:right="160" w:hanging="432"/>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Fair value of CVRs: In addition to the Mereo ADSs consideration, each OncoMed shareholder will receive one contingent value right, as described beginning on page 175 of this proxy statement/prospectus.</w:t>
      </w:r>
    </w:p>
    <w:p>
      <w:pPr>
        <w:spacing w:after="0" w:line="21" w:lineRule="exact"/>
        <w:rPr>
          <w:rFonts w:ascii="Arial" w:cs="Arial" w:eastAsia="Arial" w:hAnsi="Arial"/>
          <w:sz w:val="18"/>
          <w:szCs w:val="18"/>
          <w:color w:val="auto"/>
        </w:rPr>
      </w:pPr>
    </w:p>
    <w:p>
      <w:pPr>
        <w:ind w:left="980"/>
        <w:spacing w:after="0" w:line="236" w:lineRule="auto"/>
        <w:rPr>
          <w:rFonts w:ascii="Arial" w:cs="Arial" w:eastAsia="Arial" w:hAnsi="Arial"/>
          <w:sz w:val="18"/>
          <w:szCs w:val="18"/>
          <w:color w:val="auto"/>
        </w:rPr>
      </w:pPr>
      <w:r>
        <w:rPr>
          <w:rFonts w:ascii="Arial" w:cs="Arial" w:eastAsia="Arial" w:hAnsi="Arial"/>
          <w:sz w:val="18"/>
          <w:szCs w:val="18"/>
          <w:color w:val="auto"/>
        </w:rPr>
        <w:t>After consideration of the significant inherent uncertainties related to such milestones, the preliminary fair value of the CVRs is expected to be minimal. Therefore, for the purposes of the Unaudited Pro Forma Condensed Consolidated Financial Information, the fair value of the CVRs is assumed to be £nil. In determining that the preliminary CVR fair value approximates nil, the following information and factors were considered: (i) the likelihood of Celgene exercising the exclusive option granted by OncoMed to Celgene in relation to OncoMed’s etigilimab product, particularly given Bristol-Myers Squibb’s proposed acquisition of Celgene, (ii) the uncertain outcomes of current clinical studies, (iii) the level of uncertainty regarding the availability of future funding partners, (iv) the level of uncertainty relating to the success of future development of such products, (v) the dependency of the CVR milestones on the occurrence of events that are outside of the control of Mereo and (vi) the separate OncoMed CVR Agreement described on page 2 of this proxy statement/prospectus.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Preliminary Purchase Price Allocation</w:t>
      </w:r>
    </w:p>
    <w:p>
      <w:pPr>
        <w:spacing w:after="0" w:line="9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following table sets forth a preliminary estimate of the fair value of the assets acquired and liabilities assumed by Mereo, reconciled to the total estimated consideration transferred, assuming the Merger occurred on June 30, 2018. Adjustments are recorded in the unaudited pro forma condensed consolidated balance sheet to record the assets acquired and liabilities assumed at their fair value as well as recognize a gain of £22.6 million in accordance with IFRS 3 (see Note 4(c) below for further information).</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9500" w:type="dxa"/>
            <w:vAlign w:val="bottom"/>
            <w:gridSpan w:val="2"/>
          </w:tcPr>
          <w:p>
            <w:pPr>
              <w:ind w:left="3400"/>
              <w:spacing w:after="0"/>
              <w:rPr>
                <w:sz w:val="20"/>
                <w:szCs w:val="20"/>
                <w:color w:val="auto"/>
              </w:rPr>
            </w:pPr>
            <w:r>
              <w:rPr>
                <w:rFonts w:ascii="Arial" w:cs="Arial" w:eastAsia="Arial" w:hAnsi="Arial"/>
                <w:sz w:val="14"/>
                <w:szCs w:val="14"/>
                <w:b w:val="1"/>
                <w:bCs w:val="1"/>
                <w:color w:val="auto"/>
              </w:rPr>
              <w:t>Preliminary Purchase Price Allocation</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‘000s</w:t>
            </w:r>
          </w:p>
        </w:tc>
      </w:tr>
      <w:tr>
        <w:trPr>
          <w:trHeight w:val="196"/>
        </w:trPr>
        <w:tc>
          <w:tcPr>
            <w:tcW w:w="9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equipment(ii)</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assets(i)</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14,481</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1,446</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Prepayments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1,131</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Short-term investments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52,516</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8,003</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revenue(iv)</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(11,080)</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 liability(iii)</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(743)</w:t>
            </w:r>
          </w:p>
        </w:tc>
      </w:tr>
      <w:tr>
        <w:trPr>
          <w:trHeight w:val="210"/>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Accruals</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(4,802)</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Acquired</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62,515</w:t>
            </w:r>
          </w:p>
        </w:tc>
        <w:tc>
          <w:tcPr>
            <w:tcW w:w="140" w:type="dxa"/>
            <w:vAlign w:val="bottom"/>
            <w:shd w:val="clear" w:color="auto" w:fill="CCEEFF"/>
          </w:tcPr>
          <w:p>
            <w:pPr>
              <w:spacing w:after="0"/>
              <w:rPr>
                <w:sz w:val="17"/>
                <w:szCs w:val="17"/>
                <w:color w:val="auto"/>
              </w:rPr>
            </w:pPr>
          </w:p>
        </w:tc>
      </w:tr>
      <w:tr>
        <w:trPr>
          <w:trHeight w:val="210"/>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39,895</w:t>
            </w:r>
          </w:p>
        </w:tc>
        <w:tc>
          <w:tcPr>
            <w:tcW w:w="140" w:type="dxa"/>
            <w:vAlign w:val="bottom"/>
          </w:tcPr>
          <w:p>
            <w:pPr>
              <w:spacing w:after="0"/>
              <w:rPr>
                <w:sz w:val="18"/>
                <w:szCs w:val="18"/>
                <w:color w:val="auto"/>
              </w:rPr>
            </w:pP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Gain on Acquisition</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22,620</w:t>
            </w:r>
          </w:p>
        </w:tc>
      </w:tr>
    </w:tbl>
    <w:p>
      <w:pPr>
        <w:spacing w:after="0" w:line="21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However, as described in 4(a) above, the Exchange Ratio used in computing the total expected purchase price is determined based on net cash of $38 million (representing the amount estimated to be outstanding at closing of the Merger). Accordingly, the table below provides supplemental information on the purchase price allocation based on an assumption of total net cash of $38 million (£28.8 million, translated at the June 30, 2018 spot rate in Note 2), consistent with the computation of the purchase price.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2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‘000s</w:t>
            </w:r>
          </w:p>
        </w:tc>
      </w:tr>
      <w:tr>
        <w:trPr>
          <w:trHeight w:val="196"/>
        </w:trPr>
        <w:tc>
          <w:tcPr>
            <w:tcW w:w="20" w:type="dxa"/>
            <w:vAlign w:val="bottom"/>
          </w:tcPr>
          <w:p>
            <w:pPr>
              <w:spacing w:after="0"/>
              <w:rPr>
                <w:sz w:val="17"/>
                <w:szCs w:val="17"/>
                <w:color w:val="auto"/>
              </w:rPr>
            </w:pPr>
          </w:p>
        </w:tc>
        <w:tc>
          <w:tcPr>
            <w:tcW w:w="10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Net Cash</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28,794</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Intangible assets(i)</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14,481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equipment(ii)</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Deferred revenue(iv)</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(11,080)</w:t>
            </w: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Deferred income tax liability(iii)</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Acquired</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33,675</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Consideration Paid</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Goodwill on Acquisition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6,220</w:t>
            </w:r>
          </w:p>
        </w:tc>
        <w:tc>
          <w:tcPr>
            <w:tcW w:w="1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520" w:right="20" w:hanging="316"/>
        <w:spacing w:after="0" w:line="239"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preliminary fair value estimate of £14.5 million has been assigned to in-process research and development (“IPR&amp;D”) projects acquired. The preliminary fair value of IPR&amp;D assets was determined primarily using the “income approach” and “market approach.” In assessing fair value, Mereo considered a potential market participant’s assessment of the highest and best use of the asset including whether the value would be derived through commercialization or sale.</w:t>
      </w:r>
    </w:p>
    <w:p>
      <w:pPr>
        <w:spacing w:after="0" w:line="26" w:lineRule="exact"/>
        <w:rPr>
          <w:rFonts w:ascii="Arial" w:cs="Arial" w:eastAsia="Arial" w:hAnsi="Arial"/>
          <w:sz w:val="18"/>
          <w:szCs w:val="18"/>
          <w:color w:val="auto"/>
        </w:rPr>
      </w:pPr>
    </w:p>
    <w:p>
      <w:pPr>
        <w:ind w:left="540" w:right="140"/>
        <w:spacing w:after="0"/>
        <w:rPr>
          <w:rFonts w:ascii="Arial" w:cs="Arial" w:eastAsia="Arial" w:hAnsi="Arial"/>
          <w:sz w:val="18"/>
          <w:szCs w:val="18"/>
          <w:color w:val="auto"/>
        </w:rPr>
      </w:pPr>
      <w:r>
        <w:rPr>
          <w:rFonts w:ascii="Arial" w:cs="Arial" w:eastAsia="Arial" w:hAnsi="Arial"/>
          <w:sz w:val="18"/>
          <w:szCs w:val="18"/>
          <w:color w:val="auto"/>
        </w:rPr>
        <w:t>For the IPR&amp;D assets valued using the income approach, which includes the programs under development, the methodology applied considers the fair value of an IPR&amp;D asset by reference to the present value of the probability-weighted expected cash flows arising under certain sale, out-licensing or commercialization scenarios, with a discount rate selected to appropriately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320"/>
        <w:spacing w:after="0" w:line="246" w:lineRule="auto"/>
        <w:rPr>
          <w:sz w:val="20"/>
          <w:szCs w:val="20"/>
          <w:color w:val="auto"/>
        </w:rPr>
      </w:pPr>
      <w:r>
        <w:rPr>
          <w:rFonts w:ascii="Arial" w:cs="Arial" w:eastAsia="Arial" w:hAnsi="Arial"/>
          <w:sz w:val="18"/>
          <w:szCs w:val="18"/>
          <w:color w:val="auto"/>
        </w:rPr>
        <w:t>consider the time value of money and the risks inherent in those forecasts. The income approach is based on the premise that the value of an asset is the present value of the future earning capacity that is available for distribution to investors in that asset.</w:t>
      </w:r>
    </w:p>
    <w:p>
      <w:pPr>
        <w:spacing w:after="0" w:line="21" w:lineRule="exact"/>
        <w:rPr>
          <w:sz w:val="20"/>
          <w:szCs w:val="20"/>
          <w:color w:val="auto"/>
        </w:rPr>
      </w:pPr>
    </w:p>
    <w:p>
      <w:pPr>
        <w:ind w:left="540" w:right="100"/>
        <w:spacing w:after="0"/>
        <w:rPr>
          <w:sz w:val="20"/>
          <w:szCs w:val="20"/>
          <w:color w:val="auto"/>
        </w:rPr>
      </w:pPr>
      <w:r>
        <w:rPr>
          <w:rFonts w:ascii="Arial" w:cs="Arial" w:eastAsia="Arial" w:hAnsi="Arial"/>
          <w:sz w:val="18"/>
          <w:szCs w:val="18"/>
          <w:color w:val="auto"/>
        </w:rPr>
        <w:t>For the IPR&amp;D assets valued using the market approach, in particular those where OncoMed has received an offer to purchase such assets, it has used the market price of those offers as a basis for determining the fair value of those IPR&amp;D assets. The market approach is based on the market price attainable for selling an asset to another market participant.</w:t>
      </w:r>
    </w:p>
    <w:p>
      <w:pPr>
        <w:spacing w:after="0" w:line="27" w:lineRule="exact"/>
        <w:rPr>
          <w:sz w:val="20"/>
          <w:szCs w:val="20"/>
          <w:color w:val="auto"/>
        </w:rPr>
      </w:pPr>
    </w:p>
    <w:p>
      <w:pPr>
        <w:ind w:left="540" w:right="60"/>
        <w:spacing w:after="0" w:line="238" w:lineRule="auto"/>
        <w:rPr>
          <w:sz w:val="20"/>
          <w:szCs w:val="20"/>
          <w:color w:val="auto"/>
        </w:rPr>
      </w:pPr>
      <w:r>
        <w:rPr>
          <w:rFonts w:ascii="Arial" w:cs="Arial" w:eastAsia="Arial" w:hAnsi="Arial"/>
          <w:sz w:val="18"/>
          <w:szCs w:val="18"/>
          <w:color w:val="auto"/>
        </w:rPr>
        <w:t>Acquired IPR&amp;D assets are classified as indefinite lived assets until the successful completion or abandonment of the associated research and development efforts. Accordingly, during the development period after the closing date of the Merger, the IPR&amp;D assets will not be amortized; instead they will be subject to periodic impairment testing. Upon successful completion of the development process for acquired IPR&amp;D projects, determination as to the useful life of the specific asset will be made; at that point in time, the asset will then be considered a finite lived intangible asset and Mereo will begin to amortize the asset into earnings.</w:t>
      </w:r>
    </w:p>
    <w:p>
      <w:pPr>
        <w:spacing w:after="0" w:line="14"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These preliminary estimates of fair value of the IPR&amp;D assets could potentially be different from those determined through the final acquisition accounting, and the difference could potentially have a material impact on the accompanying Unaudited Pro Forma Condensed Consolidated Financial Information. As Mereo obtains additional information in respect of the OncoMed intangible assets, additional insight could be gained which could impact (A) the estimated total value assigned to intangible assets, and/or (B) the estimated allocation of value between finite lived and indefinite lived intangible assets. The estimated intangible asset fair values and their useful lives could be impacted by a variety of factors that may become known to us only upon access to additional information and/or by changes in such factors that may occur prior to the effective time of the Merger. These factors include but are not limited to the regulatory, legislative, legal, technological and competitive environments. Increased knowledge about these and/or other elements could result in a change to the estimated fair value of the OncoMed’s intangible assets and/or to the estimated weighted average useful lives from that assumed by Mereo in these Unaudited Pro Forma Condensed Consolidated Financial Information.</w:t>
      </w:r>
    </w:p>
    <w:p>
      <w:pPr>
        <w:spacing w:after="0" w:line="31" w:lineRule="exact"/>
        <w:rPr>
          <w:sz w:val="20"/>
          <w:szCs w:val="20"/>
          <w:color w:val="auto"/>
        </w:rPr>
      </w:pPr>
    </w:p>
    <w:p>
      <w:pPr>
        <w:ind w:left="520" w:right="100" w:hanging="316"/>
        <w:spacing w:after="0" w:line="23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preliminary fair value estimate of £1.5 million has been assigned to property, plant and equipment to be acquired, primarily consisting of computer and lab equipment and furniture and fixtures. At the date of consummation of the Merger, property, plant and equipment is required to be measured at fair value, unless those assets are classified as held-for-sale on the closing date of the Merger. The acquired assets can include assets that are not intended to be used or sold, or that are intended to be used in a manner other than their highest and best use. Mereo has only limited information at this time as to the specific nature, age, condition or location of the property, plant and equipment. All of these factors can cause differences between the fair value and net book value, and such differences could be material.</w:t>
      </w:r>
    </w:p>
    <w:p>
      <w:pPr>
        <w:spacing w:after="0" w:line="27" w:lineRule="exact"/>
        <w:rPr>
          <w:rFonts w:ascii="Arial" w:cs="Arial" w:eastAsia="Arial" w:hAnsi="Arial"/>
          <w:sz w:val="18"/>
          <w:szCs w:val="18"/>
          <w:color w:val="auto"/>
        </w:rPr>
      </w:pPr>
    </w:p>
    <w:p>
      <w:pPr>
        <w:ind w:left="520" w:right="40" w:hanging="316"/>
        <w:spacing w:after="0" w:line="23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preliminary estimate of deferred income tax liabilities primarily results from the fair value adjustments for identifiable intangible assets and is estimated to be £3.7 million. This estimate was determined based on the excess book basis over the tax basis of the assets acquired at an estimated 29.84% weighted average statutory tax rate. However, such deferred income tax liabilities have been offset by OncoMed’s unused tax losses available, resulting in a net £nil deferred income tax liability. This estimate of deferred income tax impact is preliminary and is subject to change based upon Mereo’s final determination of the fair values of assets acquired and liabilities assumed, further assessment of the availability of tax losses (including upon a change of control) and the statutory tax rates in the jurisdictions where the fair values are expected to occur.</w:t>
      </w:r>
    </w:p>
    <w:p>
      <w:pPr>
        <w:spacing w:after="0" w:line="27" w:lineRule="exact"/>
        <w:rPr>
          <w:rFonts w:ascii="Arial" w:cs="Arial" w:eastAsia="Arial" w:hAnsi="Arial"/>
          <w:sz w:val="18"/>
          <w:szCs w:val="18"/>
          <w:color w:val="auto"/>
        </w:rPr>
      </w:pPr>
    </w:p>
    <w:p>
      <w:pPr>
        <w:ind w:left="520" w:right="140" w:hanging="316"/>
        <w:spacing w:after="0" w:line="23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preliminary fair value estimate of deferred revenue represents the fair value of future obligations under OncoMed’s collaboration agreements. The fair value is based on estimated cost remaining to fulfil the R&amp;D related obligations under the collaboration agreements and has been determined on a fully-costed basis (which is deemed to approximate market rates). Deferred revenue is expected to be largely recognized by the time the Merger is consummated and</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will differ from the fair value disclosed in this Unaudited Pro Forma Condensed Consolidated Financial Information.</w:t>
      </w:r>
    </w:p>
    <w:p>
      <w:pPr>
        <w:ind w:left="520"/>
        <w:spacing w:after="0"/>
        <w:rPr>
          <w:sz w:val="20"/>
          <w:szCs w:val="20"/>
          <w:color w:val="auto"/>
        </w:rPr>
      </w:pPr>
      <w:r>
        <w:rPr>
          <w:rFonts w:ascii="Arial" w:cs="Arial" w:eastAsia="Arial" w:hAnsi="Arial"/>
          <w:sz w:val="18"/>
          <w:szCs w:val="18"/>
          <w:color w:val="auto"/>
        </w:rPr>
        <w:t>Accordingly, there will be a corresponding impact on the gain on acquisition presented herein.</w:t>
      </w:r>
    </w:p>
    <w:p>
      <w:pPr>
        <w:spacing w:after="0" w:line="36" w:lineRule="exact"/>
        <w:rPr>
          <w:sz w:val="20"/>
          <w:szCs w:val="20"/>
          <w:color w:val="auto"/>
        </w:rPr>
      </w:pPr>
    </w:p>
    <w:p>
      <w:pPr>
        <w:ind w:left="520" w:right="400"/>
        <w:spacing w:after="0" w:line="246" w:lineRule="auto"/>
        <w:rPr>
          <w:sz w:val="20"/>
          <w:szCs w:val="20"/>
          <w:color w:val="auto"/>
        </w:rPr>
      </w:pPr>
      <w:r>
        <w:rPr>
          <w:rFonts w:ascii="Arial" w:cs="Arial" w:eastAsia="Arial" w:hAnsi="Arial"/>
          <w:sz w:val="18"/>
          <w:szCs w:val="18"/>
          <w:color w:val="auto"/>
        </w:rPr>
        <w:t>Further, as the collaboration revenue is not anticipated to have a continuing impact, a corresponding adjustment was not made to “Collaboration and other revenue” in the pro forma unaudited condensed consolidated statement of operations.</w:t>
      </w:r>
    </w:p>
    <w:p>
      <w:pPr>
        <w:spacing w:after="0" w:line="1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accounting for the combination with OncoMed is dependent upon certain valuations that are provisional and are subject to change. Mereo will finalize these amounts as it obtains the information necessary to complete the measurement processes. Accordingly, the pro forma adjustments are preliminary and have been made solely for the purpose of providing these Unaudited Pro Forma Condensed Consolidated Financial Information. Differences between these preliminary estimates and the final acquisition accounting may occur and these differences could be material. The differences, if any, could have a material impact on the accompanying Unaudited Pro Forma Condensed Consolidated Financial Information and Mereo’s future results of operations and financial position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 Retained Earnings Adjustment for Gain on Acquisition</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the underlying carrying amount and fair value of the assets and liabilities of OncoMed at June 30, 2018 exceeds the value of the consideration expected to be paid by Mereo, a gain is recognized on acquisition in accordance with IFRS 3. For the purposes of the Unaudited Pro Forma Condensed Consolidated Financial Information, while the gain is directly attributable to the transaction and factually supportable, it has no continuing impact on the entity and thus an adjustment is recorded within the unaudited pro forma condensed consolidated balance sheet but not the unaudited pro forma condensed consolidated statement of operations. However, as described in 4(b) above, due to the difference between the net cash balance at June 30, 2018 and the expected net cash balance at closing (along with other adjustments to the expected fair value of the assets and liabilities of OncoMed), the gain on acquisition associated with the purchase price allocation is expected to materially change when the Merger is consummated, and the preliminary purchase price allocation may result in goodwill.</w:t>
      </w:r>
    </w:p>
    <w:p>
      <w:pPr>
        <w:spacing w:after="0" w:line="21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5.</w:t>
        <w:tab/>
        <w:t>Other Pro Forma Adjustments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Transaction costs</w:t>
      </w:r>
    </w:p>
    <w:p>
      <w:pPr>
        <w:spacing w:after="0" w:line="81"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£4.2 million has been reflected in “Accumulated profit/loss” and “Accruals” on the unaudited pro forma condensed consolidated balance sheet as of June 30, 2018, representing estimated transaction costs to be incurred in relation to the Merger.</w:t>
      </w: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6.</w:t>
        <w:tab/>
        <w:t>Pro Forma Loss per Share</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Basic loss per share is calculated by dividing the loss attributable for the period to ordinary equity holders of the parent by the pro forma weighted average number of ordinary shares outstanding during the period. As net losses from continuing operations were recorded in the period, the dilutive potential shares are anti-dilutive for the diluted loss per share calculation. The weighted average number of common shares was determined by taking the historical weighted average number of common shares outstanding and adjusting for the shares issued under the Merger as follows:</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For the</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 Year</w:t>
            </w:r>
          </w:p>
        </w:tc>
      </w:t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62"/>
        </w:trPr>
        <w:tc>
          <w:tcPr>
            <w:tcW w:w="7540" w:type="dxa"/>
            <w:vAlign w:val="bottom"/>
          </w:tcPr>
          <w:p>
            <w:pPr>
              <w:spacing w:after="0"/>
              <w:rPr>
                <w:sz w:val="14"/>
                <w:szCs w:val="14"/>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r>
      <w:tr>
        <w:trPr>
          <w:trHeight w:val="183"/>
        </w:trPr>
        <w:tc>
          <w:tcPr>
            <w:tcW w:w="75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rPr>
              <w:t>Numerator for basic and diluted loss per common share—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Pro forma loss attributable to equity holders of the parent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(24,434,000)</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(72,710,000)</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rPr>
              <w:t>Denominator for basic and diluted loss per common share—weighted average number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Mereo Shares</w:t>
            </w:r>
          </w:p>
        </w:tc>
        <w:tc>
          <w:tcPr>
            <w:tcW w:w="120" w:type="dxa"/>
            <w:vAlign w:val="bottom"/>
          </w:tcPr>
          <w:p>
            <w:pPr>
              <w:spacing w:after="0"/>
              <w:rPr>
                <w:sz w:val="17"/>
                <w:szCs w:val="17"/>
                <w:color w:val="auto"/>
              </w:rPr>
            </w:pPr>
          </w:p>
        </w:tc>
        <w:tc>
          <w:tcPr>
            <w:tcW w:w="142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71,103,042</w:t>
            </w: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69,012,348</w:t>
            </w:r>
          </w:p>
        </w:tc>
        <w:tc>
          <w:tcPr>
            <w:tcW w:w="14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for newly-issued shares related to the Merger</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23,746,757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23,746,757</w:t>
            </w:r>
          </w:p>
        </w:tc>
        <w:tc>
          <w:tcPr>
            <w:tcW w:w="140" w:type="dxa"/>
            <w:vAlign w:val="bottom"/>
            <w:shd w:val="clear" w:color="auto" w:fill="CCEEFF"/>
          </w:tcPr>
          <w:p>
            <w:pPr>
              <w:spacing w:after="0"/>
              <w:rPr>
                <w:sz w:val="17"/>
                <w:szCs w:val="17"/>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Pro forma denominator for basic and diluted loss per common share—weighted average</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number of common shares</w:t>
            </w:r>
          </w:p>
        </w:tc>
        <w:tc>
          <w:tcPr>
            <w:tcW w:w="120" w:type="dxa"/>
            <w:vAlign w:val="bottom"/>
          </w:tcPr>
          <w:p>
            <w:pPr>
              <w:spacing w:after="0"/>
              <w:rPr>
                <w:sz w:val="17"/>
                <w:szCs w:val="17"/>
                <w:color w:val="auto"/>
              </w:rPr>
            </w:pPr>
          </w:p>
        </w:tc>
        <w:tc>
          <w:tcPr>
            <w:tcW w:w="142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94,849,799</w:t>
            </w: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92,759,105</w:t>
            </w:r>
          </w:p>
        </w:tc>
        <w:tc>
          <w:tcPr>
            <w:tcW w:w="14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basic and diluted loss per Mereo Share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(0.78)</w:t>
            </w:r>
          </w:p>
        </w:tc>
      </w:tr>
      <w:tr>
        <w:trPr>
          <w:trHeight w:val="365"/>
        </w:trPr>
        <w:tc>
          <w:tcPr>
            <w:tcW w:w="7540" w:type="dxa"/>
            <w:vAlign w:val="bottom"/>
          </w:tcPr>
          <w:p>
            <w:pPr>
              <w:ind w:left="50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COMPARATIVE HISTORICAL AND PRO FORMA PER SHARE DATA</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 table set forth below contains selected unaudited historical, pro forma and pro forma equivalent per share information for Mereo Shares and shares of OncoMed common stock.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Data for Mereo Shares and OncoMed Common Stock</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historical per share data for Mereo Shares and OncoMed common stock below is derived from the audited consolidated financial statements of each of Mereo and OncoMed as of and for the year ended December 31, 2017, and the unaudited condensed consolidated financial statements of each of Mereo and OncoMed as of and for the six months ended June 30, 2018, respectively. For Mereo, this information is under IFRS. For OncoMed, this information is under U.S. GAAP.</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Unaudited Pro Forma Per Share Data for Mereo Shares</w:t>
      </w:r>
    </w:p>
    <w:p>
      <w:pPr>
        <w:spacing w:after="0" w:line="8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combined unaudited pro forma per share data for Mereo Shares is extracted from the pro forma financial statements appearing elsewhere in this proxy statement/prospectus. The pro forma financial statements are based on, and should be read in conjunction with, the historical consolidated financial statements and accompanying notes of each of Mereo and OncoMed for the applicable periods, which are included elsewhere in, or incorporated by reference into, this proxy statement/prospectus. See the section entitled “Unaudited Pro Forma Condensed Combined Financial Information” for additional information.</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combined unaudited pro forma per share data for Mereo Shares does not purport to represent what the Combined Company’s actual results of operations or financial condition would have been had the acquisition occurred on the dates assumed, nor is it necessarily indicative of the Combined Company’s future results of operations or financial condition. In particular, the unaudited pro forma combined financial information does not reflect the effect of anticipated cost and revenue synergies associated with the combination of Mereo and OncoMed.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Unaudited Pro Forma Per OncoMed Equivalent Share Data</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combined unaudited pro forma per OncoMed equivalent share data set forth below shows the effect of the Merger from the perspective of an owner of OncoMed common stock. The information was calculated by multiplying the unaudited pro forma combined per share data for Mereo Shares by the exchange rate at the end of the applicable period, assuming no adjustment to the Exchange Ratio for the net cash held by OncoMed at the time of the closing of the Merger.</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final Exchange Ratio will be determined pursuant to a formula described in more detail in the Merger Agreement and elsewhere in this proxy statement/prospectus.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You should read the below information in conjunction with the selected consolidated financial information of Mereo and OncoMed included elsewhere in this proxy statement/prospectus, the historical consolidated financial statements of Mereo and related notes included elsewhere in this proxy statement/prospectus and the historical consolidated financial statements of OncoMed and related notes that have been filed with the SEC, certain of which are incorporated by reference into this proxy statement/prospectus. See the sections entitled “Selected Consolidated Financial Information of Mereo,” “Selected Consolidated Financial Information of OncoMed,” “Where You Can Find More Information” and “Incorporation of Certain Documents by Reference” included elsewhere in this proxy statement/prospectus.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As of and for</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 and for the</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the Year</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Ended</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Mereo Historical Data (£):</w:t>
            </w: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(0.56)</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(0.56)</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0.90</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OncoMed Historical Data (US$):</w:t>
            </w: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(1.04)</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(0,25)</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(1.04)</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(0.25)</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(1.29)</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7"/>
        </w:trPr>
        <w:tc>
          <w:tcPr>
            <w:tcW w:w="7140" w:type="dxa"/>
            <w:vAlign w:val="bottom"/>
          </w:tcPr>
          <w:p>
            <w:pPr>
              <w:ind w:left="360"/>
              <w:spacing w:after="0"/>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3"/>
        </w:trPr>
        <w:tc>
          <w:tcPr>
            <w:tcW w:w="7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Combined Unaudited Pro Forma per Mereo Share Data (£):</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(1.05)</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Combined Unaudited Pro Forma per OncoMed Equivalent Share Data (£):</w:t>
            </w: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(1.93)</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(1.93)</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2.75</w:t>
            </w:r>
          </w:p>
        </w:tc>
      </w:tr>
      <w:tr>
        <w:trPr>
          <w:trHeight w:val="217"/>
        </w:trPr>
        <w:tc>
          <w:tcPr>
            <w:tcW w:w="7140" w:type="dxa"/>
            <w:vAlign w:val="bottom"/>
          </w:tcPr>
          <w:p>
            <w:pPr>
              <w:ind w:left="360"/>
              <w:spacing w:after="0"/>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350"/>
        </w:trPr>
        <w:tc>
          <w:tcPr>
            <w:tcW w:w="7140" w:type="dxa"/>
            <w:vAlign w:val="bottom"/>
          </w:tcPr>
          <w:p>
            <w:pPr>
              <w:ind w:left="5080"/>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342"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Mereo Shares are quoted on AIM under the symbol “MPH.” Shares of OncoMed’s common stock are listed for trading on Nasdaq under the symbol “OMED.”</w:t>
      </w:r>
    </w:p>
    <w:p>
      <w:pPr>
        <w:spacing w:after="0" w:line="197"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On March 19, 2019, the record date for the OncoMed Special Meeting, there were 71,240,272 Mereo Shares outstanding and 38,690,089 shares of OncoMed common stock outstanding.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Closing Prices and Comparative Market Price Information</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following table sets forth the closing sales prices of a Mereo Share (as reported on AIM in pence) and of OncoMed common stock (as reported on Nasdaq in U.S. dollars), each on December 4, 2018, the last trading day before the day on which Mereo and OncoMed announced the execution of the Merger Agreement, and on March 15, 2019, the last practicable trading day before the date of this proxy statement/prospectus. This table also shows the equivalent value of the Share Consideration to be received by OncoMed stockholders in the Merger per share of OncoMed common stock, which was calculated by multiplying the closing price of a Mereo Share on AIM as of the dates specified by (converted into U.S. dollars at the Federal Reserve Bank of New York’s reported U.S. dollar to pound sterling exchange rate on such dates) by the Implied OncoMed Ownership, assuming no adjustment to the Exchange Ratio for the net cash held by OncoMed at the time of the closing of the Merger.</w:t>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40" w:type="dxa"/>
            <w:vAlign w:val="bottom"/>
            <w:gridSpan w:val="2"/>
          </w:tcPr>
          <w:p>
            <w:pPr>
              <w:jc w:val="center"/>
              <w:ind w:left="663"/>
              <w:spacing w:after="0"/>
              <w:rPr>
                <w:sz w:val="20"/>
                <w:szCs w:val="20"/>
                <w:color w:val="auto"/>
              </w:rPr>
            </w:pPr>
            <w:r>
              <w:rPr>
                <w:rFonts w:ascii="Arial" w:cs="Arial" w:eastAsia="Arial" w:hAnsi="Arial"/>
                <w:sz w:val="14"/>
                <w:szCs w:val="14"/>
                <w:b w:val="1"/>
                <w:bCs w:val="1"/>
                <w:color w:val="auto"/>
              </w:rPr>
              <w:t>Equivalent Value of the</w:t>
            </w:r>
          </w:p>
        </w:tc>
      </w:tr>
      <w:tr>
        <w:trPr>
          <w:trHeight w:val="162"/>
        </w:trPr>
        <w:tc>
          <w:tcPr>
            <w:tcW w:w="4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441"/>
              <w:spacing w:after="0"/>
              <w:rPr>
                <w:sz w:val="20"/>
                <w:szCs w:val="20"/>
                <w:color w:val="auto"/>
              </w:rPr>
            </w:pPr>
            <w:r>
              <w:rPr>
                <w:rFonts w:ascii="Arial" w:cs="Arial" w:eastAsia="Arial" w:hAnsi="Arial"/>
                <w:sz w:val="14"/>
                <w:szCs w:val="14"/>
                <w:b w:val="1"/>
                <w:bCs w:val="1"/>
                <w:color w:val="auto"/>
              </w:rPr>
              <w:t>OncoMed</w:t>
            </w:r>
          </w:p>
        </w:tc>
        <w:tc>
          <w:tcPr>
            <w:tcW w:w="2440" w:type="dxa"/>
            <w:vAlign w:val="bottom"/>
            <w:gridSpan w:val="2"/>
          </w:tcPr>
          <w:p>
            <w:pPr>
              <w:jc w:val="center"/>
              <w:ind w:left="663"/>
              <w:spacing w:after="0"/>
              <w:rPr>
                <w:sz w:val="20"/>
                <w:szCs w:val="20"/>
                <w:color w:val="auto"/>
              </w:rPr>
            </w:pPr>
            <w:r>
              <w:rPr>
                <w:rFonts w:ascii="Arial" w:cs="Arial" w:eastAsia="Arial" w:hAnsi="Arial"/>
                <w:sz w:val="14"/>
                <w:szCs w:val="14"/>
                <w:b w:val="1"/>
                <w:bCs w:val="1"/>
                <w:color w:val="auto"/>
              </w:rPr>
              <w:t>Share Consideration</w:t>
            </w:r>
          </w:p>
        </w:tc>
      </w:tr>
      <w:tr>
        <w:trPr>
          <w:trHeight w:val="162"/>
        </w:trPr>
        <w:tc>
          <w:tcPr>
            <w:tcW w:w="43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Mereo Share</w:t>
            </w:r>
          </w:p>
        </w:tc>
        <w:tc>
          <w:tcPr>
            <w:tcW w:w="1380" w:type="dxa"/>
            <w:vAlign w:val="bottom"/>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440" w:type="dxa"/>
            <w:vAlign w:val="bottom"/>
            <w:gridSpan w:val="2"/>
          </w:tcPr>
          <w:p>
            <w:pPr>
              <w:jc w:val="center"/>
              <w:ind w:left="663"/>
              <w:spacing w:after="0"/>
              <w:rPr>
                <w:sz w:val="20"/>
                <w:szCs w:val="20"/>
                <w:color w:val="auto"/>
              </w:rPr>
            </w:pPr>
            <w:r>
              <w:rPr>
                <w:rFonts w:ascii="Arial" w:cs="Arial" w:eastAsia="Arial" w:hAnsi="Arial"/>
                <w:sz w:val="14"/>
                <w:szCs w:val="14"/>
                <w:b w:val="1"/>
                <w:bCs w:val="1"/>
                <w:color w:val="auto"/>
              </w:rPr>
              <w:t>per Share of OncoMed</w:t>
            </w:r>
          </w:p>
        </w:tc>
      </w:tr>
      <w:tr>
        <w:trPr>
          <w:trHeight w:val="175"/>
        </w:trPr>
        <w:tc>
          <w:tcPr>
            <w:tcW w:w="4380" w:type="dxa"/>
            <w:vAlign w:val="bottom"/>
          </w:tcPr>
          <w:p>
            <w:pPr>
              <w:spacing w:after="0"/>
              <w:rPr>
                <w:sz w:val="15"/>
                <w:szCs w:val="15"/>
                <w:color w:val="auto"/>
              </w:rPr>
            </w:pPr>
          </w:p>
        </w:tc>
        <w:tc>
          <w:tcPr>
            <w:tcW w:w="21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Price per Share</w:t>
            </w:r>
          </w:p>
        </w:tc>
        <w:tc>
          <w:tcPr>
            <w:tcW w:w="1380" w:type="dxa"/>
            <w:vAlign w:val="bottom"/>
          </w:tcPr>
          <w:p>
            <w:pPr>
              <w:jc w:val="right"/>
              <w:ind w:right="241"/>
              <w:spacing w:after="0"/>
              <w:rPr>
                <w:sz w:val="20"/>
                <w:szCs w:val="20"/>
                <w:color w:val="auto"/>
              </w:rPr>
            </w:pPr>
            <w:r>
              <w:rPr>
                <w:rFonts w:ascii="Arial" w:cs="Arial" w:eastAsia="Arial" w:hAnsi="Arial"/>
                <w:sz w:val="14"/>
                <w:szCs w:val="14"/>
                <w:b w:val="1"/>
                <w:bCs w:val="1"/>
                <w:color w:val="auto"/>
              </w:rPr>
              <w:t>Price per Share</w:t>
            </w:r>
          </w:p>
        </w:tc>
        <w:tc>
          <w:tcPr>
            <w:tcW w:w="2440" w:type="dxa"/>
            <w:vAlign w:val="bottom"/>
            <w:gridSpan w:val="2"/>
          </w:tcPr>
          <w:p>
            <w:pPr>
              <w:jc w:val="center"/>
              <w:ind w:left="643"/>
              <w:spacing w:after="0"/>
              <w:rPr>
                <w:sz w:val="20"/>
                <w:szCs w:val="20"/>
                <w:color w:val="auto"/>
              </w:rPr>
            </w:pPr>
            <w:r>
              <w:rPr>
                <w:rFonts w:ascii="Arial" w:cs="Arial" w:eastAsia="Arial" w:hAnsi="Arial"/>
                <w:sz w:val="14"/>
                <w:szCs w:val="14"/>
                <w:b w:val="1"/>
                <w:bCs w:val="1"/>
                <w:color w:val="auto"/>
              </w:rPr>
              <w:t>Common stock</w:t>
            </w:r>
          </w:p>
        </w:tc>
      </w:tr>
      <w:tr>
        <w:trPr>
          <w:trHeight w:val="156"/>
        </w:trPr>
        <w:tc>
          <w:tcPr>
            <w:tcW w:w="4380" w:type="dxa"/>
            <w:vAlign w:val="bottom"/>
          </w:tcPr>
          <w:p>
            <w:pPr>
              <w:spacing w:after="0"/>
              <w:rPr>
                <w:sz w:val="13"/>
                <w:szCs w:val="13"/>
                <w:color w:val="auto"/>
              </w:rPr>
            </w:pPr>
          </w:p>
        </w:tc>
        <w:tc>
          <w:tcPr>
            <w:tcW w:w="106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(pence)</w:t>
            </w:r>
          </w:p>
        </w:tc>
        <w:tc>
          <w:tcPr>
            <w:tcW w:w="1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jc w:val="right"/>
              <w:ind w:right="1603"/>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4, 2018</w:t>
            </w:r>
          </w:p>
        </w:tc>
        <w:tc>
          <w:tcPr>
            <w:tcW w:w="21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190</w:t>
            </w:r>
          </w:p>
        </w:tc>
        <w:tc>
          <w:tcPr>
            <w:tcW w:w="1380" w:type="dxa"/>
            <w:vAlign w:val="bottom"/>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1.11</w:t>
            </w:r>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7"/>
                <w:szCs w:val="17"/>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March 15, 2019</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168</w:t>
            </w:r>
          </w:p>
        </w:tc>
        <w:tc>
          <w:tcPr>
            <w:tcW w:w="1380" w:type="dxa"/>
            <w:vAlign w:val="bottom"/>
          </w:tcPr>
          <w:p>
            <w:pPr>
              <w:jc w:val="right"/>
              <w:ind w:right="221"/>
              <w:spacing w:after="0"/>
              <w:rPr>
                <w:sz w:val="20"/>
                <w:szCs w:val="20"/>
                <w:color w:val="auto"/>
              </w:rPr>
            </w:pPr>
            <w:r>
              <w:rPr>
                <w:rFonts w:ascii="Arial" w:cs="Arial" w:eastAsia="Arial" w:hAnsi="Arial"/>
                <w:sz w:val="18"/>
                <w:szCs w:val="18"/>
                <w:color w:val="auto"/>
              </w:rPr>
              <w:t>0.99</w:t>
            </w:r>
          </w:p>
        </w:tc>
        <w:tc>
          <w:tcPr>
            <w:tcW w:w="238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market prices of Mereo Shares and shares of OncoMed common stock, and the currency exchange rates, will fluctuate before the OncoMed Special Meeting and before the Merger is consummated. You should obtain current stock or currency rate quotations from a newspaper, the Internet or your broker or banker.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67" w:lineRule="exact"/>
        <w:rPr>
          <w:sz w:val="20"/>
          <w:szCs w:val="20"/>
          <w:color w:val="auto"/>
        </w:rPr>
      </w:pPr>
    </w:p>
    <w:p>
      <w:pPr>
        <w:jc w:val="both"/>
        <w:ind w:left="200" w:right="520" w:firstLine="331"/>
        <w:spacing w:after="0" w:line="251" w:lineRule="auto"/>
        <w:rPr>
          <w:sz w:val="20"/>
          <w:szCs w:val="20"/>
          <w:color w:val="auto"/>
        </w:rPr>
      </w:pPr>
      <w:r>
        <w:rPr>
          <w:rFonts w:ascii="Arial" w:cs="Arial" w:eastAsia="Arial" w:hAnsi="Arial"/>
          <w:sz w:val="18"/>
          <w:szCs w:val="18"/>
          <w:i w:val="1"/>
          <w:iCs w:val="1"/>
          <w:color w:val="auto"/>
        </w:rPr>
        <w:t>Mereo’s Dividend Policy</w:t>
      </w:r>
      <w:r>
        <w:rPr>
          <w:rFonts w:ascii="Arial" w:cs="Arial" w:eastAsia="Arial" w:hAnsi="Arial"/>
          <w:sz w:val="18"/>
          <w:szCs w:val="18"/>
          <w:color w:val="auto"/>
        </w:rPr>
        <w:t>. Mereo has never paid or declared any cash dividends on its ordinary shares,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any cash dividends on its ordinary shares in the foreseeable future. Mereo intends to retain all available funds and any future earnings to fund the development and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w:t>
      </w:r>
      <w:r>
        <w:rPr>
          <w:rFonts w:ascii="Arial" w:cs="Arial" w:eastAsia="Arial" w:hAnsi="Arial"/>
          <w:sz w:val="18"/>
          <w:szCs w:val="18"/>
          <w:i w:val="1"/>
          <w:iCs w:val="1"/>
          <w:color w:val="auto"/>
        </w:rPr>
        <w:t>less</w:t>
      </w:r>
      <w:r>
        <w:rPr>
          <w:rFonts w:ascii="Arial" w:cs="Arial" w:eastAsia="Arial" w:hAnsi="Arial"/>
          <w:sz w:val="18"/>
          <w:szCs w:val="18"/>
          <w:color w:val="auto"/>
        </w:rPr>
        <w:t xml:space="preserve"> its accumulated realized losses, so far as such losses have not been previously written off in a reduction or reorganization of capital.</w:t>
      </w:r>
    </w:p>
    <w:p>
      <w:pPr>
        <w:spacing w:after="0" w:line="202"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In addition, the terms of Mereo’s existing loan agreement with Silicon Valley Bank and Kreos Capital V (UK) Limited (“Kreos”), preclude Mereo from paying cash dividends without Kreos’s consent.</w:t>
      </w:r>
    </w:p>
    <w:p>
      <w:pPr>
        <w:spacing w:after="0" w:line="179"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8"/>
          <w:szCs w:val="18"/>
          <w:i w:val="1"/>
          <w:iCs w:val="1"/>
          <w:color w:val="auto"/>
        </w:rPr>
        <w:t>OncoMed’s Dividend Policy</w:t>
      </w:r>
      <w:r>
        <w:rPr>
          <w:rFonts w:ascii="Arial" w:cs="Arial" w:eastAsia="Arial" w:hAnsi="Arial"/>
          <w:sz w:val="18"/>
          <w:szCs w:val="18"/>
          <w:color w:val="auto"/>
        </w:rPr>
        <w:t>. OncoMed has never declared or paid cash dividends on its capital stock. OncoMed intends to retain all</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funds and any future earnings to fund the development and expansion of its business and does not anticipate paying any cash dividends in the foreseeable future.</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This proxy statement/prospectus including the documents incorporated by reference herein contains statements that constitute forward-looking statements (including within the meaning of the U.S. Private Securities Litigation Reform Act of 1995). Many of the forward-looking statements contained in this proxy statement/prospectus can be identified by the use of forward-looking words such as “anticipate,” “believe,” “could,” “expect,” “foresee,” “should,” “plan,” “intend,” “estimate,” “would,” “may,” “outlook,” and “potential,” among others. The absence of these words, however, does not mean that the statements are not forward-looking.</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proxy statement/prospectus and include, but are not limited to, statements regarding intent, belief or current expectations. Forward-looking statements are based on the current beliefs and assumptions of the management of Mereo and OncoMed and on information currently available to such management. While the management of Mereo and OncoMed believe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proxy statement/prospectus. These risks and uncertainties include factors relating to:</w:t>
      </w:r>
    </w:p>
    <w:p>
      <w:pPr>
        <w:spacing w:after="0" w:line="230" w:lineRule="exact"/>
        <w:rPr>
          <w:sz w:val="20"/>
          <w:szCs w:val="20"/>
          <w:color w:val="auto"/>
        </w:rPr>
      </w:pPr>
    </w:p>
    <w:p>
      <w:pPr>
        <w:ind w:left="960" w:right="58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satisfy the conditions to the Merger, including the ability to obtain the OncoMed Stockholder Approval, on the proposed terms and timeframe;</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possibility that the Merger does not close when expected or at all, or that the companies may determine to or be required by governmental authorities to modify aspects of the Merger or to accept conditions that could adversely affect the Combined Company or the expected benefits of the Merger;</w:t>
      </w:r>
    </w:p>
    <w:p>
      <w:pPr>
        <w:spacing w:after="0" w:line="28"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risks related to changes in the market price of shares of OncoMed common stock or Mereo Shares relative to the Exchange Ratio;</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of unanticipated costs, liabilities or delays relating to the Merger, including the outcome of any legal proceedings relating to the Merger;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competing offers or acquisition proposals will be made;</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inherent uncertainty associated with financial projections, including projections relating to the future cash utilization and reserves needed for contingent future liabilities and business operations;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harm to customer, supplier, employee and other relationships caused by the announcement or the closing of the Merger;</w:t>
      </w:r>
    </w:p>
    <w:p>
      <w:pPr>
        <w:spacing w:after="0" w:line="27" w:lineRule="exact"/>
        <w:rPr>
          <w:rFonts w:ascii="MS PGothic" w:cs="MS PGothic" w:eastAsia="MS PGothic" w:hAnsi="MS PGothic"/>
          <w:sz w:val="25"/>
          <w:szCs w:val="25"/>
          <w:color w:val="auto"/>
          <w:vertAlign w:val="superscript"/>
        </w:rPr>
      </w:pPr>
    </w:p>
    <w:p>
      <w:pPr>
        <w:jc w:val="both"/>
        <w:ind w:left="960" w:right="44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law or regulations, or international, national, or local economic, social or political conditions that could adversely affect the parties to the Merger or the Combined Company and their respective businesses, including the United Kingdom’s withdrawal from the EU and the future relationship between the United Kingdom and the EU;</w:t>
      </w:r>
    </w:p>
    <w:p>
      <w:pPr>
        <w:spacing w:after="0" w:line="28" w:lineRule="exact"/>
        <w:rPr>
          <w:rFonts w:ascii="MS PGothic" w:cs="MS PGothic" w:eastAsia="MS PGothic" w:hAnsi="MS PGothic"/>
          <w:sz w:val="25"/>
          <w:szCs w:val="25"/>
          <w:color w:val="auto"/>
          <w:vertAlign w:val="superscript"/>
        </w:rPr>
      </w:pPr>
    </w:p>
    <w:p>
      <w:pPr>
        <w:ind w:left="960" w:right="72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develop and commercialize, or enter into strategic relationships with third parties to commercialize, product candidates in a timely and cost-effective manner, and risks relating to research and development programs;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hire and retain key personnel;</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realize the anticipated benefits of transactions related to the Merger and other acquisitions, restructuring activities, including in connection with the Merger, or other initiatives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risks relating to expectations regarding the capitalization, resources and ownership of the Combined Company;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20" w:hanging="432"/>
        <w:spacing w:after="0" w:line="223"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estimates regarding expenses, future revenues, capital requirements, and the Combined Company’s need for additional financing in the future, including the availability of sufficient resources to conduct or continue planned clinical development programs;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acquire or in-license new product candidates;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each company’s respective patent portfolio.</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parties’ businesses, including those described in this proxy statement/prospectus, as well as in OncoMed’s Annual Report on Form 10-K, Quarterly Reports on Form 10-Q, Current Reports on Form 8-K and other documents filed from time to time with the SEC and incorporated by reference herein.</w:t>
      </w:r>
    </w:p>
    <w:p>
      <w:pPr>
        <w:spacing w:after="0" w:line="202"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Forward-looking statements speak only as of the date they are made, and neither Mereo nor OncoMed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i w:val="1"/>
          <w:iCs w:val="1"/>
          <w:color w:val="auto"/>
        </w:rPr>
        <w:t>In addition to the other information included or incorporated by reference in this proxy statement/prospectus, including the matters addressed in the section entitled “Cautionary Statement Regarding Forward-Looking Statements,” you should carefully consider the following risk factors in connection with your consideration of the Merger before deciding whether to vote for approval of the Merger Agreement and the Merger. In addition, you should read and consider the risks associated with each of the businesses of Mereo and OncoMed because these risks will relate to the Combined Company. The risks and uncertainties described below are not the only risks and uncertainties the parties may face. Additional risks and uncertainties not presently known to the parties, or that the parties currently consider immaterial, could also negatively affect the business, financial condition, results of operations, prospects, profits and stock prices of Mereo, OncoMed or the Combined Company. If any of the risks described below or incorporated by reference herein actually occur, the business, financial condition, results of operations, prospects, profits and stock prices of Mereo, OncoMed or the Combined Company could be materially adversely affected, as could the likelihood and magnitude of any payments being made under the CVRs. You should also consider the other information in this proxy statement/prospectus and the other documents incorporated by reference into this proxy statement/prospectus. See “Where You Can Find More Information” and “Incorporation of Certain Documents by Reference” located elsewhere in this proxy statement/prospectus.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Merger</w:t>
      </w:r>
    </w:p>
    <w:p>
      <w:pPr>
        <w:spacing w:after="0" w:line="77"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The Merger is subject to a number of conditions, some of which are outside of the parties’ control, and, if these conditions are not satisfied, the Merger Agreement may be terminated and the Merger may not be completed.</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contains a number of conditions that must be fulfilled to complete the Merger. These conditions include, among other customary conditions, (i) the approval and adoption of the Merger Agreement by OncoMed’s stockholders and, if necessary, Mereo’s shareholders, (ii) the absence of any temporary restraining order, preliminary or permanent injunction or any other order preventing the consummation of the Merger and any law that makes illegal the consummation of the Merger, (iii) the SEC having declared effective this registration statement on Form F-4 and the registration statement on Form F-6 to be filed with the SEC, (iv) Mereo having obtained all required shareholder approvals in connection with the issuance of Mereo ADSs and the allotment and issuance of the Mereo Shares underlying the Mereo ADSs to be issued in the Merger and the grant of the CVRs to the stockholders of OncoMed pursuant to the Merger Agreement, (v) the approval for listing on Nasdaq, subject to official notice of issuance, of the Mereo ADSs to be issued in the Merger and the approval for admission to trading on AIM of the Mereo Shares underlying the Mereo ADSs to be issued in the Merger pursuant to the Merger Agreement, and the satisfaction of any other requirements of London Stock Exchange plc, (vi) subject to certain materiality exceptions, the accuracy of certain representations and warranties of each of OncoMed and Mereo contained in the Merger Agreement and the compliance by each party with the covenants contained in the Merger Agreement, and (vii) the absence of a material adverse effect with respect to each of OncoMed and Mereo.</w:t>
      </w:r>
    </w:p>
    <w:p>
      <w:pPr>
        <w:spacing w:after="0" w:line="204"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required satisfaction of the foregoing conditions could delay the completion of the Merger for a significant period of time or prevent it from occurring. Any delay in completing the Merger could cause the Combined Company not to realize some or all of the benefits that the parties expect the Combined Company to achieve. Further, there can be no assurance that the conditions to the closing of the Merger will be satisfied or waived or that the Merger will be completed.</w:t>
      </w:r>
    </w:p>
    <w:p>
      <w:pPr>
        <w:spacing w:after="0" w:line="202"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In addition, if the Merger is not completed by September 4, 2019 (subject to potential extensions), either Mereo or OncoMed may choose to terminate the Merger Agreement. Mereo or OncoMed may also elect to terminate the Merger Agreement in certain other circumstances, and the parties can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mutually decide to terminate the Merger Agreement at any time prior to the closing of the Merger, before or after shareholder approval, as applicable. See “The Merger Agreement—Termination Events” for a more detailed description of these circumstances.</w:t>
      </w:r>
    </w:p>
    <w:p>
      <w:pPr>
        <w:spacing w:after="0" w:line="175"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Failure to complete the Merger could negatively affect the share prices and the future business and financial results of either or both of Mereo and OncoMed.</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Merger is not completed, the ongoing businesses of either or both of Mereo and OncoMed may be adversely affected. Additionally, if the Merger is not completed and the Merger Agreement is terminated, in certain circumstances either party may be required to pay the other a termination fee of $1,721,193 (subject to any adjustments for VAT). Additionally, in certain circumstances, Mereo or OncoMed, as the case may be, must reimburse the other party for reasonable out-of-pocket fees and expenses incurred in connection with the Merger up to $750,000 (subject to any adjustments for VAT). See “The Merger Agreement—Termination Events” and “The Merger Agreement—Termination Fees” for a more detailed description of these circumstances. In addition, Mereo and OncoMed have incurred and will continue to incur significant transaction expenses in connection with the Merger regardless of whether the Merger is completed. Furthermore, Mereo or OncoMed may experience negative reactions from the financial markets, including negative impacts on their stock prices, or negative reactions from their suppliers or other business partners, should the Merger not be completed.</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foregoing risks, or other risks arising in connection with the failure to consummate the Merger, including the diversion of management attention from conducting the business of the respective companies and pursuing other opportunities during the pendency of the Merger, may have a material adverse effect on the businesses, operations, financial results and share and stock prices of Mereo and OncoMed. Either or both of Mereo or OncoMed could also be subject to litigation related to any failure to consummate the Merger or any related action that could be brought to enforce a party’s obligations under the Merger Agreement.</w:t>
      </w:r>
    </w:p>
    <w:p>
      <w:pPr>
        <w:spacing w:after="0" w:line="181" w:lineRule="exact"/>
        <w:rPr>
          <w:sz w:val="20"/>
          <w:szCs w:val="20"/>
          <w:color w:val="auto"/>
        </w:rPr>
      </w:pPr>
    </w:p>
    <w:p>
      <w:pPr>
        <w:ind w:left="200" w:right="140"/>
        <w:spacing w:after="0" w:line="247" w:lineRule="auto"/>
        <w:rPr>
          <w:sz w:val="20"/>
          <w:szCs w:val="20"/>
          <w:color w:val="auto"/>
        </w:rPr>
      </w:pPr>
      <w:r>
        <w:rPr>
          <w:rFonts w:ascii="Arial" w:cs="Arial" w:eastAsia="Arial" w:hAnsi="Arial"/>
          <w:sz w:val="18"/>
          <w:szCs w:val="18"/>
          <w:b w:val="1"/>
          <w:bCs w:val="1"/>
          <w:i w:val="1"/>
          <w:iCs w:val="1"/>
          <w:color w:val="auto"/>
        </w:rPr>
        <w:t>Because the portion of the Merger Consideration payable in Mereo ADSs is subject to adjustment for the net cash held by OncoMed at the time of the closing of the Merger, and will be unaffected by any changes in exchange rates or in the market value of Mereo Shares or OncoMed common stock before the completion of the Merger, OncoMed stockholders cannot be sure of the market value of the Mereo ADSs they will receive.</w:t>
      </w:r>
    </w:p>
    <w:p>
      <w:pPr>
        <w:spacing w:after="0" w:line="4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final Exchange Ratio will be determined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206"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number of Mereo ADSs that will be issued to OncoMed stockholders as a result of the Merger will not be adjusted in the event of any increase or decrease in currency exchange rates or in the share price of either Mereo Shares or OncoMed common stock between the date of execution of the Merger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Agreement and the completion of the Merger, and the parties do not have a right to terminate the Merger Agreement based upon changes in currency exchange rates or in the market price of Mereo Shares or OncoMed common stock.</w:t>
      </w:r>
    </w:p>
    <w:p>
      <w:pPr>
        <w:spacing w:after="0" w:line="19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dollar value of the Mereo ADSs that OncoMed stockholders will receive upon completion of the Merger will depend upon the net cash held by OncoMed and the market value of Mereo Shares at the time of completion of the Merger. In addition, Mereo ADSs will be denominated in U.S. dollars and will each represent five Mereo Shares, which are denominated in pence. Both the market price of Mereo Shares and the U.S. dollar-pound sterling exchange rate fluctuate continuously. Accordingly, each may be different from the closing price and exchange rate on each of the last full trading day preceding public announcement that Mereo and OncoMed entered into the Merger Agreement, the last full trading day prior to the date of this proxy statement/prospectus or the dates of the Mereo and OncoMed stockholder meetings. Moreover, completion of the Merger will occur, if at all, sometime after the requisite shareholder approvals have been obtained. The market value of Mereo Shares and the U.S. dollar-pound sterling exchange rate have varied since Mereo and OncoMed entered into the Merger Agreement and will continue to vary in the future due to changes in the business, operations and prospects of Mereo and OncoMed, market assessments of the Merger, third-party acquisition proposals and regulatory considerations, in the case of the share price, and market and economic considerations and other factors both within and beyond the control of Mereo and OncoMed, in the case of both the share price and the exchange rate. See the section entitled “Comparative Per Share Market Price Data and Dividend Information” included in this proxy statement/prospectus for additional information on the market value of Mereo Shares and OncoMed common stock.</w:t>
      </w:r>
    </w:p>
    <w:p>
      <w:pPr>
        <w:spacing w:after="0" w:line="181"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Litigation against Mereo and OncoMed, or the members of the OncoMed Board, could prevent or delay the completion of the Merger or result in the payment of damages following completion of the Merger.</w:t>
      </w:r>
    </w:p>
    <w:p>
      <w:pPr>
        <w:spacing w:after="0" w:line="4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86"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Some of the directors and executive officers of OncoMed have interests in the Merger that may be different from, or in addition to, the interests of OncoMed stockholders generally.</w:t>
      </w:r>
    </w:p>
    <w:p>
      <w:pPr>
        <w:spacing w:after="0" w:line="2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OncoMed’s directors and executive officers may have interests in the Merger that are different from, or in addition to or may be deemed to conflict with, the interests of OncoMed stockholders generally. These interests include, but are not limited to, the continued employment of certain members of OncoMed’s management team, the continued positions of certain OncoMed directors as directors of the Combined Company, potential payments to certain executive officers pursuant to change in control and severance agreements, accelerated vesting of stock options pursuant to the terms of the Merger Agreement, accelerated vesting of restricted stock units pursuant to the terms of the Merger Agreement, a performance bonus of $ 50,000 that may be earned by Dr. Lewicki in connection with the Merger, and other rights held by these directors and executive officers. In particular, it is anticipated that certain individuals currently associated with OncoMed’s navicixizumab products will, for a period of 18 months following the closing of the Merger, be permitted to solicit third party interest with respect to the navicixizumab products and to recommend, by written notice to the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chief executive officer of Mereo, that Mereo enter into discussions with one or more such third parties that have expressed interest with respect to the navicixizumab program. See “The CVR Agreement—Milestone Events and Payments—The Navi Milestones” elsewhere in this proxy statement/prospectus.</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OncoMed stockholders should be aware of these interests when they consider the recommendations of the OncoMed Board with respect to the Merger. For a discussion of the interests of OncoMed’s directors and executive officers in the Merger, see “The Merger— Interests of OncoMed’s Directors and Executive Officers in the Merger.”</w:t>
      </w:r>
    </w:p>
    <w:p>
      <w:pPr>
        <w:spacing w:after="0" w:line="181"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Uncertainty about the Merger may adversely affect the relationships of Mereo and OncoMed with their respective suppliers and employees, whether or not the Merger is completed.</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response to the announcement of the Merger, existing or prospective suppliers of Mereo or OncoMed may:</w:t>
      </w:r>
    </w:p>
    <w:p>
      <w:pPr>
        <w:spacing w:after="0" w:line="203" w:lineRule="exact"/>
        <w:rPr>
          <w:sz w:val="20"/>
          <w:szCs w:val="20"/>
          <w:color w:val="auto"/>
        </w:rPr>
      </w:pPr>
    </w:p>
    <w:p>
      <w:pPr>
        <w:ind w:left="960" w:hanging="432"/>
        <w:spacing w:after="0"/>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defer or cease providing goods or services to Mereo, OncoMed or the Combined Company;</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or defer other decisions concerning Mereo, OncoMed or the Combined Company, or refuse to extend credit to Mereo, OncoMed or the Combined Company;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otherwise seek to change the terms on which they do business with Mereo, OncoMed or the Combined Company.</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such delays or changes to terms could seriously harm the business of each company or, if the Merger is completed, the Combined Company. These disruptions could also have an adverse effect on the ability of Mereo to achieve the milestones specified in the CVR Agreement.</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In addition, as a result of the Merger, current and prospective employees could experience uncertainty about their future with Mereo, OncoMed or the Combined Company. These uncertainties may impair the Combined Company’s ability to retain, recruit or motivate key management, technical and other personnel.</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The Merger Agreement contains provisions that limit each party’s ability to pursue alternatives to the Merger, could discourage a potential competing acquiror of either Mereo or OncoMed from making an alternative transaction proposal and, in specified circumstances, could require either party to pay a termination fee to the other party.</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Merger Agreement provides that Mereo and OncoMed shall not, and requires each of Mereo and OncoMed to refrain from authorizing, directing or permitting its representatives to, solicit, participate in negotiations with respect to or approve or recommend any third-party proposal for an alternative transaction, subject to exceptions set forth in the Merger Agreement relating to the receipt of certain unsolicited offers. If the Merger Agreement is terminated by either party after the other party’s board of directors has changed its recommendation regarding the Merger or due to the other party’s material breach of its non-solicitation obligations, then the terminating party may be required to pay a termination fee of $1,721,193.</w:t>
      </w:r>
    </w:p>
    <w:p>
      <w:pPr>
        <w:spacing w:after="0" w:line="20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Mereo or OncoMed or pursuing an alternative transaction from considering or proposing such a transaction, even if it were prepared to pay consideration with a higher per share cash or market value than the consideration in the Merger, or might result in a potential third-party acquiror or merger partner proposing to pay a lower price to Mereo shareholders or OncoMed stockholders than it might otherwise have proposed to pay because of the added expense of the termination fee that may become payable in certain circumstances.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If the Merger Agreement is terminated and either Mereo or OncoMed determines to seek another business combination, Mereo or OncoMed, as applicable, may not be able to negotiate a transaction with another party on terms comparable to, or better than, the terms of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delay in completing the Merger may significantly reduce the benefits expected to be obtained from the Merger.</w:t>
      </w:r>
    </w:p>
    <w:p>
      <w:pPr>
        <w:spacing w:after="0" w:line="99"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The Merger is subject to a number of conditions that are beyond the control of Mereo and OncoMed and that may prevent, delay or otherwise materially adversely affect completion of the Merger. Mereo and OncoMed cannot predict whether and when these conditions will be satisfied. See “The Merger Agreement—Conditions to the Closing” elsewhere in this proxy statement/prospectus.</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Any delay in completing the Merger may significantly reduce the benefits that Mereo and OncoMed expect to achieve if they successfully complete the Merger within the expected timeframe. In particular, any delay is likely to reduce the net cash held by OncoMed at the time of the closing of the Merger, which, under the net cash adjustment mechanism in the exchange ratio formula set forth in the Merger Agreement, will reduce the number of Mereo ADSs payable by Mereo to holders of OncoMed common stock as Share Consideration. See “The Merger Agreement—Merger Consideration” elsewhere in this proxy statement/prospectus.</w:t>
      </w:r>
    </w:p>
    <w:p>
      <w:pPr>
        <w:spacing w:after="0" w:line="18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Until the completion of the Merger or the termination of the Merger Agreement in accordance with its terms, in consideration of the agreements made by the parties in the Merger Agreement, Mereo and OncoMed are each prohibited from entering into certain transactions and taking certain actions that might otherwise be beneficial to Mereo or OncoMed and their respective shareholders.</w:t>
      </w:r>
    </w:p>
    <w:p>
      <w:pPr>
        <w:spacing w:after="0" w:line="48"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Until the Merger is completed, the Merger Agreement restricts Mereo and OncoMed from taking specified actions without the consent of the other party, and requires each of Mereo and OncoMed to operate in the ordinary course of business consistent with past practices. These restrictions may prevent Mereo and OncoMed from making appropriate changes to their respective businesses or pursuing attractive business opportunities that may arise prior to the completion of the Merger. See the sections entitled “The Merger Agreement— Restrictions on OncoMed’s Business Pending the Closing” and “—Restrictions on Mereo’s Business Pending the Closing” elsewhere in this proxy statement/prospectus for a description of the restrictive covenants applicable to each of Mereo and OncoMed.</w:t>
      </w:r>
    </w:p>
    <w:p>
      <w:pPr>
        <w:spacing w:after="0" w:line="183"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After the Merger, OncoMed stockholders will have a significantly lower ownership and voting interest in the Combined Company than they currently have in OncoMed, and will exercise less influence over management.</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In addition,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Consequently, OncoMed stockholders will have less influence over the management and policies of the Combined Company than they currently have over OncoMed. In addition, only two directors serving on the existing OncoMed Board will continue as directors of the Combined Company immediately following the closing of the Merger.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The opinion of OncoMed’s financial advisor does not reflect changes in circumstances that may occur between the original signing of the Merger Agreement and the completion of the Merger.</w:t>
      </w:r>
    </w:p>
    <w:p>
      <w:pPr>
        <w:spacing w:after="0" w:line="4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Consistent with market practices, the OncoMed Board has not obtained an updated opinion from its financial advisor as of the date of this proxy statement/prospectus and does not expect to receive an updated, revised or reaffirmed opinion prior to the completion of the Merger. Changes in the operations and prospects of OncoMed, general market and economic conditions and other factors that may be beyond the control of OncoMed, and on which OncoMed’s financial advisor’s opinion was based, may significantly alter the value of OncoMed or the price of shares or OncoMed’s common stock by the time the Merger is completed. The opinion does not speak as of the time the Merger will be completed or as of any date other than the date of such opinion. Because OncoMed’s financial advisor will not be updating its opinion, the opinion will not address the fairness of the Merger Consideration from a financial point of view at the time the Merger is completed. The OncoMed Board’s recommendation that OncoMed stockholders vote “FOR” the Merger Proposal, however, is made as of the date of this proxy statement/prospectus. For a description of the opinion that the OncoMed Board received from its financial advisor, please refer to the section entitled “The Merger—Opinion of OncoMed’s Financial Advisor” located elsewhere in this proxy statement/prospectus.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OncoMed stockholders have appraisal rights under Delaware law.</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Delaware law, OncoMed stockholders who do not vote in favor of adoption of the Merger Agreement and otherwise properly perfect their rights will be entitled to “appraisal rights” in connection with the Merger, which generally entitle stockholders to receive in lieu of the Merger Consideration a cash payment of an amount determined by the Court of Chancery equal to be the fair value of their OncoMed common stock as of the Effective Time. The appraised value would be determined by the Court of Chancery and could be less than, the same as or more than the Merger Consideration. Under Delaware law, stockholders are generally entitled to statutory interest on an appraisal award at a rate equal to 5% above the Federal Reserve discount rate compounded quarterly from the closing date of the Merger until the award is actually paid. Stockholders who have properly demanded appraisal rights must file a petition for appraisal with the Court of Chancery within 120 days after the effective date of the Merger. Should a material number of OncoMed’s stockholders exercise appraisal rights and should the Court determine that the fair value of such shares of OncoMed common stock is materially greater than the Merger Consideration, it could have a material adverse effect on the financial condition and results of operation of the Combined Company. For a more detailed description of the appraisal rights available to OncoMed stockholders, see “The Merger— Appraisal Rights” elsewhere in this proxy statement/prospectus.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Merger is expected to be a taxable transaction for U.S. federal income tax purposes.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However, no opinion of counsel or ruling from the IRS with respect to the tax treatment of the Merger has or will be sought, and there can be no assurance that the IRS will not assert a contrary position. Assuming the Merger will be a taxable transaction for U.S. federal income tax purposes, the amount of gain or loss a holder of OncoMed common stock recognizes, and the timing and potentially the character of a portion of such gain or loss, depends in part on the U.S. federal income tax treatment of the CVRs, with respect to which there is substantial uncertainty. For further discussion, see “Material U.S. Federal Income Tax Considerations —Material U.S. Federal Income Tax Considerations of the Merger for OncoMed Stockholders” elsewhere in this proxy statement/prospectus. OncoMed stockholders should be aware that the Merger Consideration they will be entitled to receive upon the completion of the Merger does not include a cash component to pay any taxes that may be due as a result of the Merger.</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U.S. federal income tax treatment of the CVRs is unclear.</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There is no legal authority directly addressing the U.S. federal income tax treatment of the CVRs or the treatment of payments (including Mereo ADSs) that may be received pursuant to the CVRs. Accordingly, the amount, timing and character of any gain, income or loss with respect to the CVRs are uncertain. In addition, there is no legal authority directly addressing the U.S. federal income tax treatment of the expiration of any rights to receive a payment of cash or Mereo ADSs with respect to the CVRs. Any change in the value of the CVRs will affect the amount of any gain or loss recognized with respect to the receipt of the CVRs. For further discussion, see “Material U.S. Federal Income Tax Considerations—Material U.S. Federal Income Tax Considerations of the Merger for OncoMed Stockholders”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CVRs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not receive any payment on the CVRs.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Your right to receive any future payment on the CVRs will be contingent upon the achievement by Mereo and its subsidiaries of certain milestones within agreed time periods, as specified in the CVR Agreement. If the milestones specified in the CVR Agreement are not achieved for any reason within the time periods specified in such agreement, no payment will be made under the CVRs and the CVRs will expire valueless. Additionally, Bristol-Myers Squibb Company (“Bristol-Myers Squibb”) and Celgene announced on January 3, 2019 that they have entered into a definitive merger agreement under which Bristol-Myers Squibb will acquire Celgene in a cash and stock transaction. Such transaction may limit the likelihood that the TIGIT Milestone will be achieved due to the uncertainty of Celgene’s business operations pending consummation of its proposed merger with Bristol-Myers Squibb and the uncertainty of the attractiveness of OncoMed’s etigilimab product to Bristol-Myers Squibb. Accordingly, the value, if any, of the CVRs is speculative, and the CVRs may ultimately have no value. See “Description of the CVRs” elsewhere in this proxy statement/prospectus.</w:t>
      </w:r>
    </w:p>
    <w:p>
      <w:pPr>
        <w:spacing w:after="0" w:line="185"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You will not be able to determine the amount of stock or cash to be received under the CVRs until the achievement of certain agreed upon milestones, which makes it difficult to value the CVRs.</w:t>
      </w:r>
    </w:p>
    <w:p>
      <w:pPr>
        <w:spacing w:after="0" w:line="2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any payment is made on the CVRs, it will not be made until the achievement of certain agreed upon milestones. As such, you will not know the value, if any, of your CVRs until certain sales milestones occur, or until the CVRs expire.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CVRs are nontransferable.</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CVRs are nontransferable, meaning that they may not be sold, assigned, transferred, pledged, encumbered or in any other manner transferred or disposed of either in whole or in part, other than in certain limited circumstances. The CVRs will not be registered as securities and they will not be listed or traded on any stock exchange in the United States or elsewhere. Therefore, the CVRs are not liquid and you will not be permitted to sell or transfer them, except for in certain limited circumstances. See “Description of the CVRs” elsewhere in this proxy statement/prospectus.</w:t>
      </w:r>
    </w:p>
    <w:p>
      <w:pPr>
        <w:spacing w:after="0" w:line="181"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b w:val="1"/>
          <w:bCs w:val="1"/>
          <w:i w:val="1"/>
          <w:iCs w:val="1"/>
          <w:color w:val="auto"/>
        </w:rPr>
        <w:t>Mereo and its subsidiaries are required to use “diligent efforts” to achieve the CVR milestones, which allows for consideration of a variety of factors to determine the efforts Mereo and its subsidiaries are required to take; accordingly, under certain circumstances, Mereo and its subsidiaries may not be required to take certain actions to achieve the CVR milestones, or may allocate resources to other projects, which would have an adverse effect on the value, if any, of the CVRs.</w:t>
      </w:r>
    </w:p>
    <w:p>
      <w:pPr>
        <w:spacing w:after="0" w:line="48"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has agreed to use “diligent efforts,” as defined in the CVR Agreement, to achieve each of the CVR milestones in the applicable agreed time period. However, under the CVR Agreement,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definition of “diligent efforts” allows for the consideration of a variety of factors in determining the efforts Mereo is required to use to achieve the relevant milestones, including issues of safety and efficacy, market potential, anticipated pricing and reimbursement rates, costs, labeling, pricing reimbursement, the competitiveness of alternative products, the patent and other proprietary position of the relevant product, and the likelihood of regulatory approval for the relevant product given the relevant regulatory structure involved. The CVR Agreement does not require Mereo to take all possible actions to achieve each milestone. As a result, factors and events may come to pass that result in Mereo permissibly devoting less effort to the achievement of each milestone than OncoMed would have devoted had OncoMed remained a stand-alone company.</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CVR Agreement expressly states that Mereo will have no obligation or liability to (i) fund or otherwise support or incur any cost or expense relating to the relevant products (except, in each case, in respect of clinical trials commenced prior to the Effective Time) in excess of the commitments provided for the applicable budget for each product set forth as schedules to the CVR Agreement, (ii) enroll any additional subjects in any currently ongoing trial of the relevant products or (iii) commit to any additional development activities of the relevant products not provided for in the applicable budget.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payments in respect of the CVRs will rank at parity with Mereo’s other unsecured and unsubordinated indebtedness.</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CVRs will rank equal in right of payment to all existing and future unsecured unsubordinated indebtedness of Mereo. The CVRs, however, will be effectively subordinated in right of payment to all of Mereo’s secured obligations to the extent of the collateral securing such obligations. Additionally, the CVRs will be effectively subordinated to all existing and future indebtedness, claims of holders of capital stock and other liabilities, including trade payables, of Mereo’s subsidiaries.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Combined Company</w:t>
      </w:r>
    </w:p>
    <w:p>
      <w:pPr>
        <w:spacing w:after="0" w:line="212"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The Combined Company may not fully realize the anticipated benefits of the Merger or realize such benefits within the timing anticipated.</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and OncoMed entered into the Merger Agreement because each company believes that the Merger will be beneficial to each of Mereo, the Mereo shareholders, OncoMed and the OncoMed stockholders. The Combined Company may not be able to achieve the anticipated long-term strategic benefits of the Merger within the timing anticipated or at all. For example, the benefits from the Merger will be partially offset by the costs incurred in completing the transaction. In addition, if the net cash held by OncoMed at the closing of the Merger is lower than each party currently anticipates, the cash position of the Combined Company will be weaker than expected. Any delays and challenges that may be encountered in completing the Merger or in the post-Merger process of consolidation could have an adverse effect on the business and results of operations of the Combined Company, and may affect the value of the Mereo ADSs and Mereo Shares after the completion of the Merger.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Combined Company will incur significant transaction-related costs in connection with the Merger.</w:t>
      </w:r>
    </w:p>
    <w:p>
      <w:pPr>
        <w:spacing w:after="0" w:line="85"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Mereo and OncoMed expect to incur significant costs associated with the Merger. The amount of these costs may not be determined as of the Effective Time and may be material to the financial position and results of operations of the Combined Company. Mereo expects that the substantial majority of expenses resulting from the Merger will be comprised of transaction costs related to the Merger and employee-related costs. Mereo and OncoMed will also incur fees and costs related to integration and systems consolidation. The elimination of duplicative costs may not offset incremental transaction-related and other integration costs in the near term.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have failed to discover undisclosed liabilities of OncoMed.</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investigations and due diligence review of OncoMed may have failed to discover undisclosed liabilities of OncoMed. If OncoMed has undisclosed liabilities, Mereo as a successor owner may be responsible for such undisclosed liabilities. Mereo has tried to minimize its exposure to undisclosed liabilities, for example by obtaining certain protections under the Merger Agreement, including representations and warranties from OncoMed regarding undisclosed liabilities, which expire by their terms on the completion of the Merger. There can be no assurance that such provisions in the Merger Agreement will protect Mereo against any undisclosed liabilities being discovered or provide an adequate remedy for any undisclosed liabilities that are discovered. Such undisclosed liabilities could have an adverse effect on the business and results of operations of Mereo and its subsidiaries and may adversely affect the value of the Mereo ADSs and Mereo Shares after the consummation of the Merger.</w:t>
      </w:r>
    </w:p>
    <w:p>
      <w:pPr>
        <w:spacing w:after="0" w:line="186"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The Combined Company’s goodwill or other intangible assets may become impaired, which could result in material non-cash charges to its results of operations.</w:t>
      </w:r>
    </w:p>
    <w:p>
      <w:pPr>
        <w:spacing w:after="0" w:line="2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Combined Company will have a substantial amount of goodwill and other intangible assets resulting from the Merger. At least annually, or whenever events or changes in circumstances indicate a potential impairment in the carrying value as defined by IFRS, the Combined Company will evaluate this goodwill for impairment based on the recoverable value, being the higher of fair value less costs to sell and value in use, of the cash generating units to which goodwill has been allocated. Estimated fair values could change if there are changes in the Combined Company’s capital structure, cost of debt, interest rates, capital expenditure levels, operating cash flows or market capitalization. Impairments of goodwill or other intangible assets could require material non-cash charges to the Combined Company’s results of operations.</w:t>
      </w:r>
    </w:p>
    <w:p>
      <w:pPr>
        <w:spacing w:after="0" w:line="181"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Future results of the Combined Company may differ materially from the unaudited pro forma financial information included in this proxy statement/prospectus.</w:t>
      </w:r>
    </w:p>
    <w:p>
      <w:pPr>
        <w:spacing w:after="0" w:line="2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Combined Company’s future results may be materially different from those shown in the unaudited pro forma financial information presented in this proxy statement/prospectus that show only a combination of Mereo’s and OncoMed’s historical results. Mereo expects to incur significant costs associated with completing the Merger and combining the operations of the two companies, and the exact magnitude of these costs is not yet known. Furthermore, these costs may decrease capital that could be used by Mereo for future income-earning investments.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financial analyses and forecasts considered by Mereo, OncoMed and their respective financial advisors may not be realized.</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While the financial projections utilized by Mereo, OncoMed and their respective advisors in connection with the Merger were prepared in good faith based on information available at the time of preparation, no assurances can be made regarding future events or that the assumptions made in preparing such projections will accurately reflect future conditions. In preparing such projections, the management of Mereo and OncoMed made assumptions regarding, among other things, future economic, competitive, regulatory and financial market conditions and future business decisions that may not be realized and that are inherently subject to significant uncertainties and contingencies, including, among others, risks and uncertainties described or incorporated by reference in this section and the section entitled “Cautionary Statement Regarding Forward-Looking Statements,” all of which are difficult to predict and many of which are beyond the control of Mereo and OncoMed and will be beyond the control of the Combined Company. There can be no assurance that the underlying assumptions or projected results will be realized, and actual results will likely differ, and may differ materially, from such projections, which could result in a material adverse effect on the Combined Company’s business, financial condition, results of operations and prospects.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80"/>
        <w:spacing w:after="0" w:line="253" w:lineRule="auto"/>
        <w:rPr>
          <w:sz w:val="20"/>
          <w:szCs w:val="20"/>
          <w:color w:val="auto"/>
        </w:rPr>
      </w:pPr>
      <w:r>
        <w:rPr>
          <w:rFonts w:ascii="Arial" w:cs="Arial" w:eastAsia="Arial" w:hAnsi="Arial"/>
          <w:sz w:val="18"/>
          <w:szCs w:val="18"/>
          <w:b w:val="1"/>
          <w:bCs w:val="1"/>
          <w:i w:val="1"/>
          <w:iCs w:val="1"/>
          <w:color w:val="auto"/>
        </w:rPr>
        <w:t>After the Merger, Mereo will be a “foreign private issuer” under the rules and regulations of the SEC and, as a result, will be exempt from a number of rules under the Exchange Act and will be permitted to file less information with the SEC than a company incorporated in the United States.</w:t>
      </w:r>
    </w:p>
    <w:p>
      <w:pPr>
        <w:spacing w:after="0" w:line="56"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Following completion of the Merger, Mereo will continue to be incorporated as a public limited company in England and Wales and will be deemed to be a “foreign private issuer” under the rules and regulations of the SEC. As a foreign private issuer, Mereo will be exempt from certain rules under the Exchange Act that would otherwise apply if Mereo were a company incorporated in the United States, including:</w:t>
      </w:r>
    </w:p>
    <w:p>
      <w:pPr>
        <w:spacing w:after="0" w:line="229" w:lineRule="exact"/>
        <w:rPr>
          <w:sz w:val="20"/>
          <w:szCs w:val="20"/>
          <w:color w:val="auto"/>
        </w:rPr>
      </w:pPr>
    </w:p>
    <w:p>
      <w:pPr>
        <w:ind w:left="960" w:right="50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60" w:right="7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FD, which imposes certain restrictions on the selective disclosure of material information.</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In addition, Mereo’s officers, directors and principal shareholders will be exempt from the reporting and “short-swing” profit recovery provisions of Section 16 of the Exchange Act and the related rules with respect to their purchases and sales of Mereo ADS and Mereo Shares. Accordingly, after the completion of the Merger, if you hold Mereo ADSs, you may receive less information about the Combined Company than you currently receive about OncoMed and be afforded less protection under the United States federal securities laws than you are entitled to currently.</w:t>
      </w:r>
    </w:p>
    <w:p>
      <w:pPr>
        <w:spacing w:after="0" w:line="18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Mereo will not be required to comply with some of the corporate governance standards of Nasdaq applicable to companies incorporated in the United States.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Following completion of the Merger, the Mereo Board will be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Mereo believes it currently complies with, and intends to continue to comply with, the majority of such requirements, including the requirements to maintain a majority of independent directors and nominating and compensation committees of its board of directors comprised solely of independent directors. Mereo will be required to continue to follow the AIM rules and Corporate Governance Code published by the Quoted Companies Alliance. As a result, holders of Mereo ADSs may not be afforded the benefits of the corporate governance standards of Nasdaq to the same extent applicable to companies incorporated in the United States. See “Management—Foreign Private Issuer Exemption” elsewhere in this proxy statement/prospectus.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reporting requirements may apply if Mereo loses its status as a foreign private issuer.</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If Mereo loses its status as a foreign private issuer at some future time, then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right="120"/>
        <w:spacing w:after="0" w:line="253" w:lineRule="auto"/>
        <w:rPr>
          <w:sz w:val="20"/>
          <w:szCs w:val="20"/>
          <w:color w:val="auto"/>
        </w:rPr>
      </w:pPr>
      <w:r>
        <w:rPr>
          <w:rFonts w:ascii="Arial" w:cs="Arial" w:eastAsia="Arial" w:hAnsi="Arial"/>
          <w:sz w:val="18"/>
          <w:szCs w:val="18"/>
          <w:b w:val="1"/>
          <w:bCs w:val="1"/>
          <w:i w:val="1"/>
          <w:iCs w:val="1"/>
          <w:color w:val="auto"/>
        </w:rPr>
        <w:t>Although Mereo’s reporting obligations as a foreign private issuer will be fewer than those of a public company incorporated in the United States, Mereo’s costs of complying with its SEC reporting requirements will be significant, and its management will be required to devote substantial time to complying with SEC regulations.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not currently subject to SEC rules. However, following the completion of the Merger, Mereo will be a foreign private issuer and subject to certain SEC reporting requirements. As such, and particularly after Mereo no longer qualifies as an emerging growth company, Mereo expects to incur significant legal, accounting, and other expenses that it did not incur previously, including costs associated with its SEC reporting requirements under the Exchange Act and compliance with the requirements of Section 404 of the Sarbanes-Oxley Act of 2002 (“Section 404”). Mereo’s senior management and other personnel will need to devote a substantial amount of time to these compliance initiatives. Moreover, these rules and regulations will increase Mereo’s legal and financial compliance costs and will make some activities more time-consuming and costly. For example, Mereo expects that these rules and regulations may make it more expensive for Mereo to obtain director and officer liability insurance, which in turn could make it more difficult for Mereo to attract and retain qualified senior management personnel or members for the Mereo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could have a material adverse effect on Mereo’s business and stock price.</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 404, Mereo will be required to furnish a report by its senior management on its internal control over financial reporting. However, while Mereo remains an emerging growth company, it will not be required to include an attestation report on internal control over financial reporting issued by its independent registered public accounting firm. To prepare for eventual compliance with Section 404, once Mereo no longer qualifies as an emerging growth company, Mereo will be engaged in a process to document and evaluate its internal control over financial reporting, which is both costly and challenging. In this regard, Mereo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Mereo’s efforts, there is a risk that it will not be able to conclude, within the prescribed timeframe or at all, that its internal control over financial reporting is effective as required by Section 404. If Mereo identifies one or more material weaknesses, it could result in an adverse reaction in the financial markets due to a loss of confidence in the reliability of Mereo’s financial statements.</w:t>
      </w:r>
    </w:p>
    <w:p>
      <w:pPr>
        <w:spacing w:after="0" w:line="184"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Future acquisitions may result in unanticipated accounting charges or may otherwise adversely affect the Combined Company’s results of operations and result in difficulties in integrating purchased assets, products or technologies, or be dilutive to existing stockholders.</w:t>
      </w:r>
    </w:p>
    <w:p>
      <w:pPr>
        <w:spacing w:after="0" w:line="4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 key element of the Combined Company’s business strategy will include expansion through the acquisition of assets, products or technologies that complement its existing product candidates in the field of rare and specialty diseases. The Combined Company will continually evaluate and explore strategic opportunities as they arise, including strategic partnerships or co-development agreements and the purchase or sale of assets, including tangible and intangible assets such as intellectual property.</w:t>
      </w:r>
    </w:p>
    <w:p>
      <w:pPr>
        <w:spacing w:after="0" w:line="20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Acquisitions may require significant capital, typically entail many risks and could result in difficulties in assimilating and integrating the purchased assets, products or technologies. The Combined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57" w:lineRule="auto"/>
        <w:rPr>
          <w:sz w:val="20"/>
          <w:szCs w:val="20"/>
          <w:color w:val="auto"/>
        </w:rPr>
      </w:pPr>
      <w:r>
        <w:rPr>
          <w:rFonts w:ascii="Arial" w:cs="Arial" w:eastAsia="Arial" w:hAnsi="Arial"/>
          <w:sz w:val="17"/>
          <w:szCs w:val="17"/>
          <w:color w:val="auto"/>
        </w:rPr>
        <w:t>Company may experience unanticipated costs and expenditures, changing relationships with suppliers and strategic partners, difficulties developing product development plans, or contractual, intellectual property or employment issues. These challenges could disrupt the Combined Company’s ongoing business, distract its management and employees, harm its reputation and increase its expenses. These challenges would be even greater if the Combined Company acquired a business or entered into a business combination transaction.</w:t>
      </w:r>
    </w:p>
    <w:p>
      <w:pPr>
        <w:spacing w:after="0" w:line="18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Acquisitions may require large one-time charges and can result in increased debt or contingent liabilities, adverse tax consequences, additional share-based compensation expense and the recording and later amortization of amounts related to certain purchased intangible assets, any of which could adversely affect the Combined Company’s results of operations. Any of these charges could cause the value of Mereo Shares to decline.</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Acquisitions or asset purchases made entirely or partially for cash may reduce the Combined Company’s cash reserves. The Combined Company may seek to obtain additional cash to fund an acquisition by selling equity or debt securities. Any issuance of equity or convertible debt securities may be dilutive to holders of Mereo ADSs or Mereo Shares.</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The Combined Company may not be able to find suitable acquisition opportunities that are available at attractive valuations, if at all. Even if it does find suitable acquisition opportunities, it may not be able to consummate the acquisitions on commercially acceptable terms, and any decline in the price of Mereo ADSs or Mereo Shares may make it significantly more difficult and expensive to initiate or consummate additional acquisitions.</w:t>
      </w:r>
    </w:p>
    <w:p>
      <w:pPr>
        <w:spacing w:after="0" w:line="180" w:lineRule="exact"/>
        <w:rPr>
          <w:sz w:val="20"/>
          <w:szCs w:val="20"/>
          <w:color w:val="auto"/>
        </w:rPr>
      </w:pPr>
    </w:p>
    <w:p>
      <w:pPr>
        <w:ind w:left="200" w:right="60"/>
        <w:spacing w:after="0" w:line="242" w:lineRule="auto"/>
        <w:rPr>
          <w:sz w:val="20"/>
          <w:szCs w:val="20"/>
          <w:color w:val="auto"/>
        </w:rPr>
      </w:pPr>
      <w:r>
        <w:rPr>
          <w:rFonts w:ascii="Arial" w:cs="Arial" w:eastAsia="Arial" w:hAnsi="Arial"/>
          <w:sz w:val="18"/>
          <w:szCs w:val="18"/>
          <w:b w:val="1"/>
          <w:bCs w:val="1"/>
          <w:i w:val="1"/>
          <w:iCs w:val="1"/>
          <w:color w:val="auto"/>
        </w:rPr>
        <w:t>The Combined Company’s consolidated financial statements will be prepared in accordance with IFRS. OncoMed prepares its consolidated financial statements in accordance with U.S. GAAP. The conversion of OncoMed’s historical consolidated financial statements into IFRS and the preparation of the Combined Company’s future consolidated financial statements in accordance with IFRS could result in material changes in the reported results of operations, financial position and cash flows of the OncoMed business compared with amounts that it had previously reported (or would have reported in the future) as a stand-alone business in accordance with U.S. GAAP.</w:t>
      </w:r>
    </w:p>
    <w:p>
      <w:pPr>
        <w:spacing w:after="0" w:line="66"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Combined Company’s consolidated financial statements will be prepared in accordance with IFRS. OncoMed prepares its consolidated financial statements in accordance with U.S. GAAP. Significant differences exist between IFRS and U.S. GAAP that may be relevant to OncoMed. Furthermore, significant adjustments may be made to the carrying amounts of the assets and liabilities of OncoMed at the date of completion of the Merger in accordance with business combination accounting under IFRS. Such adjustments may include the recognition of identifiable intangible assets, the remeasurement of property, plant and equipment, the recognition of certain contingent liabilities, deferred revenues and related income tax effects. Accordingly, the conversion of OncoMed’s historical consolidated financial statements into IFRS and the preparation of the Combined Company’s future consolidated financial statements in accordance with IFRS could result in material changes in the reported results of operations, financial position and cash flows of the OncoMed business compared with amounts that it previously reported (or would have reported in the future) as a stand-alone business in accordance with U.S. GAAP.</w:t>
      </w:r>
    </w:p>
    <w:p>
      <w:pPr>
        <w:spacing w:after="0" w:line="18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Following the Merger, the executive officers, board of directors and certain of Mereo’s existing shareholders will continue to own a majority or a significant portion of the Combined Company and, as a result, will continue to have control or significant influence over the Combined Company and your interests may conflict with the interests of these shareholders.</w:t>
      </w:r>
    </w:p>
    <w:p>
      <w:pPr>
        <w:spacing w:after="0" w:line="191"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After giving effect to the Merger, Mereo’s executive officers, board of directors and significant shareholders and their respective affiliates, in the aggregate, will own approximately 11.3% of Mereo’s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51" w:lineRule="auto"/>
        <w:rPr>
          <w:sz w:val="20"/>
          <w:szCs w:val="20"/>
          <w:color w:val="auto"/>
        </w:rPr>
      </w:pPr>
      <w:r>
        <w:rPr>
          <w:rFonts w:ascii="Arial" w:cs="Arial" w:eastAsia="Arial" w:hAnsi="Arial"/>
          <w:sz w:val="17"/>
          <w:szCs w:val="17"/>
          <w:color w:val="auto"/>
        </w:rPr>
        <w:t>outstanding ordinary shares (including ordinary shares in the form of Mereo ADSs). Depending on the level of attendance at Mereo’s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Mereo’s general meetings of shareholders may control any shareholder resolution requiring a simple majority, including the appointment of board members, certain decisions relating to Mereo’s capital structure and the approval of certain significant corporate transactions. Any shareholder or group of shareholders controlling more than 75% of the share capital present and voting at Mereo’s general meetings of shareholders may control any shareholder resolution amending Mereo’s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the Mereo ADSs and Mereo Shares.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Mereo ADSs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will be no public market for Mereo ADSs prior to the Merger, and an active trading market may not develop.</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While the existing Mereo Shares have been traded on AIM since 2016, there will be no public market for Mereo ADSs or Mereo Shares in the United States prior to the completion of the Merger. Although Mereo expects that the Mereo ADSs will be approved for listing on Nasdaq, Mereo cannot predict the extent to which investor interest in the Mereo ADSs will lead to the development of an active trading market or how liquid that market might become. An active public market for Mereo ADSs may not develop or be sustained after the completion of the Merger. If an active public market does not develop or is not sustained, it may be difficult for you to sell your Mereo ADSs at a price that is attractive to you, or at all.</w:t>
      </w:r>
    </w:p>
    <w:p>
      <w:pPr>
        <w:spacing w:after="0" w:line="183"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The market price for Mereo ADSs and the underlying Mereo Shares may be volatile and may decline regardless of Mereo’s operating performance, and the value of your investment could materially decline.</w:t>
      </w:r>
    </w:p>
    <w:p>
      <w:pPr>
        <w:spacing w:after="0" w:line="27"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Investors who hold Mereo ADSs may not be able to resell those Mereo ADSs at or above the value of such Mereo ADSs at the Effective Time. The trading price of Mereo ADSs may fluctuate, and the trading price of Mereo Shares on AIM is likely to continue to fluctuate, substantially.</w:t>
      </w:r>
    </w:p>
    <w:p>
      <w:pPr>
        <w:spacing w:after="0" w:line="203"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The market price of Mereo ADSs and Mereo Shares may fluctuate significantly in response to numerous factors, many of which are beyond Mereo’s control, including:</w:t>
      </w:r>
    </w:p>
    <w:p>
      <w:pPr>
        <w:spacing w:after="0" w:line="188" w:lineRule="exact"/>
        <w:rPr>
          <w:sz w:val="20"/>
          <w:szCs w:val="20"/>
          <w:color w:val="auto"/>
        </w:rPr>
      </w:pPr>
    </w:p>
    <w:p>
      <w:pPr>
        <w:ind w:left="960" w:hanging="432"/>
        <w:spacing w:after="0"/>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Mereo or its competitors;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Mereo’s product candidates or entry into strategic relationships on terms that are not deemed to be favorable to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Mereo or competitors;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Mereo’s periodic results of operations from securities analysts’ estimates;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Mereo’s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Mereo ADSs or Mereo Shares by Mereo, its senior management and board members, holders of Mereo ADSs or Mereo’s other security holders in the future;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Mereo’s control.</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These and other market and industry factors may cause the market price and demand for the Mereo ADSs to fluctuate substantially, regardless of Mereo’s actual operating performance, which may limit or prevent investors from readily selling Mereo ADSs or Mereo Shares and may otherwise negatively affect the liquidity of Mereo ADSs and Mereo Shares.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Mereo ADSs and Mereo Shares, regardless of Mereo’s operating performance. In the past in the United States, when the market price of a security has been volatile, holders of that security have often instituted securities class action litigation against the issuer of such securities. If any of the holders of Mereo ADSs or Mereo Shares were to bring such a lawsuit against Mereo, Mereo could incur substantial costs defending the lawsuit and the attention of Mereo’s senior management would be diverted from the operation of Mereo’s business. Any adverse determination in litigation could also subject Mereo to significant liabilities.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Mereo Shares or Mereo ADSs could depress the market price of Mereo ADSs.</w:t>
      </w:r>
    </w:p>
    <w:p>
      <w:pPr>
        <w:spacing w:after="0" w:line="99"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If holders of Mereo Shares or Mereo ADSs sell, or indicate an intent to sell, substantial amounts of Mereo Shares or Mereo ADSs in the public markets, the trading price of Mereo ADSs or Mereo Shares could decline significantly. These sales might also make it more difficult for Mereo to sell equity or equity-related securities at a time and price that it otherwise would deem appropriate.</w:t>
      </w:r>
    </w:p>
    <w:p>
      <w:pPr>
        <w:spacing w:after="0" w:line="181"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The dual listing of Mereo Shares and Mereo ADSs is costly to maintain and may adversely affect the liquidity and value of Mereo Shares and Mereo ADSs.</w:t>
      </w:r>
    </w:p>
    <w:p>
      <w:pPr>
        <w:spacing w:after="0" w:line="1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Following the Merger and after Mereo ADSs are listed for trading on Nasdaq, Mereo Shares will continue to trade on AIM. Maintaining a dual listing will generate additional costs, including significant legal, accounting, investor relations, and other expenses that Mereo did not previously incur, in addition to the costs associated with the additional reporting requirements described elsewhere in this proxy statement/prospectus. Mereo cannot predict the effect of this dual listing on the value of the Mereo ADSs and Mereo Shares. However, the dual listing of Mereo ADSs and Mereo Shares may dilute the liquidity of these securities in one or both markets and may adversely affect the development of an active trading market for the Mereo ADSs. The price of the Mereo ADSs could also be adversely affected by trading in Mereo Shares on 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Mereo ADSs.</w:t>
      </w:r>
    </w:p>
    <w:p>
      <w:pPr>
        <w:spacing w:after="0" w:line="234"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share price of Mereo Shares is quoted on AIM in pence sterling, while the Mereo ADSs will trade on Nasdaq in U.S. dollars. Fluctuations in the exchange rate between the U.S. dollar and the pound sterling may result in differences between the value of the Mereo ADSs and the value of Mereo Shares, which may result in heavy trading by investors seeking to exploit such differences. In addition,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
        <w:spacing w:after="0" w:line="239" w:lineRule="auto"/>
        <w:rPr>
          <w:sz w:val="20"/>
          <w:szCs w:val="20"/>
          <w:color w:val="auto"/>
        </w:rPr>
      </w:pPr>
      <w:r>
        <w:rPr>
          <w:rFonts w:ascii="Arial" w:cs="Arial" w:eastAsia="Arial" w:hAnsi="Arial"/>
          <w:sz w:val="18"/>
          <w:szCs w:val="18"/>
          <w:color w:val="auto"/>
        </w:rPr>
        <w:t>as a result of fluctuations in the exchange rate between the U.S. dollar and the pound sterling, the U.S. dollar equivalent of the proceeds that a holder of the Mereo ADSs would receive upon the sale in the United Kingdom of any Mereo Shares withdrawn from the depositary, and the U.S. dollar equivalent of any cash dividends paid in pound sterling on Mereo Shares represented by the Mereo ADSs, could also decline.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depositary for Mereo ADSs is entitled to charge holders fees for various services, including annual service fees.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depositary for Mereo ADSs is entitled to charge holders fees for various services including for the issuance of Mereo ADSs upon deposit of Mereo Shares, cancellation of Mereo ADSs, distributions of cash dividends or other cash distributions, distributions of Mereo ADSs pursuant to share dividends or other free share distributions, distributions of securities other than Mereo ADSs and annual service fees. In the case of Mereo ADSs issued by the depositary into The Depository Trust Company (“DTC”), the fees will be charged by the DTC participant to the account of the applicable beneficial owner in accordance with the procedures and practices of the DTC participant as in effect at the time. For further information, see “Description of the Mereo ADSs—Fees and Expenses.” The depositary for Mereo ADSs will not generally be responsible for any United Kingdom stamp duty or stamp duty reserve tax arising upon the issuance or transfer of Mereo ADSs. For a discussion of the United Kingdom stamp duty and stamp duty reserve tax consequences of the issuance and transfer of Mereo ADSs, see “Material U.K. Tax Considerations—Stamp Duty and Stamp Duty Reserve Tax.”</w:t>
      </w:r>
    </w:p>
    <w:p>
      <w:pPr>
        <w:spacing w:after="0" w:line="185"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Mereo’s business, the price and trading volume of Mereo Shares and Mereo ADSs could decline.</w:t>
      </w:r>
    </w:p>
    <w:p>
      <w:pPr>
        <w:spacing w:after="0" w:line="27"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 trading market for Mereo Shares and Mereo ADSs will depend in part on the research and reports that securities or industry analysts publish about Mereo or its business. If one or more of the analysts who covers Mereo downgrades the Mereo Shares or Mereo ADSs or publishes incorrect or unfavorable research about its business, the price of the Mereo Shares and/or Mereo ADSs would likely decline. If one or more of these analysts ceases coverage of Mereo or fails to publish reports on it regularly, or downgrades the Mereo Shares or Mereo ADSs, demand for Mereo ADSs or Mereo Shares could decrease, which could cause the price of Mereo ADSs and/or Mereo Shares and/or trading volume to decline.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the transfer of Mereo ADSs and the withdrawal of the underlying Mereo Shares.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Mereo ADSs generally when Mereo’s books or the books of the depositary are closed, or at any time if Mereo or the depositary thinks it is necessary or advisable to do so because of any requirement of law, government or governmental body, or under any provision of the deposit agreement, or for any other reason, subject to your right to cancel your Mereo ADSs and withdraw the underlying Mereo Shares. Temporary delays in the cancellation of your Mereo ADSs and withdrawal of the underlying Mereo Shares may arise because the depositary has closed its transfer books or Mereo has closed its transfer books, the transfer of Mereo Shares is blocked to permit voting at a shareholders’ meeting or because Mereo is paying a dividend on the Mereo Shares.</w:t>
      </w:r>
    </w:p>
    <w:p>
      <w:pPr>
        <w:spacing w:after="0" w:line="207"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you may not be able to cancel your Mereo ADSs and withdraw the underlying Mereo Shares when you owe money for fees, taxes and similar charges and when it is necessary to prohibit withdrawals in order to comply with any laws or governmental regulations that apply to the Mereo ADSs or to the withdrawal of the Mereo Shares or other deposited securities. See “Description of the Mereo ADSs—Withdrawal of Mereo Shares Upon Cancellation of Mereo ADSs.”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24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Mereo ADS holders may not be entitled to a jury trial with respect to claims arising under the deposit agreement, which could result in less favorable results to the plaintiff(s) in any such action.</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deposit agreement governing the Mereo ADSs provides that holders and beneficial owners of ADSs irrevocably waive the right to a trial by jury in any legal proceeding arising out of or relating to the deposit agreement or the ADSs, including claims under U.S. federal securities laws, against Mereo or the depositary to the fullest extent permitted by applicable law. If this jury trial waiver provision is prohibited by applicable law, an action could nevertheless proceed under the terms of the deposit agreement with a jury trial. Although Mereo is not aware of a specific federal decision that addresses the enforceability of a jury trial waiver in the context of U.S. federal securities laws, it is Mereo’s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Mereo believes that this is the case with respect to the deposit agreement and the Mereo ADSs.</w:t>
      </w:r>
    </w:p>
    <w:p>
      <w:pPr>
        <w:spacing w:after="0" w:line="207"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Mereo ADSs serves as a waiver by any holder or beneficial owner of Mereo ADSs or by Mereo or the depositary of compliance with any provision of U.S. federal securities laws and the rules and regulations promulgated thereunder.</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any holder or beneficial owner of Mereo ADSs brings a claim against Mereo or the depositary in connection with matters arising under the deposit agreement or the Mereo ADSs, including claims under U.S. federal securities laws, such holder or beneficial owner may not be entitled to a jury trial with respect to such claims, which may have the effect of limiting and discouraging lawsuits against Mereo or the depositary. If a lawsuit is brought against Mereo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The rights of OncoMed’s stockholders who become holders of Mereo ADSs in the Merger will not be the same as the rights of holders of Mereo Shares or OncoMed common stock.</w:t>
      </w:r>
    </w:p>
    <w:p>
      <w:pPr>
        <w:spacing w:after="0" w:line="27" w:lineRule="exact"/>
        <w:rPr>
          <w:sz w:val="20"/>
          <w:szCs w:val="20"/>
          <w:color w:val="auto"/>
        </w:rPr>
      </w:pPr>
    </w:p>
    <w:p>
      <w:pPr>
        <w:ind w:left="200" w:right="60" w:firstLine="331"/>
        <w:spacing w:after="0" w:line="252" w:lineRule="auto"/>
        <w:rPr>
          <w:sz w:val="20"/>
          <w:szCs w:val="20"/>
          <w:color w:val="auto"/>
        </w:rPr>
      </w:pPr>
      <w:r>
        <w:rPr>
          <w:rFonts w:ascii="Arial" w:cs="Arial" w:eastAsia="Arial" w:hAnsi="Arial"/>
          <w:sz w:val="17"/>
          <w:szCs w:val="17"/>
          <w:color w:val="auto"/>
        </w:rPr>
        <w:t>OncoMed is a corporation organized under the laws of the State of Delaware. The rights of holders of OncoMed common stock are governed by the DGCL, the certificate of incorporation and bylaws of OncoMed and the listing rules of Nasdaq. Mereo is a public limited company organized under the laws of England and Wales. Upon completion of the Merger, the former holders of OncoMed common stock will receive Mereo ADSs, which represent a beneficial ownership interest in Mereo Shares. The rights of holders of Mereo ADSs will be governed by English law, Mereo’s constitutional documents, the AIM rules, United Kingdom and EEA capital markets laws and regulations and the deposit agreement pursuant to which the Mereo ADSs will be issued. There are differences between the rights presently enjoyed by holders of OncoMed common stock and the rights to which the holders of Mereo ADSs will be entitled following the Merger. In addition, the corporate governance practices of Mereo differ in various respects from the corporate governance practices with which OncoMed stockholders may be familiar as a result of their ownership of OncoMed common stock. In some cases, the holders of Mereo</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ADSs to be issued in the Merger may not be entitled to important rights to which they would have been entitled as holders of OncoMed common stock. However, because of aspects of English law, Mereo’s constitutional documents and the terms of the deposit agreement, the rights of holders of Mereo ADSs will not be identical to and, in some respects, may be less favorable than, the rights of holders of Mereo Shares. For more information regarding the characteristics of, and differences between OncoMed common stock, Mereo Shares and Mereo ADSs, please refer to “Description of the Mereo Shares,” “Description of the Mereo ADSs” and “Comparison of Shareholder Rights.”</w:t>
      </w:r>
    </w:p>
    <w:p>
      <w:pPr>
        <w:spacing w:after="0" w:line="18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Mereo Shares represented by Mereo ADSs or any value for them if it is unlawful or impractical to make them available to holders of Mereo ADSs.</w:t>
      </w:r>
    </w:p>
    <w:p>
      <w:pPr>
        <w:spacing w:after="0" w:line="4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expects that the depositary for Mereo ADSs will agree to pay to you or distribute the cash dividends or other distributions it or the custodian receives on Mereo Shares or other deposited securities after deducting its fees and expenses. You will receive these distributions in proportion to the number of Mereo Shares your Mereo ADSs represent. However, in accordance with the limitations that Mereo expects will be set forth in the deposit agreement, it may be unlawful or impractical to make a distribution available to holders of Mereo ADSs. Mereo has no obligation to take any other action to permit the distribution of Mereo ADSs, Mereo Shares, rights or anything else to holders of Mereo ADSs. This means that you may not receive the distributions Mereo makes on the Mereo Shares or any value from them if it is unlawful or impractical to make them available to you. These restrictions may have a material adverse effect on the value of Mereo ADSs.</w:t>
      </w:r>
    </w:p>
    <w:p>
      <w:pPr>
        <w:spacing w:after="0" w:line="186"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Mereo or members of the Mereo Board, which may limit the remedies otherwise available to you.</w:t>
      </w:r>
    </w:p>
    <w:p>
      <w:pPr>
        <w:spacing w:after="0" w:line="2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 is incorporated as a public limited company in England and Wales, and the majority of Mereo’s assets are located outside the United States. In addition, the majority of the members of the Mereo Board are nationals and residents of countries, including the United Kingdom, outside of the United States. Most or all of the assets of these individuals are located outside the United States. As a result, it may be difficult or impossible for you to bring an action against Mereo or against these individuals in the United States if you believe your rights have been infringed under the securities laws or otherwise. In addition, a United Kingdom court may prevent you from enforcing a judgment of a U.S. court against Mereo or these individuals based on the securities laws of the United States or any state thereof. A United Kingdom court may not allow you to bring an action against Mereo or its directors based on the securities laws of the United States or any state thereof.</w:t>
      </w:r>
    </w:p>
    <w:p>
      <w:pPr>
        <w:spacing w:after="0" w:line="186"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English law, shareholders usually have preemptive rights to subscribe on a pro rata basis in the issuance of new shares for cash. The exercise of preemptive rights by certain shareholders not resident in the United Kingdom may be restricted by applicable law or practice in the United Kingdom and overseas jurisdictions. In particular, the exercise of preemptive rights by U.S. shareholders would be prohibited unless that rights offering is registered under the Securities Act or an exemption from the registration requirements of the Securities Act applies. Furthermore, under the deposit agreement for the Mereo ADSs, the depositary generally will not offer those rights to holders of Mereo ADSs unless both the rights and the underlying securities to be distributed to holders of Mereo ADSs are either registered under the Securities Act, or exempt from registration under the Securities Act with respect to all holders of Mereo ADSs. If no exemption applies and the Combined Company determines not to register the rights offering, shareholders in the United States may not be able or permitted to exercise their preemptive rights. Mereo is also permitted under English law to disapply preemptive rights (subject to the approval of its shareholders by special resolution) and thereby exclude certain shareholders, such as overseas shareholders, from participating in a rights offering (usually to avoid a breach of local securities laws).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Holders of Mereo ADSs may not have the same voting rights as holders of Mereo Shares and may not receive voting materials in time to be able to exercise their right to vote.</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Except as described in this proxy statement/prospectus and as provided in the deposit agreement, holders of Mereo ADSs will not be able to exercise voting rights attaching to Mereo Shares underlying the Mereo ADSs issued pursuant to the Merger on an individual basis. Each holder of Mereo ADSs will appoint the depositary or its nominee as the holder’s representative to exercise, pursuant to the instructions of the holder, the voting rights attaching to the Mereo Shares underlying the Mereo ADSs issued pursuant to the Merger. Holders of Mereo ADSs may not receive voting materials in time to instruct the depositary to vote, and it is possible that they, or persons who hold their Mereo ADSs through brokers, dealers or other third parties, will not have the opportunity to exercise a right to vote. See “Description of the Mereo ADSs—Voting Rights.”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Because Mereo does not anticipate paying any cash dividends on Mereo ADSs or Mereo Shares in the foreseeable future, capital appreciation, if any, will be your sole source of gains and you may never receive a return on your investment.</w:t>
      </w:r>
    </w:p>
    <w:p>
      <w:pPr>
        <w:spacing w:after="0" w:line="176"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Mereo must have distributable profits before issuing a dividend. Mereo has not paid dividends in the past on its ordinary shares. Further, Mereo intends to retain future earnings, if any, for use in its business and does not anticipate paying any cash dividends in the foreseeable future. In addition, Mereo’s credit facility prohibits it from paying dividends on its equity securities, and any future debt agreements may likewise preclude Mereo from paying dividends. As a result, capital appreciation, if any, on Mereo ADSs or Mereo Shares will be your sole source of gains for the foreseeable future.</w:t>
      </w:r>
    </w:p>
    <w:p>
      <w:pPr>
        <w:spacing w:after="0" w:line="183" w:lineRule="exact"/>
        <w:rPr>
          <w:sz w:val="20"/>
          <w:szCs w:val="20"/>
          <w:color w:val="auto"/>
        </w:rPr>
      </w:pPr>
    </w:p>
    <w:p>
      <w:pPr>
        <w:ind w:left="200" w:right="1120"/>
        <w:spacing w:after="0" w:line="271" w:lineRule="auto"/>
        <w:rPr>
          <w:sz w:val="20"/>
          <w:szCs w:val="20"/>
          <w:color w:val="auto"/>
        </w:rPr>
      </w:pPr>
      <w:r>
        <w:rPr>
          <w:rFonts w:ascii="Arial" w:cs="Arial" w:eastAsia="Arial" w:hAnsi="Arial"/>
          <w:sz w:val="18"/>
          <w:szCs w:val="18"/>
          <w:b w:val="1"/>
          <w:bCs w:val="1"/>
          <w:i w:val="1"/>
          <w:iCs w:val="1"/>
          <w:color w:val="auto"/>
        </w:rPr>
        <w:t>If Mereo is a passive foreign investment company (“PFIC”), you could be subject to adverse U.S. federal income tax consequences if you are a U.S. investor.</w:t>
      </w:r>
    </w:p>
    <w:p>
      <w:pPr>
        <w:spacing w:after="0" w:line="17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general, a non -U.S. corporation will be a PFIC for any taxable year in which (i) 75% or more of its gross income consists of passive income or (ii) 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assets shown on Mereo’s consolidated balance sheet (taking into account OncoMed assets acquired as a result of the Merger) are expected to include a significant amount of cash and cash equivalents for the foreseeable future. Therefore, whether Mereo will satisfy the assets test for the current or any future taxable year generally will depend largely on the quarterly value of Mereo’s goodwill, and on how quickly Mereo utilizes the cash in its business. Because (i) the value of Mereo’s goodwill may be determined by reference to the market price of the Mereo Shares or the Mereo ADSs, which may be volatile given the nature and early stage of its business, (ii) Mereo expects to continue to hold a significant amount of cash, and (iii) a company’s PFIC status is an annual determination that can be made only after the end of each taxable year, Mereo cannot express a view as to whether it will be a PFIC for the current or any future taxable year. For the reasons described above, it is possible that Mereo may be a PFIC for its current or any future taxable year.</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Mereo were a PFIC for any taxable year during which a U.S. investor holds Mereo ADSs or Mereo Shares, certain adverse U.S.</w:t>
      </w:r>
    </w:p>
    <w:p>
      <w:pPr>
        <w:ind w:left="200"/>
        <w:spacing w:after="0"/>
        <w:rPr>
          <w:sz w:val="20"/>
          <w:szCs w:val="20"/>
          <w:color w:val="auto"/>
        </w:rPr>
      </w:pPr>
      <w:r>
        <w:rPr>
          <w:rFonts w:ascii="Arial" w:cs="Arial" w:eastAsia="Arial" w:hAnsi="Arial"/>
          <w:sz w:val="18"/>
          <w:szCs w:val="18"/>
          <w:color w:val="auto"/>
        </w:rPr>
        <w:t>federal income tax consequences could apply to such U.S.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investor. See “U.S. Federal Income Tax Considerations—Material U.S. Federal Income Tax Considerations of Owning Mereo ADSs or Mereo Shares—Passive Foreign Investment Company Rules.”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Mereo’s Business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Relating to Mereo’s Business and Industry</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has a limited operating history and has never generated any product revenue.</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a multi-asset, clinical-stage biopharmaceutical company with a limited operating history, and has incurred significant operating losses since its formation. Mereo had net losses of £28.4 million and £38.8 million in the years ended December 31, 2016 and 2017, respectively, and £22.7 million and £17.0 million for the six months ended June 30, 2017 and 2018, respectively. As of June 30, 2018, Mereo had an accumulated loss of £ 96.2 million. Mereo’s losses have resulted principally from expenses incurred from the research and development of its product candidates and from general and administrative costs that it has incurred while building its business infrastructure. Mereo expects to continue to incur significant operating losses for the foreseeable future as it seeks to acquire new product candidates, expand its research and development efforts, and seek to obtain regulatory approval and potentially commercialize its product candidates. Mereo anticipates that its expenses will increase substantially as it:</w:t>
      </w:r>
    </w:p>
    <w:p>
      <w:pPr>
        <w:spacing w:after="0" w:line="235" w:lineRule="exact"/>
        <w:rPr>
          <w:sz w:val="20"/>
          <w:szCs w:val="20"/>
          <w:color w:val="auto"/>
        </w:rPr>
      </w:pPr>
    </w:p>
    <w:p>
      <w:pPr>
        <w:ind w:left="960" w:right="42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continues to conduct its ongoing Phase 2b clinical trial of BPS-804 for the treatment of OI in adults and its ongoing Phase 2 clinical trial of MPH-966 for the treatment of severe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commences its planned pediatric Phase 3 clinical trial of BPS-804 for the treatment of OI in Europe and Canada;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regulatory approvals for its product candidates;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establishes a commercial infrastructure and works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maintains, expands, and protects Mereo’s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secures, maintains, or obtains freedom to operate for its technologies and products;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adds clinical, scientific, operational, financial, and management personnel, including personnel to support the development of its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expands its operations in the United Kingdom and potentially hires employees in the United States.</w:t>
      </w:r>
    </w:p>
    <w:p>
      <w:pPr>
        <w:spacing w:after="0" w:line="202"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Mereo’s expenses may also increase substantially if it experiences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520" w:firstLine="331"/>
        <w:spacing w:after="0" w:line="275" w:lineRule="auto"/>
        <w:rPr>
          <w:sz w:val="20"/>
          <w:szCs w:val="20"/>
          <w:color w:val="auto"/>
        </w:rPr>
      </w:pPr>
      <w:r>
        <w:rPr>
          <w:rFonts w:ascii="Arial" w:cs="Arial" w:eastAsia="Arial" w:hAnsi="Arial"/>
          <w:sz w:val="17"/>
          <w:szCs w:val="17"/>
          <w:color w:val="auto"/>
        </w:rPr>
        <w:t>Mereo has devoted substantially all of its financial resources and efforts to the acquisition and clinical development of BPS-804, MPH-966, BCT-197, and BGS-649. Mereo has not completed the clinical development of any product candidate through approval.</w:t>
      </w:r>
    </w:p>
    <w:p>
      <w:pPr>
        <w:spacing w:after="0" w:line="17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 become and remain profitable, Mereo must succeed in developing and commercializing products that generate significant revenue. This will require Mereo to be successful in a range of challenging activities, including completing clinical trials of Mereo’s current or any future product candidates, obtaining regulatory approval for Mereo’s product candidates that successfully complete clinical trials, establishing manufacturing supplies and marketing capabilities, and ultimately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commercializing or entering into strategic relationships for Mereo’s current and future product candidates, if approved. Mereo is only in the preliminary stages of many of these activities. Mereo may never succeed in these activities and, even if it does, it may never generate revenue that is significant enough to achieve profitability.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Mereo is unable to accurately predict the timing or amount of increased expenses or when, or if, it will be able to achieve profitability. Mereo may be subject to different or contradictory regulatory requirements in different countries, and different regulatory authorities may not be aligned on the clinical trials necessary to support approval of its product candidates. If Mereo is required by the FDA, the EMA, or other regulatory authorities to perform studies in addition to those it currently anticipates, or if there are any delays in completing its clinical trials or the development of its current product candidates, Mereo’s expenses could increase and its ability to generate revenue could be further delayed. In addition, Mereo may not be able to acquire new product candidates or may encounter unexpected difficulties or delays in such acquisitions, which would impair its business.</w:t>
      </w:r>
    </w:p>
    <w:p>
      <w:pPr>
        <w:spacing w:after="0" w:line="208"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Furthermore, adoption by the medical community of Mereo’s product candidates, if approved, may be limited if third-party payors offer inadequate reimbursement coverage. Cost control initiatives may decrease coverage and payment levels for Mereo’s products, which in turn would negatively affect the price that Mereo will be able to charge for such products. Mereo is unable to predict the coverage that will be provided by private or government payors for any product candidate Mereo has in development. Any denial of private or government payor coverage, inadequate reimbursement for Mereo’s products, or delay in receipt of reimbursement payments could harm Mereo’s business and, even if Mereo were to generate product royalties or product sales, it may never achieve or sustain profitability. Mereo’s failure to sustain profitability would depress the market price of the Mereo ADSs and Mereo Shares and could impair its ability to raise capital, acquire new product candidates, expand its business, or continue Mereo’s operations. A decline in the market price of the Mereo ADSs or Mereo Shares also could cause you to lose all or a part of your investment.</w:t>
      </w:r>
    </w:p>
    <w:p>
      <w:pPr>
        <w:spacing w:after="0" w:line="185"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Mereo’s limited operating history may make it difficult for you to evaluate the success of its business to date and to assess its future viability.</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Since Mereo’s formation, it has devoted substantially all of its resources to acquiring and developing BPS-804, MPH-966, BCT-197, and BGS-649; building its intellectual property portfolio; developing its supply chain; planning its business; raising capital; and providing general and administrative support for these operations. Mereo has not yet demonstrated its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Mereo has acquired product candidates from two large pharmaceutical companies, it has not demonstrated the sustainability of its business model of acquiring and developing product candidates for rare and specialty diseases from, and becoming a partner of choice for, large pharmaceutical companies, nor has it demonstrated its ability to obtain approvals for or to commercialize these product candidates. Consequently, any predictions you make about Mereo’s future success or viability may not be as accurate as they could be if Mereo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not be successful in its efforts to identify and acquire additional product candidates.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Part of Mereo’s strategy involves identifying and acquiring novel product candidates that have received significant investment from large pharmaceutical companies and that have substantial pre-clinical, clinical, and manufacturing data packages. The process by which Mereo identify product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candidates may fail to yield product candidates for clinical development for a number of reasons, including those discussed in these risk factors and also:</w:t>
      </w:r>
    </w:p>
    <w:p>
      <w:pPr>
        <w:spacing w:after="0" w:line="224" w:lineRule="exact"/>
        <w:rPr>
          <w:sz w:val="20"/>
          <w:szCs w:val="20"/>
          <w:color w:val="auto"/>
        </w:rPr>
      </w:pPr>
    </w:p>
    <w:p>
      <w:pPr>
        <w:ind w:left="960" w:right="38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Mereo acquires that have generated positive clinical data for Mereo’s target indication or in diseases other than Mereo’s target indications may not prove to be effective in treating Mereo’s target indications;</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Mereo does not seek to or is unable to match.</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Mereo may choose to focus its efforts and resources on a potential product candidate that ultimately proves to be unsuccessful. Further, time and resources spent searching for, identifying, acquiring, and developing potential product candidates may distract Mereo’s management’s attention from Mereo’s primary business or other development programs. If Mereo is unable to identify and acquire additional suitable product candidates for clinical development, this would adversely impact its business strategy and its financial position and share price.</w:t>
      </w:r>
    </w:p>
    <w:p>
      <w:pPr>
        <w:spacing w:after="0" w:line="18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Mereo will need additional funding to complete the development of its current product candidates; to license, acquire, and develop future product candidates; and to commercialize its product candidates, if approved. If Mereo is unable to raise capital when needed, it could be forced to delay, reduce, or eliminate its product development programs or any future commercialization efforts.</w:t>
      </w:r>
    </w:p>
    <w:p>
      <w:pPr>
        <w:spacing w:after="0" w:line="61"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Mereo expects its expenses to increase in connection with its ongoing activities, particularly as it conducts its ongoing Phase 2b clinical trial for BPS-804, its planned pediatric Phase 3 study for BPS-804 and its ongoing Phase 2 clinical trial for MPH-966. Mereo also expects its expenses to rise as it seeks to acquire and develop new product candidates. In addition, if Mereo obtains regulatory approval for any of its product candidates, it expects to incur significant commercialization expenses related to product manufacturing, marketing, sales, and distribution for any products it commercializes directly. Furthermore, upon the closing of the Merger, Mereo expects to incur additional costs associated with operating as a public company in the United Kingdom and the United States and maintaining listings on both AIM and Nasdaq. Accordingly, Mereo will need to obtain substantial additional funding in connection with its continuing operations. If Mereo is unable to raise capital when needed or on attractive terms, it could be forced to delay, reduce, or eliminate its research and development programs, any future commercialization efforts, or acquisitions of potential product candidates.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expects that its existing cash resources, together with the anticipated net cash to be held by OncoMed at the time of the closing of the Merger, will enable it to fund its operating expenses and capital expenditure requirements into early 2020. Mereo has based this estimate on assumptions that may prove to be wrong, and Mereo could use its capital resources sooner than it currently expects, or its operating plan may change as a result of many factors unknown to it. These factors, among others, may necessitate that Mereo seek additional capital sooner than currently planned. In addition, Mereo may seek additional capital due to favorable market conditions or strategic considerations, even if it believes that it has sufficient funds for its current or future operating plans.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future capital requirements will depend on many factors, including:</w:t>
      </w:r>
    </w:p>
    <w:p>
      <w:pPr>
        <w:spacing w:after="0" w:line="239" w:lineRule="exact"/>
        <w:rPr>
          <w:sz w:val="20"/>
          <w:szCs w:val="20"/>
          <w:color w:val="auto"/>
        </w:rPr>
      </w:pPr>
    </w:p>
    <w:p>
      <w:pPr>
        <w:ind w:left="960" w:right="10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its ongoing Phase 2b clinical trial for BPS-804; its planned pediatric Phase 3 study for BPS-804; and its ongoing Phase 2 clinical trial for MPH-966;</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its product candidates;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its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its product candidates that it commercializes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its product candidates;</w:t>
      </w:r>
    </w:p>
    <w:p>
      <w:pPr>
        <w:spacing w:after="0" w:line="26" w:lineRule="exact"/>
        <w:rPr>
          <w:rFonts w:ascii="MS PGothic" w:cs="MS PGothic" w:eastAsia="MS PGothic" w:hAnsi="MS PGothic"/>
          <w:sz w:val="25"/>
          <w:szCs w:val="25"/>
          <w:color w:val="auto"/>
          <w:vertAlign w:val="superscript"/>
        </w:rPr>
      </w:pPr>
    </w:p>
    <w:p>
      <w:pPr>
        <w:jc w:val="both"/>
        <w:ind w:left="960" w:right="18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its intellectual property rights; and defending any intellectual property-related claims, including any claims by third parties that Mereo is infringing upon the third party’s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its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jc w:val="both"/>
        <w:ind w:left="960" w:right="8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Mereo is able to acquire new product candidates or enter into licensing or collaboration arrangements for its product candidates, although Mereo currently has no commitments or agreements to complete any such transactions other than the Merger Agreement and the transactions contemplated thereby.</w:t>
      </w:r>
    </w:p>
    <w:p>
      <w:pPr>
        <w:spacing w:after="0" w:line="204" w:lineRule="exact"/>
        <w:rPr>
          <w:sz w:val="20"/>
          <w:szCs w:val="20"/>
          <w:color w:val="auto"/>
        </w:rPr>
      </w:pPr>
    </w:p>
    <w:p>
      <w:pPr>
        <w:jc w:val="both"/>
        <w:ind w:left="200" w:right="160" w:firstLine="331"/>
        <w:spacing w:after="0" w:line="239" w:lineRule="auto"/>
        <w:rPr>
          <w:sz w:val="20"/>
          <w:szCs w:val="20"/>
          <w:color w:val="auto"/>
        </w:rPr>
      </w:pPr>
      <w:r>
        <w:rPr>
          <w:rFonts w:ascii="Arial" w:cs="Arial" w:eastAsia="Arial" w:hAnsi="Arial"/>
          <w:sz w:val="18"/>
          <w:szCs w:val="18"/>
          <w:color w:val="auto"/>
        </w:rPr>
        <w:t>Any additional fundraising efforts may divert Mereo’s management from its day-to-day activities, which may adversely affect Mereo’s ability to develop and commercialize its product candidates. In addition, Mereo cannot guarantee that future financing will be available in sufficient amounts or on terms acceptable to it, if at all. Moreover, the terms of any financing may adversely affect Mereo’s business, the holdings or the rights of its shareholders, or the value of the Mereo ADSs or Mereo Shares.</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If Mereo is unable to obtain funding on a timely basis, it may be required to significantly curtail, delay, or discontinue its research and development programs or any commercialization efforts; be unable to expand its operations or acquire product candidates; or be unable to otherwise capitalize on its business opportunities, as desired, which could harm its business and potentially force it to discontinue operations.</w:t>
      </w:r>
    </w:p>
    <w:p>
      <w:pPr>
        <w:spacing w:after="0" w:line="18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Mereo’s security holders, including holders of Mereo ADSs received in the Merger; restrict Mereo’s operations; or require Mereo to relinquish rights to its technologies or product candidates.</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Until such time, if ever, as Mereo can generate substantial product revenues, it may finance its cash needs through securities offerings, debt financings, license and collaboration agreements, or other capital raising transactions. If Mereo raises capital through securities offerings, your ownership interest will be diluted, and the terms of the securities Mereo issues in such transaction may include liquidation or other preferences that adversely affect your rights as a holder of Mereo ADSs. Debt financing, if available, could result in fixed payment obligations, and Mereo may be required to agree to certain restrictive covenants, such as limitations on its ability to incur additional debt, to acquire, sell or license intellectual property rights, to make capital expenditures, to declare dividends, or other operating restrictions. For example, Mereo’s credit facility with Silicon Valley Bank and Kreos Capital V (UK) Limited, or the credit facility, requires Mereo to seek consent for certain corporate transactions,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dispositions, or incurrences of certain debt. If Mereo raises additional funds through collaboration or licensing agreements, it may have to relinquish valuable rights to its technologies, future revenue streams, or product candidates or grant licenses on terms that may not be favorable to it. In addition, Mereo could also be required to seek funds through arrangements with collaborators or others at an earlier stage than otherwise would be desirable. Raising additional capital through any of these or other means could adversely affect Mereo’s business and the holdings or rights of Mereo’s security holders, and may cause the market price of the Mereo ADSs or the Mereo Shares to decline.</w:t>
      </w:r>
    </w:p>
    <w:p>
      <w:pPr>
        <w:spacing w:after="0" w:line="183"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Mereo depends heavily on the success of BPS-804, MPH-966, BCT-197, and BGS-649. Mereo cannot give any assurance that any of these product candidates will receive regulatory approval, which is necessary before they can be commercialized. If Mereo is unable to commercialize, whether on its own or through agreements with third parties, BPS-804, MPH-966, BCT-197, or BGS-649, or experience significant delays in doing so, Mereo’s ability to generate revenue and Mereo’s financial condition will be adversely affected.</w:t>
      </w:r>
    </w:p>
    <w:p>
      <w:pPr>
        <w:spacing w:after="0" w:line="6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does not currently generate any revenue from sales of any products, and it may never be able to develop or commercialize a marketable product. Mereo has invested substantially all of its efforts and financial resources in the acquisition and development of BPS-804, MPH-966, BCT-197, and BGS-649, and it does not have any other product candidates currently under development. Mereo’s ability to generate royalty and product revenues, which it does not expect will occur for at least the next several years, if ever, will depend heavily on the successful development and eventual commercialization of its current product candidates, if approved, which may never occur. Mereo’s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Mereo generates any revenue from product sales. For example, Mereo intends to commence a Phase 3 clinical trial of BPS-804, its most advanced product candidate, in children with OI in 2019 in Europe and Canada. Mereo plans to engage with the FDA in 2019 to discuss the expansion of Mereo’s pediatric Phase 3 study to include sites in the United States. However, the FDA may not approve Mereo’s pediatric trial for BPS-804, which would adversely affect the clinical development of BPS-804 in the United States and adversely affect Mereo’s commercialization plans in the United States.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is not permitted to market or promote any product candidates in the United States, Europe, or other countries before it receives regulatory approval from the FDA, the EMA, or comparable foreign regulatory authorities, and it may never receive such regulatory approval for its current product candidates. Mereo has not submitted a Biologics License Application (“BLA”) or a New Drug Application (“NDA”), to the FDA; a Marketing Authorization Application (“MAA”) to the EMA; or comparable applications to other regulatory authorities, and does not expect to be in a position to do so in the foreseeable future. The success of Mereo’s current product candidates will depend on many factors, including the following:</w:t>
      </w:r>
    </w:p>
    <w:p>
      <w:pPr>
        <w:spacing w:after="0" w:line="232" w:lineRule="exact"/>
        <w:rPr>
          <w:sz w:val="20"/>
          <w:szCs w:val="20"/>
          <w:color w:val="auto"/>
        </w:rPr>
      </w:pPr>
    </w:p>
    <w:p>
      <w:pPr>
        <w:ind w:left="960" w:right="42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not be able to demonstrate that any of its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its current product candidates, which would increase its costs and prolong development;</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Mereo’s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Mereo’s planned and future clinical trials for its current product candidates;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(“CROs”), that Mereo retains to conduct clinical trials may take actions outside of its control that materially adversely impact clinical trials for its current product candidates;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Mereo’s current product candidates outweigh its safety risks;</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Mereo’s interpretation of data from its clinical trials or may require that Mereo conduct additional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Mereo’s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Mereo submits a BLA or NDA to the FDA, and it is reviewed by an advisory committee, the FDA may have difficulties scheduling an advisory committee meeting in a timely manner or the advisory committee may recommend against approval of Mereo’s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Mereo’s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Mereo’s clinical trials, Mereo may discover factors that limit the commercial viability of its current product candidates or make the commercialization of any of its current product candidates unfeasible; and</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26"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Mereo’s current product candidates by patients, the medical community, and third-party payors; Mereo’s ability to compete with other therapies to treat OI, AATD, AECOPD, or HH; continued acceptable safety profiles following approval of its current product candidates; and Mereo’s ability to qualify for, maintain, enforce, and defend Mereo’s intellectual property rights and claims.</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If Mereo does not achieve one or more of these factors in a timely manner or at all, it could experience significant delays or may not be able to successfully commercialize its current rare disease product candidates.</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cannot be certain that its current product candidates will be successful in clinical trials or receive regulatory approval. Further, Mereo’s current product candidates may not receive regulatory approval even if they are successful in clinical trials. If Mereo does not receive regulatory approvals for its current product candidates, it may not be able to continue its operations. Even if Mereo successfully obtains regulatory approvals to manufacture and market its current product candidates, its revenues will be dependent, in part, upon the size of the markets in the territories for which Mereo gains regulatory approval and has commercial rights. If the markets for patient subsets that Mereo is targeting are not as significant as it estimates, Mereo may not generate significant revenues from sales of such products, if approved.</w:t>
      </w:r>
    </w:p>
    <w:p>
      <w:pPr>
        <w:spacing w:after="0" w:line="203"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Mereo plans to seek regulatory approval to commercialize its current rare disease product candidates both in the United States and the EU, and potentially in additional foreign countries. While the scope of regulatory approval is similar in many countries, to obtain separate regulatory approval in multiple countries requires Mereo to comply with the numerous and varying regulatory requirements of such countries regarding safety and efficacy and governing, among other things, clinical trials and commercial sales, pricing and distribution, and Mereo cannot predict success in these jurisdictions.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24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business is subject to economic, political, regulatory and other risks associated with international operations.</w:t>
      </w:r>
    </w:p>
    <w:p>
      <w:pPr>
        <w:spacing w:after="0" w:line="99"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Mereo’s business is subject to risks associated with conducting business internationally. Mereo sources research and development, manufacturing, consulting, and other services from companies based throughout the United States, the EU, and Switzerland, and Mereo conducts its clinical trials in the United States, Canada, certain European countries, and other countries. Accordingly, Mereo’s future results could be harmed by a variety of factors, including:</w:t>
      </w:r>
    </w:p>
    <w:p>
      <w:pPr>
        <w:spacing w:after="0" w:line="193" w:lineRule="exact"/>
        <w:rPr>
          <w:sz w:val="20"/>
          <w:szCs w:val="20"/>
          <w:color w:val="auto"/>
        </w:rPr>
      </w:pPr>
    </w:p>
    <w:p>
      <w:pPr>
        <w:ind w:left="960" w:hanging="432"/>
        <w:spacing w:after="0"/>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26"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Mereo’s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Mereo’s results of operations and financial condition.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Mereo’s operations, fluctuations in exchange rates, particularly between the pound sterling and the U.S. dollar, the euro, or the Swiss Franc, may adversely affect Mereo. Further, potential future revenue may be derived from multiple jurisdictions and in multiple currencies. As a result, Mereo’s business and the price of the Mereo ADSs and Mereo Shares may be affected by fluctuations in foreign exchange rates not only between the pound sterling and the U.S. dollar, but also the currencies of other countries, which may have a significant impact on its results of operations and cash flows from period to period. Currently, Mereo does not have any exchange rate hedging arrangements in place.</w:t>
      </w:r>
    </w:p>
    <w:p>
      <w:pPr>
        <w:spacing w:after="0" w:line="18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Mereo’s business, which could reduce the price of the Mereo ADSs.</w:t>
      </w:r>
    </w:p>
    <w:p>
      <w:pPr>
        <w:spacing w:after="0" w:line="2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notice under Article 50 of the Treaty of the European Union (“Article 50”) on March 29, 2017 to formally initiate a withdrawal process. The United Kingdom and the EU have a two-year period under Article 50 to negotiate the terms for withdrawal, which two-year period will, unless extended, expire on March 29, 2019. Following extensive negotiations, a draft withdrawal agreement (the “Draft Withdrawal Agreement”) was approved by each EU member other than the United Kingdom on November 18, 2018. The Draft Withdrawal Agreement proposed a transition period which would end on 31 December 2020, with the possibility of an extended transitionary period thereafter. The Draft Withdrawal Agreement was, however, rejected by a vote of the U.K. parliament on January 15, 2019 and, with limited modifications, was rejected for a second time by the U.K. parliament on March 12, 2019. As of the date of this proxy statement/prospectus, there is no certainty as to the withdrawal process and a “no-deal Brexit,” an extension of the period for negotiation of the United Kingdom’s withdrawal beyond the two-year period contemplated by Article 50, or a second referendum in the United Kingdom cannot be entirely ruled out.</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referendum and withdrawal process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Mereo’s access to capital. If the United Kingdom and the EU are unable to negotiate acceptable withdrawal terms or if other EU member states pursue withdrawal, barrier-free and frictionless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Mereo’s ability to recruit and retain employees from outside the United Kingdom. Any of these factors could have a significant adverse effect on Mereo’s business, financial condition, results of operations, and prospects.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Development, Clinical Testing, Manufacturing and Regulatory Approval</w:t>
      </w:r>
    </w:p>
    <w:p>
      <w:pPr>
        <w:spacing w:after="0" w:line="73" w:lineRule="exact"/>
        <w:rPr>
          <w:sz w:val="20"/>
          <w:szCs w:val="20"/>
          <w:color w:val="auto"/>
        </w:rPr>
      </w:pPr>
    </w:p>
    <w:p>
      <w:pPr>
        <w:ind w:left="200" w:right="20"/>
        <w:spacing w:after="0" w:line="244" w:lineRule="auto"/>
        <w:rPr>
          <w:sz w:val="20"/>
          <w:szCs w:val="20"/>
          <w:color w:val="auto"/>
        </w:rPr>
      </w:pPr>
      <w:r>
        <w:rPr>
          <w:rFonts w:ascii="Arial" w:cs="Arial" w:eastAsia="Arial" w:hAnsi="Arial"/>
          <w:sz w:val="18"/>
          <w:szCs w:val="18"/>
          <w:b w:val="1"/>
          <w:bCs w:val="1"/>
          <w:i w:val="1"/>
          <w:iCs w:val="1"/>
          <w:color w:val="auto"/>
        </w:rPr>
        <w:t>BPS-804, MPH-966, BCT-197, and BGS-649 are in clinical development. Clinical drug development is a lengthy and expensive process with uncertain timelines and uncertain outcomes, and results of earlier studies and trials may not be predictive of future results. If clinical trials of Mereo’s product candidates are prolonged or delayed, or if Mereo’s product candidates fail to show the desired safety and efficacy in later stage clinical trials, Mereo may be unable to obtain required regulatory approvals and be unable to commercialize its product candidates on a timely basis, or at all.</w:t>
      </w:r>
    </w:p>
    <w:p>
      <w:pPr>
        <w:spacing w:after="0" w:line="1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To obtain the requisite regulatory approvals to market and sell any of Mereo’s product candidates, Mereo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Mereo’s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suffered significant setbacks in advanced clinical trials due to lack of efficacy or adverse safety profiles, notwithstanding promising results in earlier trials. Mereo’s future clinical trial results may not be successful.</w:t>
      </w:r>
    </w:p>
    <w:p>
      <w:pPr>
        <w:spacing w:after="0" w:line="197"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may experience delays in its ongoing clinical trials and does not know whether planned clinical trials will begin on time, need to be redesigned, enroll patients on time or be completed on schedule, if at all. Mereo’s clinical trials can be delayed, suspended, or terminated for a variety of reasons, including the following:</w:t>
      </w:r>
    </w:p>
    <w:p>
      <w:pPr>
        <w:spacing w:after="0" w:line="230" w:lineRule="exact"/>
        <w:rPr>
          <w:sz w:val="20"/>
          <w:szCs w:val="20"/>
          <w:color w:val="auto"/>
        </w:rPr>
      </w:pPr>
    </w:p>
    <w:p>
      <w:pPr>
        <w:ind w:left="960" w:right="4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Mereo is unable to submit its proposed protocol to the FDA for a pediatric clinical trial for BPS-804;</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94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Mereo’s CROs to execute its trials in accordance with the clinical trial protocol; good laboratory, clinical, and manufacturing practices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(“IRB”) approval, centrally or at each site;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Mereo’s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Mereo’s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Mereo’s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Mereo’s product candidates in clinical trials inside or outside of the United States and obtaining injunctions interfering with Mereo’s progress;</w:t>
      </w:r>
    </w:p>
    <w:p>
      <w:pPr>
        <w:spacing w:after="0" w:line="27"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Mereo or its collaborators, as applicable, to suspend or terminate a trial if Mereo or its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third-party research contractors failing to comply with regulatory requirements or to meet its contractual obligations to Mereo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Mereo is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Mereo’s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Mereo’s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Mereo could encounter delays if a clinical trial is suspended or terminated by it,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Mereo’s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Mereo’s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A number of academic institutions are currently conducting and sponsoring clinical trials relating to Mereo’s product candidate, MPH-966, including a clinical trial in patients with Type 2 diabetes and a clinical trial in patients with bronchiolitis obliterans. Mereo does not control the design or administration of these investigator-sponsored trials, and such investigator-sponsored trials could identify significant concerns with respect to MPH-966 that could impact Mereo’s findings from its own clinical trials, and adversely affect Mereo’s ability to obtain marketing approval from the FDA or other applicable authorities. To the extent the results of these or other investigator-sponsored trials are inconsistent with, or different from, the results of Mereo’s company-sponsored trials or raise concerns regarding MPH-966, the FDA or a foreign regulatory authority may question the results of a company-sponsored trial, or subject such results to greater scrutiny than it otherwise would. In these circumstances, the FDA or such foreign regulatory authorities may require Mereo to conduct additional clinical studies or submit additional clinical data, which could delay clinical development or marketing approval of MPH-966.</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Mereo’s clinical trials may serve as scientific advisors or consultants to Mereo from time to time and receive compensation in connection with such services. Under certain circumstances, Mereo may be required to report some of these relationships to the FDA, the EMA, or another regulatory authority. The FDA, the EMA, or such other regulatory authority may conclude that a financial relationship between Mereo and a principal investigator has created a conflict of interest or 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Mereo’s marketing applications by the FDA, the EMA, or the other regulatory authority, as the case may be, and may ultimately lead to the denial of marketing approval of Mereo’s product candidates.</w:t>
      </w:r>
    </w:p>
    <w:p>
      <w:pPr>
        <w:spacing w:after="0" w:line="208"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If Mereo experiences delays in the completion of any clinical trial of its product candidates or any clinical trial of its product candidates is terminated, the commercial prospects of its product candidates may be harmed, and its ability to generate product revenues from its product candidates, if any, will be delayed. Moreover, any delays in completing Mereo’s clinical trials will increase its costs, slow down the development and approval process of its product candidates, and jeopardize its ability to commence product sales and generate revenue, if any. Significant clinical trial delays could also allow Mereo’s competitors to bring products to market before Mereo does or shorten any periods during which Mereo has the exclusive right to commercialize its product candidates and could impair Mereo’s</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ability to commercialize its product candidates. In addition, many of the factors that cause, or lead to, a delay in the commencement or completion of clinical trials may also ultimately lead to the denial of regulatory approval of Mereo’s product candidates.</w:t>
      </w:r>
    </w:p>
    <w:p>
      <w:pPr>
        <w:spacing w:after="0" w:line="19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Mereo’s product candidates produced in compliance with the requirements of current good manufacturing practice (“cGMP”) and other regulations. Furthermore, Mereo relies on CROs and clinical trial sites to ensure the proper and timely conduct of its clinical trials and while Mereo has agreements governing the CROs’ committed activities, Mereo has limited influence over the CROs’ actual performance. Mereo depends on its collaborators and on medical institutions and CROs to conduct its clinical trials in compliance with good clinical practice (“GCP”) requirements. To the extent Mereo’s collaborators or the CROs fail to enroll participants for Mereo’s clinical trials, fail to conduct the study to GCP standards, or are delayed for a significant time in the execution of trials, including achieving full enrollment, Mereo may be affected by increased costs, program delays, or both. In addition, clinical trials that are conducted in countries outside the EU and the United States may subject Mereo to further delays and expenses as a result of increased shipment costs, additional regulatory requirements, and the engagement of non-EU and non-U.S. CROs, as well as expose Mereo to risks associated with clinical investigators who are unknown to the FDA or the EMA, and different standards of diagnosis, screening, and medical care.</w:t>
      </w:r>
    </w:p>
    <w:p>
      <w:pPr>
        <w:spacing w:after="0" w:line="182"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Prior to Mereo’s acquisition of BPS-804, MPH -966, BCT-197, and BGS-649, Mereo was not involved in the development of these product candidates and, as a result, Mereo is dependent on Novartis and AstraZeneca having accurately reported the results and correctly collected and interpreted the data from all clinical trials conducted prior to Mereo’s acquisition.</w:t>
      </w:r>
    </w:p>
    <w:p>
      <w:pPr>
        <w:spacing w:after="0" w:line="19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was not involved in the development of its current product candidates prior to its acquisition of such product candidates from Novartis and AstraZeneca, respectively. For all of Mereo’s current product candidates, Mereo has had no involvement with or control over its pre-clinical and clinical development prior to its acquisition of them. Mereo is dependent on Novartis and AstraZeneca having conducted its research and development in accordance with the applicable protocols and legal, regulatory, and scientific standards; having accurately reported the results of all clinical trials conducted prior to Mereo’s acquisition; and having correctly collected and interpreted the data from these trials. To the extent Novartis or AstraZeneca have not complied, the clinical development, regulatory approval, or commercialization of Mereo’s product candidates may be adversely affected.</w:t>
      </w:r>
    </w:p>
    <w:p>
      <w:pPr>
        <w:spacing w:after="0" w:line="181"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Mereo’s clinical trials that Mereo announces or publishes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From time to time, Mereo may publish interim “top-line” or preliminary data from its clinical trials. Interim data from clinical trials that Mereo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Mereo previously published. As a result, interim and preliminary data should be viewed with caution until the final data are available. Adverse differences between preliminary or interim data and final data could significantly harm Mereo’s business prospects.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80"/>
        <w:spacing w:after="0" w:line="244" w:lineRule="auto"/>
        <w:rPr>
          <w:sz w:val="20"/>
          <w:szCs w:val="20"/>
          <w:color w:val="auto"/>
        </w:rPr>
      </w:pPr>
      <w:r>
        <w:rPr>
          <w:rFonts w:ascii="Arial" w:cs="Arial" w:eastAsia="Arial" w:hAnsi="Arial"/>
          <w:sz w:val="18"/>
          <w:szCs w:val="18"/>
          <w:b w:val="1"/>
          <w:bCs w:val="1"/>
          <w:i w:val="1"/>
          <w:iCs w:val="1"/>
          <w:color w:val="auto"/>
        </w:rPr>
        <w:t>Mereo’s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Mereo may need to abandon its development of these product candidates, the commercial profile of any approved label may be limited, or Mereo may be subject to other significant negative consequences following marketing approval, if any.</w:t>
      </w:r>
    </w:p>
    <w:p>
      <w:pPr>
        <w:spacing w:after="0" w:line="1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Undesirable side effects that may be caused by BPS-804, MPH-966, BCT-197, and BGS-649 could cause Mereo or regulatory authorities to interrupt, delay or halt clinical trials, and could result in a more restrictive label or the delay or denial of regulatory approval by the FDA, the EMA, or other comparable foreign authorities. Each of Mereo’s product candidates has completed one or more Phase 2 clinical trials. In the trials conducted prior to Mereo’s ownership and following Mereo’s ownership, the most common adverse events observed have been the following:</w:t>
      </w:r>
    </w:p>
    <w:p>
      <w:pPr>
        <w:spacing w:after="0" w:line="194" w:lineRule="exact"/>
        <w:rPr>
          <w:sz w:val="20"/>
          <w:szCs w:val="20"/>
          <w:color w:val="auto"/>
        </w:rPr>
      </w:pPr>
    </w:p>
    <w:p>
      <w:pPr>
        <w:ind w:left="960" w:hanging="432"/>
        <w:spacing w:after="0"/>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MPH-966, headache, nasopharyngitis, and elevated levels of the liver enzymes aspartate aminotransferase and alanine aminotransferase;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tachycardia, dizziness, and headache;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increased hematocrit, and small increases in blood pressure.</w:t>
      </w:r>
    </w:p>
    <w:p>
      <w:pPr>
        <w:spacing w:after="0" w:line="203" w:lineRule="exact"/>
        <w:rPr>
          <w:sz w:val="20"/>
          <w:szCs w:val="20"/>
          <w:color w:val="auto"/>
        </w:rPr>
      </w:pPr>
    </w:p>
    <w:p>
      <w:pPr>
        <w:jc w:val="both"/>
        <w:ind w:left="200" w:right="360" w:firstLine="331"/>
        <w:spacing w:after="0" w:line="238" w:lineRule="auto"/>
        <w:rPr>
          <w:sz w:val="20"/>
          <w:szCs w:val="20"/>
          <w:color w:val="auto"/>
        </w:rPr>
      </w:pPr>
      <w:r>
        <w:rPr>
          <w:rFonts w:ascii="Arial" w:cs="Arial" w:eastAsia="Arial" w:hAnsi="Arial"/>
          <w:sz w:val="18"/>
          <w:szCs w:val="18"/>
          <w:color w:val="auto"/>
        </w:rPr>
        <w:t>Clinical development for all of these product candidates is ongoing. Results of Mereo’s ongoing and future clinical trials, or results from clinical trials for other similar product candidates, could reveal a high and unacceptable severity and prevalence of adverse side effects. In such an event, Mereo’s trials could be suspended or terminated and the FDA, EMA, or other comparable foreign regulatory authorities could order Mereo to cease further development of or deny approval of Mereo’s product candidates for any or all targeted indications.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example, 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w:t>
      </w:r>
    </w:p>
    <w:p>
      <w:pPr>
        <w:spacing w:after="0" w:line="208"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Mereo’s product candidates receives marketing approval and Mereo or others later identify undesirable or unacceptable side effects caused by these product candidates, a number of potentially significant negative consequences could result, including:</w:t>
      </w:r>
    </w:p>
    <w:p>
      <w:pPr>
        <w:spacing w:after="0" w:line="193" w:lineRule="exact"/>
        <w:rPr>
          <w:sz w:val="20"/>
          <w:szCs w:val="20"/>
          <w:color w:val="auto"/>
        </w:rPr>
      </w:pPr>
    </w:p>
    <w:p>
      <w:pPr>
        <w:ind w:left="960" w:hanging="432"/>
        <w:spacing w:after="0"/>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Mereo to take it off the market;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Mereo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subject to limitations on how it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private or government payors may not offer, or may offer inadequate, reimbursement coverage for, Mereo’s products, or reimbursement payments may be delayed;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reputation may suffer.</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of these events could prevent Mereo or any collaborators from achieving or maintaining market acceptance of Mereo’s product candidates or could substantially increase commercialization costs and expenses, which in turn could delay or prevent Mereo from generating significant revenue from the sale of its product candidates.</w:t>
      </w:r>
    </w:p>
    <w:p>
      <w:pPr>
        <w:spacing w:after="0" w:line="18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b w:val="1"/>
          <w:bCs w:val="1"/>
          <w:i w:val="1"/>
          <w:iCs w:val="1"/>
          <w:color w:val="auto"/>
        </w:rPr>
        <w:t>Mereo depends on enrollment of patients in its clinical trials for its product candidates. If Mereo is unable to enroll patients in its clinical trials, or enrollment is slower than anticipated, in particular for its product candidates with rare disease indications, its research and development efforts could be adversely affected.</w:t>
      </w:r>
    </w:p>
    <w:p>
      <w:pPr>
        <w:spacing w:after="0" w:line="191"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Successful and timely completion of clinical trials for Mereo’s product candidates will require that Mereo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Mereo to enroll a sufficient number of patients in its clinical trials for its product candidates with indications in rare diseases or enrollment for these product candidates may take significantly longer than Mereo anticipates. In addition, Mereo will compete with other companies in enrolling the same limited population of patients, which may further challenge Mereo’s ability to timely enroll patients in its clinical trials. It is estimated that OI, the target indication for BPS-804, affects a minimum of 20,000 people in the United States and approximately 32,000 people in Germany, Spain, France, Italy, and the United Kingdom, collectively. There are an estimated 50,000 and 60,000 persons in North America and Europe, respectively, with the genotypes that Mereo intends to enroll in its clinical trials for AATD, the target indication for MPH-966.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Mereo to enroll enough patients to complete its clinical trials in a timely and cost-effective manner. Delays in the completion of any clinical trial of Mereo’s product candidates will increase Mereo’s costs, slow down its development and approval of Mereo’s product candidates, and delay or potentially jeopardize Mereo’s ability to commence product sales and generate revenue. In addition, some of the factors that cause or lead to a delay in the commencement or completion of clinical trials may also ultimately lead to the denial of regulatory approval of Mereo’s product candidates.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Mereo may become exposed to costly and damaging liability claims, either when testing its product candidates in the clinic or at the commercial stage, and its product liability insurance may not cover all damages from such claims.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exposed to potential product liability and professional indemnity risks that are inherent in the development, manufacturing, marketing, and use of pharmaceutical products. Currently, Mereo has no products that have been approved for commercial sale; however, the current and future use of its product candidates by it and any collaborators, in clinical trials, and the sale of these product candidates, if approved, in the future, may expose Mereo to liability claims. These claims might be made by patients that use the product, healthcare providers, pharmaceutical companies, Mereo’s collaborators, or others selling these product candidates. Any claims against Mereo, regardless of its merit, could be difficult and costly to defend and could adversely affect the market for its product candidates or any prospects for commercialization of Mereo’s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Mereo’s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Mereo’s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Mereo’s product candidates.</w:t>
      </w:r>
    </w:p>
    <w:p>
      <w:pPr>
        <w:spacing w:after="0" w:line="20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Mereo’s product candidates were to cause adverse side effects during clinical trials or after approval, Mereo may be exposed to substantial liabilities. Physicians and patients may not comply with any warnings that identify known potential adverse effects and patients who should not use Mereo’s product candidates.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Although Mereo maintains product liability insurance for its product candidates, it is possible that its liabilities could exceed its insurance coverage. Mereo intends to expand its insurance coverage to include the sale of commercial products if it obtains marketing approval for any of its product candidates. However, Mereo may not be able to maintain insurance coverage at a reasonable cost or obtain insurance coverage that will be adequate to satisfy any liability that may arise. If a successful product liability claim or series of claims is brought against Mereo for uninsured liabilities or in excess of insured liabilities, Mereo’s assets may not be sufficient to cover such claims and its business operations could be impaired.</w:t>
      </w:r>
    </w:p>
    <w:p>
      <w:pPr>
        <w:spacing w:after="0" w:line="183"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Mereo is ultimately unable to obtain regulatory approval for its product candidates, its business will be substantially harmed.</w:t>
      </w:r>
    </w:p>
    <w:p>
      <w:pPr>
        <w:spacing w:after="0" w:line="191"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among jurisdictions. Mereo has not obtained regulatory approval for any of its product candidates and it is possible that none of its product candidates will obtain regulatory approval.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product candidates could fail to receive regulatory approval for many reasons, including the following:</w:t>
      </w:r>
    </w:p>
    <w:p>
      <w:pPr>
        <w:spacing w:after="0" w:line="239" w:lineRule="exact"/>
        <w:rPr>
          <w:sz w:val="20"/>
          <w:szCs w:val="20"/>
          <w:color w:val="auto"/>
        </w:rPr>
      </w:pPr>
    </w:p>
    <w:p>
      <w:pPr>
        <w:ind w:left="960" w:right="48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Mereo’s clinical trials;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unable to demonstrate to the satisfaction of the FDA, the EMA, or comparable foreign regulatory authorities that a product candidate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Mereo’s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Mereo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Mereo’s clinical data insufficient for approval.</w:t>
      </w:r>
    </w:p>
    <w:p>
      <w:pPr>
        <w:spacing w:after="0" w:line="20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Mereo’s failing to obtain regulatory approval to market any product candidates. The FDA, the EMA, and other regulatory authorities have substantial discretion in the approval process, and determining when or whether regulatory approval will be obtained for a product candidate. Even if Mereo believes the data collected from clinical trials are promising, such data may not be sufficient to support approval by the FDA, the EMA, or any other regulatory authority.</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even if Mereo were to obtain approval for any jurisdiction, regulatory authorities may approve Mereo’s product candidates for fewer or more limited indications than Mereo request, may not approve the price Mereo intends to charge for its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Mereo’s commercial prospects and business.</w:t>
      </w:r>
    </w:p>
    <w:p>
      <w:pPr>
        <w:spacing w:after="0" w:line="181"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Even if any of Mereo’s product candidates obtains regulatory approval, Mereo will be subject to ongoing obligations and continued regulatory review, which may result in significant additional expense. Additionally, any of Mereo’s product candidates, if approved, could be subject to labeling and other restrictions and market withdrawal and Mereo may be subject to penalties if Mereo fails to comply with regulatory requirements or experience unanticipated problems with such product candidate.</w:t>
      </w:r>
    </w:p>
    <w:p>
      <w:pPr>
        <w:spacing w:after="0" w:line="199"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If the FDA, the EMA, or a comparable foreign regulatory authority approves any of Mereo’s product candidates, the manufacturing processes, labeling, packaging, distribution, adverse event reporting,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Mereo conducts post-approval, all of which may result in significant expense and limit Mereo’s ability to commercialize a product candidate. Mereo and its contract manufacturers will also be subject to user fees and periodic inspection by the FDA, the EMA, and other regulatory authorities to monitor compliance with these requirements and the terms of any product approval Mereo may obtain. In addition, any regulatory approvals that Mereo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Mereo or one of its distributors, licensees, or co-marketers fails to comply with regulatory requirements, the regulatory authorities could take various actions. These include imposing fines on Mereo, imposing restrictions on Mereo’s product or its manufacture, and requiring Mereo to recall or remove a product from the market. The regulatory authorities could also suspend or withdraw Mereo’s marketing authorizations, or require it to conduct additional clinical trials, change its product labeling, or submit additional MAAs. If any of these events occurs, Mereo’s ability to sell its product may be impaired, and it may incur substantial additional expense to comply with regulatory requirements.</w:t>
      </w:r>
    </w:p>
    <w:p>
      <w:pPr>
        <w:spacing w:after="0" w:line="203" w:lineRule="exact"/>
        <w:rPr>
          <w:sz w:val="20"/>
          <w:szCs w:val="20"/>
          <w:color w:val="auto"/>
        </w:rPr>
      </w:pPr>
    </w:p>
    <w:p>
      <w:pPr>
        <w:ind w:left="200" w:right="20" w:firstLine="331"/>
        <w:spacing w:after="0" w:line="250" w:lineRule="auto"/>
        <w:rPr>
          <w:sz w:val="20"/>
          <w:szCs w:val="20"/>
          <w:color w:val="auto"/>
        </w:rPr>
      </w:pPr>
      <w:r>
        <w:rPr>
          <w:rFonts w:ascii="Arial" w:cs="Arial" w:eastAsia="Arial" w:hAnsi="Arial"/>
          <w:sz w:val="17"/>
          <w:szCs w:val="17"/>
          <w:color w:val="auto"/>
        </w:rPr>
        <w:t>The policies of the FDA, the EMA, and other regulatory authorities may change and additional government regulations may be enacted that could prevent, limit, or delay regulatory approval of Mereo’s product candidates. Mereo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Mereo’s business may be negatively impacted. In addition, if Mereo is slow or unable to adapt to changes in existing requirements or the adoption of new requirements or policies, or if it is not able to maintain regulatory compliance, Mereo may lose any marketing approval that it may have obtained and may not achieve or sustain profitability.</w:t>
      </w:r>
    </w:p>
    <w:p>
      <w:pPr>
        <w:spacing w:after="0" w:line="3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Even if Mereo obtains marketing approval of any of its product candidates in a major pharmaceutical market such as the United States or the EU, it may not be able to obtain approval or commercialize that product candidate in other markets, which would limit its ability to realize its full market potential.</w:t>
      </w:r>
    </w:p>
    <w:p>
      <w:pPr>
        <w:spacing w:after="0" w:line="19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Mereo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Mereo’s product candidates in those countries. Satisfying these and other regulatory requirements is costly, time consuming, uncertain, and subject to unanticipated delays. In addition, Mereo’s failure to obtain regulatory approval in any country may delay or have negative effects on the process for regulatory approval in other countries. Mereo currently does not have any product candidates approved for sale in the United States, the EU, or any other markets, and Mereo’s management team does not have experience in obtaining regulatory approval in markets outside of the United States and the EU. If Mereo seeks regulatory approval in other markets and fail to obtain marketing approval in those markets or, if Mereo’s product candidates are approved in such markets but Mereo fails to maintain such approvals, its ability to realize the full market potential of its product candidates will be compromised.</w:t>
      </w:r>
    </w:p>
    <w:p>
      <w:pPr>
        <w:spacing w:after="0" w:line="182" w:lineRule="exact"/>
        <w:rPr>
          <w:sz w:val="20"/>
          <w:szCs w:val="20"/>
          <w:color w:val="auto"/>
        </w:rPr>
      </w:pPr>
    </w:p>
    <w:p>
      <w:pPr>
        <w:jc w:val="both"/>
        <w:ind w:left="200" w:right="40"/>
        <w:spacing w:after="0" w:line="247" w:lineRule="auto"/>
        <w:rPr>
          <w:sz w:val="20"/>
          <w:szCs w:val="20"/>
          <w:color w:val="auto"/>
        </w:rPr>
      </w:pPr>
      <w:r>
        <w:rPr>
          <w:rFonts w:ascii="Arial" w:cs="Arial" w:eastAsia="Arial" w:hAnsi="Arial"/>
          <w:sz w:val="18"/>
          <w:szCs w:val="18"/>
          <w:b w:val="1"/>
          <w:bCs w:val="1"/>
          <w:i w:val="1"/>
          <w:iCs w:val="1"/>
          <w:color w:val="auto"/>
        </w:rPr>
        <w:t>Mereo’s employees and independent contractors, including principal investigators, CROs, CMOs, consultants, vendors, and any other third parties Mereo may engage in connection with the development and commercialization of its product candidates may engage in misconduct or other improper activities, including noncompliance with regulatory standards and requirements, which could adversely affect Mereo’s business.</w:t>
      </w:r>
    </w:p>
    <w:p>
      <w:pPr>
        <w:spacing w:after="0" w:line="196"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Misconduct by Mereo’s employees and independent contractors, including principal investigators, CROs, CMOs, consultants, vendors, and any other third parties Mereo may engage in connection with the development and commercialization of Mereo’s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4" w:lineRule="exact"/>
        <w:rPr>
          <w:sz w:val="20"/>
          <w:szCs w:val="20"/>
          <w:color w:val="auto"/>
        </w:rPr>
      </w:pPr>
    </w:p>
    <w:p>
      <w:pPr>
        <w:ind w:left="200" w:right="220" w:firstLine="4"/>
        <w:spacing w:after="0" w:line="236"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Mereo’s reputation. It is not always possible to identify and deter misconduct by employees and other third parties, and the precautions Mereo take to detect and prevent this activity may not be effective in controlling unknown or unmanaged risks or losses or in protecting Mereo from governmental investigations or other actions or lawsuits stemming from a failure to comply with such laws or regulations. Additionally, Mereo is subject to the risk that a person or government could allege such fraud or other misconduct, even if none occurred. If any such actions are instituted against Mereo, and it is not successful in defending itself or asserting its rights, those actions could have a</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52" w:lineRule="auto"/>
        <w:rPr>
          <w:sz w:val="20"/>
          <w:szCs w:val="20"/>
          <w:color w:val="auto"/>
        </w:rPr>
      </w:pPr>
      <w:r>
        <w:rPr>
          <w:rFonts w:ascii="Arial" w:cs="Arial" w:eastAsia="Arial" w:hAnsi="Arial"/>
          <w:sz w:val="17"/>
          <w:szCs w:val="17"/>
          <w:color w:val="auto"/>
        </w:rPr>
        <w:t>significant impact on its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Mereo’s operations. Mereo is also subject to the data privacy regime in the EU, which imposes obligations and restrictions on the collection and use of personal data relating to individuals located in the EU and includes the General Data Protection Regulation (“the GDPR”) and any national laws implementing or supplementing the GDPR. If Mereo does not comply with its obligations under the EU privacy regime, it could be exposed to significant fines and may be the subject of litigation and/or adverse publicity, which could have a material adverse effect on its reputation and business.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Healthcare Laws and Other Legal Compliance Matters</w:t>
      </w:r>
    </w:p>
    <w:p>
      <w:pPr>
        <w:spacing w:after="0" w:line="73"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Mereo to obtain marketing approval of and commercialize its product candidates and may affect the prices it may set.</w:t>
      </w:r>
    </w:p>
    <w:p>
      <w:pPr>
        <w:spacing w:after="0" w:line="176"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Mereo expects there will continue to be, a number of legislative and regulatory changes and proposed changes to the healthcare system that could affect Mereo’s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its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its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its immediate family members;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 and capped the total rebate amount for innovator drugs at 100% of the Average Manufacturer Price (“AMP”);</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Mereo’s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8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the U.S. Congress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56"/>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Mereo continues to evaluate the effect that the ACA and its possible repeal and replacement has on its business. It is uncertain the extent to which any such changes may impact Mereo’s business or financial condition.</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Mereo’s customers and accordingly, Mereo’s financial operations.</w:t>
      </w:r>
    </w:p>
    <w:p>
      <w:pPr>
        <w:spacing w:after="0" w:line="206"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Mereo expects that additional U.S. federal healthcare reform measures will be adopted in the future, any of which could limit the amounts that the U.S. federal government will pay for healthcare products and services, which could result in reduced demand for Mereo’s product candidates or additional pricing pressures.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Mereo’s business, results of operations, financial condition, and prospects. In addition, regional healthcare authorities and individual hospitals are increasingly using bidding procedures to determine what pharmaceutical products and which suppliers will be included in its prescription drug and other healthcare programs. This could reduce the ultimate demand for Mereo’s product candidates or put pressure on Mereo’s product pricing.</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Mereo’s ability to profitably commercialize its product candidates, if approved. In addition to continuing pressure on prices and cost containment measures, legislative developments at the EU or member state level may result in significant additional requirements or obstacles that may increase Mereo’s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Mereo’s product candidates, restrict or regulate post-approval activities and affect Mereo’s ability to commercialize its product candidates, if approved.</w:t>
      </w:r>
    </w:p>
    <w:p>
      <w:pPr>
        <w:spacing w:after="0" w:line="20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cannot predict the likelihood, nature, or extent of government regulation that may arise from future legislation or administrative action in the United States, the EU, or any other jurisdiction. If Mereo or any third parties it may engage are slow or unable to adapt to changes in existing requirements or the adoption of new requirements or policies, or if Mereo or such third parties are not able to maintain regulatory compliance, Mereo’s product candidates may lose any regulatory approval that may have been obtained and Mereo may not achieve or sustain profitability.</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Mereo’s business operations and current and future relationships with investigators, healthcare professionals, consultants, third-party payors, patient organizations, and customers will be subject to applicable healthcare regulatory laws, which could expose Mereo to penalties.</w:t>
      </w:r>
    </w:p>
    <w:p>
      <w:pPr>
        <w:spacing w:after="0" w:line="191"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Mereo business operations and current and future arrangements with investigators, healthcare professionals, consultants, third-party payors, patient organizations, and customers, may expose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Mereo to broadly applicable fraud and abuse and other healthcare laws and regulations. These laws may constrain the business or financial arrangements and relationships through which Mereo conduct its operations, including how it researches, markets, sells, and distributes its product candidates, if approved. Such laws include:</w:t>
      </w:r>
    </w:p>
    <w:p>
      <w:pPr>
        <w:spacing w:after="0" w:line="230" w:lineRule="exact"/>
        <w:rPr>
          <w:sz w:val="20"/>
          <w:szCs w:val="20"/>
          <w:color w:val="auto"/>
        </w:rPr>
      </w:pPr>
    </w:p>
    <w:p>
      <w:pPr>
        <w:ind w:left="96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30" w:lineRule="exact"/>
        <w:rPr>
          <w:rFonts w:ascii="MS PGothic" w:cs="MS PGothic" w:eastAsia="MS PGothic" w:hAnsi="MS PGothic"/>
          <w:sz w:val="25"/>
          <w:szCs w:val="25"/>
          <w:color w:val="auto"/>
          <w:vertAlign w:val="superscript"/>
        </w:rPr>
      </w:pPr>
    </w:p>
    <w:p>
      <w:pPr>
        <w:ind w:left="960" w:right="2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0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its immediate family members;</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31"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Mereo’s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Mereo’s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Mereo’s current and future internal operations and business arrangements with third parties comply with applicable healthcare laws and regulations will involve substantial costs. It is possible that governmental authorities will conclude that Mereo’s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Mereo’s operations are found to be in violation of any of the laws described above or any other governmental laws and regulations that may apply to it, Mereo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Mereo becomes subject to a corporate integrity agreement or similar agreement to resolve allegations of non-compliance with these laws, and curtailment or restructuring of Mereo’s operations, any of which could adversely affect Mereo’s ability to operate its business and its results of operations. If any of the physicians or other providers or entities with whom Mereo expects to do business are found to not be in compliance with applicable laws, Mereo may be subject to criminal, civil or administrative sanctions, including exclusions from government funded healthcare programs and imprisonment, which could affect Mereo’s ability to operate its business. Further, defending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against any such actions can be costly, time-consuming and may require significant personnel resources. Therefore, even if Mereo is successful in defending against any such actions that may be brought against it, its business may be impaired.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is subject to governmental regulation and other legal obligations related to privacy, data protection and data security.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actual or perceived failure to comply with such obligations could harm its business.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is subject to diverse laws and regulations relating to data privacy and security in the EU, and in the future in the European</w:t>
      </w:r>
    </w:p>
    <w:p>
      <w:pPr>
        <w:ind w:left="200"/>
        <w:spacing w:after="0" w:line="234" w:lineRule="auto"/>
        <w:rPr>
          <w:sz w:val="20"/>
          <w:szCs w:val="20"/>
          <w:color w:val="auto"/>
        </w:rPr>
      </w:pPr>
      <w:r>
        <w:rPr>
          <w:rFonts w:ascii="Arial" w:cs="Arial" w:eastAsia="Arial" w:hAnsi="Arial"/>
          <w:sz w:val="18"/>
          <w:szCs w:val="18"/>
          <w:color w:val="auto"/>
        </w:rPr>
        <w:t>Economic Area, including the GDPR. New global privacy rules are being enacted and existing ones are being updated and strengthened.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Mereo is likely to be required to expend capital and other resources to ensure ongoing compliance with these laws and regulations.</w:t>
      </w:r>
    </w:p>
    <w:p>
      <w:pPr>
        <w:spacing w:after="0" w:line="212"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 (iii) makes it harder to obtain valid consent for processing; (iv) requires the appointment of a data protection officers where sensitive personal data (i.e. health data) is processed on a large scale; (v) provides more robust rights for data subjects;</w:t>
      </w:r>
    </w:p>
    <w:p>
      <w:pPr>
        <w:spacing w:after="0" w:line="2" w:lineRule="exact"/>
        <w:rPr>
          <w:sz w:val="20"/>
          <w:szCs w:val="20"/>
          <w:color w:val="auto"/>
        </w:rPr>
      </w:pPr>
    </w:p>
    <w:p>
      <w:pPr>
        <w:ind w:left="200" w:firstLine="4"/>
        <w:spacing w:after="0" w:line="236"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Mereo is also subject to EU national laws relating to the processing of certain data such as genetic data, biometric data and data concerning health. Complying with these numerous, complex and often changing regulations is expensive and difficult. Failure by Mereo, or its partners or service providers, to comply with the GDPR could result in regulatory investigations, enforcement notices and/or fines of up to the higher of 20,000,000 Euros or up to 4% of Mereo’s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Mereo’s business, reputation and financial condition.</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 data controller, Mereo is accountable for any third-party data service providers it engages to process personal data on its behalf. Mereo attempts to address the associated risks by performing security assessments, detailed due diligence and regularly performing privacy and security reviews of its vendors and requiring all such third-party providers with data access to sign agreements, including business associate agreements, and where required under EU law, obligating them to only process data according to Mereo’s instructions and to take sufficient security measures to protect such data. There is no assurance that these contractual measures and Mereo’s own privacy and security-related safeguards will protect it from the risks associated with the third-party processing, storage and transmission of such information. Any violation of data or security laws by Mereo’s third-party processors could have a material adverse effect on Mereo’s business and result in the fines and penalties outlined above.</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Mereo is also subject to evolving European privacy laws on electronic marketing and cookies.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same levels as GDPR (i.e. the greater of 20,000,000 Euros or 4% of total global annual revenue). While the e-Privacy Regulation was originally intended to be adopted on May 25, 2018 (alongside the GDPR), it is still going through the European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legislative process and commentators now expect it to be adopted during the second half of 2020 or during 2021 following a transition period.</w:t>
      </w:r>
    </w:p>
    <w:p>
      <w:pPr>
        <w:spacing w:after="0" w:line="175"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Due to Mereo’s international operations, it is subject to anti-corruption laws, as well as export control laws, customs laws, sanctions laws and other laws governing its operations. If Mereo fails to comply with these laws, it could be subject to civil or criminal penalties, other remedial measures and legal expenses.</w:t>
      </w:r>
    </w:p>
    <w:p>
      <w:pPr>
        <w:spacing w:after="0" w:line="191"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Mereo’s operations are subject to anti-corruption laws, including the U.K. Bribery Act 2010 (the “Bribery Act”); the U.S. Foreign Corrupt Practices Act (the “FCPA”); and other anti-corruption laws that apply in countries where Mereo does business and may do business in the future. The Bribery Act, FCPA, and these other laws generally prohibit Mereo, its officers and its employees and intermediaries from bribing, being bribed by, or providing prohibited payments or anything else of value to government officials or other persons to obtain or retain business or gain some other business advantage. Mereo may in the future operate in jurisdictions that pose a high risk of potential Bribery Act or FCPA violations, and it may participate in collaborations and relationships with third parties whose actions could potentially subject it to liability under the Bribery Act, FCPA, or local anti-corruption laws. In addition, Mereo cannot predict the nature, scope, or effect of future regulatory requirements to which any of its international operations might be subject or the manner in which existing laws might be administered or interpreted.</w:t>
      </w:r>
    </w:p>
    <w:p>
      <w:pPr>
        <w:spacing w:after="0" w:line="20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 is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There is no assurance that Mereo will be completely effective in ensuring its compliance with all applicable anti-corruption laws, including the Bribery Act, the FCPA, or other legal requirements, including Trade Control Laws. If Mereo is not in compliance with the Bribery Act, the FCPA, and other anti-corruption laws or Trade Control Laws, it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Mereo did not violate such laws, could be costly and time-consuming, require significant personnel resources, and harm Mereo’s reputation.</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will seek to build and continuously improve its systems of internal controls and to remedy any weaknesses identified. There can be no assurance, however, that the policies and procedures will be followed at all times or effectively detect and prevent violations of the applicable laws by one or more of Mereo’s employees, consultants, agents, or collaborators and, as a result, Mereo could be subject to fines, penalties, or prosecution.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Commercialization</w:t>
      </w:r>
    </w:p>
    <w:p>
      <w:pPr>
        <w:spacing w:after="0" w:line="73"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Mereo operates in a highly competitive and rapidly changing industry, which may result in others acquiring, developing, or commercializing competing products before or more successfully than Mereo does.</w:t>
      </w:r>
    </w:p>
    <w:p>
      <w:pPr>
        <w:spacing w:after="0" w:line="27"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Mereo’s success is highly dependent on its ability to acquire, develop, and obtain marketing approval for new products on a cost-effective basis and to market them successfully. If BPS-804, MPH-966, BCT-197, or BGS-649 is approved, Mereo will face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Mereo has and conduct similar research; seek patent protection; and establish collaborative arrangements for research, development, manufacturing, and marketing of products that may compete with Mereo’s product candidates.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expects to face competition for each of its current product candidates, including specifically:</w:t>
      </w:r>
    </w:p>
    <w:p>
      <w:pPr>
        <w:spacing w:after="0" w:line="239" w:lineRule="exact"/>
        <w:rPr>
          <w:sz w:val="20"/>
          <w:szCs w:val="20"/>
          <w:color w:val="auto"/>
        </w:rPr>
      </w:pPr>
    </w:p>
    <w:p>
      <w:pPr>
        <w:ind w:left="960" w:right="40" w:hanging="432"/>
        <w:spacing w:after="0" w:line="229"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BPS-804’s current closest potential competitors in development for the treatment of OI to be denosumab (Prolia) from Amgen Inc. (“Amgen”), an anti-resorptive agent, and UCB S.A. (“UCB”), and Amgen’s anti-sclerostin antibody, romosozumab. Blosozumab, an anti-sclerostin antibody, was in Phase 1 development for osteoporosis by Eli Lilly and Company (“Eli Lilly”); however, Mereo is not aware of any ongoing clinical trials for this product candidate and does not believe this product candidate remains under active development. Additionally, Bone Therapeutics SA (“Bone Therapeutics”), is developing osteoblastic cell therapy products. Baylor College of Medicine is also conducting a Phase 1 open label trial of fresolimumab, a TGF-B inhibitor, in adult OI patients.</w:t>
      </w:r>
    </w:p>
    <w:p>
      <w:pPr>
        <w:spacing w:after="0" w:line="32" w:lineRule="exact"/>
        <w:rPr>
          <w:rFonts w:ascii="MS PGothic" w:cs="MS PGothic" w:eastAsia="MS PGothic" w:hAnsi="MS PGothic"/>
          <w:sz w:val="25"/>
          <w:szCs w:val="25"/>
          <w:color w:val="auto"/>
          <w:vertAlign w:val="superscript"/>
        </w:rPr>
      </w:pPr>
    </w:p>
    <w:p>
      <w:pPr>
        <w:ind w:left="960" w:right="200" w:hanging="432"/>
        <w:spacing w:after="0" w:line="230"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MPH-966’s current closest potential competitors for the treatment of severe AATD to be alpha1-proteinase inhibitors that are administered intravenously in AAT augmentation therapy. Currently, there are four inhibitors on the market in the United States: Prolastin-C from Grifols, S.A. (“Grifols”), Aralast from Shire plc, now a subsidiary of Takeda Pharmaceutical Company Ltd (“Shire”), Zemaira from CSL Limited (“CSL”), and Glassia from Kamada Ltd. (“Kamada”). Kamada is also investigating an inhaled version of augmentation therapy, Apic Bio, Inc. (“Apic Bio”) is in the early stages of developing gene-therapy approaches for AATD and Vertex Pharmaceuticals Inc. (“Vertex”) has an early-stage small molecule corrector program for AATD. Santhera Pharmaceuticals (“Santhera”), has in-licensed an inhaled neutrophil elastase inhibitor and is planning a multiple ascending dose study, with the initial indication targeted being cystic fibrosis.</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Mereo is not aware of any approved therapies for the treatment of AECOPD, there are a wide range of established therapies available for COPD as well as a number of products in development, with Verona Pharma plc (“Verona Pharma”), GlaxoSmithKline plc. (“GlaxoSmithKline”), and AstraZeneca each conducting Phase 2 trials on drugs for the treatment of COPD.</w:t>
      </w:r>
    </w:p>
    <w:p>
      <w:pPr>
        <w:spacing w:after="0" w:line="27"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BGS-649’s current closest potential competitors for the treatment of HH to be testosterone replacement therapies (“TRT”). These include Androgel from AbbVie Inc. (“Abbvie”), and Eli Lilly’s Axiron, both administered transdermally by applying a gel formulation, which are approved in the United States and Europe, and Andriol from Merck &amp; Co., Inc. (“Merck”), an oral testosterone therapy, which is approved in Europe but not in the United States. There are also other approved TRT products that are administered via injection and other oral TRTs that are still in the development or registration stages, such as JATENZO from Clarus Therapeutics, Inc. (“Clarus”), and TLANDO from Lipocine, Inc. (“Lipocine”). The FDA held advisory committee meetings in January 2018 for JATENZO and TLANDO. On May 9, 2018, Lipocine announced that it had received a Complete Response Letter from the FDA and is in the process of addressing the issues identified in the letter.</w:t>
      </w:r>
    </w:p>
    <w:p>
      <w:pPr>
        <w:spacing w:after="0" w:line="206"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Mereo also anticipates that new companies will enter these markets in the future. If Mereo successfully develops and commercializes any of BPS-804, MPH-966, BCT-197, or BGS-649, they will compete with existing therapies and new therapies that may become available in the future. The highly competitive nature of and rapid technological changes in the biopharmaceutical and pharmaceutical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industries could render Mereo’s product candidates obsolete, less competitive, or uneconomical. Mereo’s competitors may, among other things:</w:t>
      </w:r>
    </w:p>
    <w:p>
      <w:pPr>
        <w:spacing w:after="0" w:line="224" w:lineRule="exact"/>
        <w:rPr>
          <w:sz w:val="20"/>
          <w:szCs w:val="20"/>
          <w:color w:val="auto"/>
        </w:rPr>
      </w:pPr>
    </w:p>
    <w:p>
      <w:pPr>
        <w:ind w:left="960" w:right="280" w:hanging="432"/>
        <w:spacing w:after="0" w:line="223"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Mereo does, and future mergers and acquisitions in the biopharmaceutical and pharmaceutical industries may result in even more resources being concentrated in Mereo’s competitors;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Mereo’s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Mereo in recruiting and retaining qualified scientific and management personnel; establishing clinical trial sites and patient registration; and in acquiring technologies complementary to, or necessary for, Mereo’s programs. Mereo’s commercial opportunity could be reduced or eliminated if its competitors develop and commercialize products that are more effective, have fewer or less severe side effects, are more convenient or are less expensive than Mereo’s product candidates. Mereo’s competitors may also obtain FDA, EMA, or other regulatory approval for its product candidates more rapidly than Mereo may obtain approval for its own product candidates, which could result in Mereo’s competitors establishing or strengthening its market position before Mereo is able to enter the market.</w:t>
      </w:r>
    </w:p>
    <w:p>
      <w:pPr>
        <w:spacing w:after="0" w:line="186" w:lineRule="exact"/>
        <w:rPr>
          <w:sz w:val="20"/>
          <w:szCs w:val="20"/>
          <w:color w:val="auto"/>
        </w:rPr>
      </w:pPr>
    </w:p>
    <w:p>
      <w:pPr>
        <w:jc w:val="both"/>
        <w:ind w:left="200" w:right="120"/>
        <w:spacing w:after="0" w:line="247" w:lineRule="auto"/>
        <w:rPr>
          <w:sz w:val="20"/>
          <w:szCs w:val="20"/>
          <w:color w:val="auto"/>
        </w:rPr>
      </w:pPr>
      <w:r>
        <w:rPr>
          <w:rFonts w:ascii="Arial" w:cs="Arial" w:eastAsia="Arial" w:hAnsi="Arial"/>
          <w:sz w:val="18"/>
          <w:szCs w:val="18"/>
          <w:b w:val="1"/>
          <w:bCs w:val="1"/>
          <w:i w:val="1"/>
          <w:iCs w:val="1"/>
          <w:color w:val="auto"/>
        </w:rPr>
        <w:t>Mereo has obtained orphan drug designation for BPS-804 for the treatment of OI in the United States and EU, but Mereo may be unable to obtain orphan drug designation for MPH-966 or any future product candidates, and Mereo may be unable to obtain or maintain the benefits associated with orphan drug designation, including the potential for orphan drug exclusivity, for BPS-804 or any other product candidate for which Mereo obtains orphan drug designation.</w:t>
      </w:r>
    </w:p>
    <w:p>
      <w:pPr>
        <w:spacing w:after="0" w:line="19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7"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0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has obtained orphan drug designation from the FDA and EMA for BPS-804 for the treatment of OI, and plans to seek orphan drug designation for MPH-966 and future product candidates. Even with orphan drug designation, Mereo may not be the first to obtain marketing approval for any particular orphan indication due to the uncertainties associated with developing pharmaceutical products, which could prevent Mereo from marketing its product candidates if another company is able to obtain orphan drug exclusivity before Mereo does. In addition, exclusive marketing rights in the United States may be unavailable if Mereo seeks approval for an indication broader than the orphan-designated indication or may be lost in the United States if the FDA later determines that the request for designation was materially defective or if Mereo is unable to assure sufficient quantities of the drug to meet the needs of patients with the rare disease or condition following approval. Further, even if Mereo obtains orphan drug exclusivity, that exclusivity may not effectively protect Mereo’s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Mereo intends to seek orphan drug designation for other existing and future product candidates, including MPH-966, Mereo may never receive such designations.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Mereo’s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regulations and policies, and it is uncertain how ongoing and future challenges might affect Mereo’s business.</w:t>
      </w:r>
    </w:p>
    <w:p>
      <w:pPr>
        <w:spacing w:after="0" w:line="190" w:lineRule="exact"/>
        <w:rPr>
          <w:sz w:val="20"/>
          <w:szCs w:val="20"/>
          <w:color w:val="auto"/>
        </w:rPr>
      </w:pPr>
    </w:p>
    <w:p>
      <w:pPr>
        <w:ind w:left="200" w:right="60"/>
        <w:spacing w:after="0" w:line="247" w:lineRule="auto"/>
        <w:rPr>
          <w:sz w:val="20"/>
          <w:szCs w:val="20"/>
          <w:color w:val="auto"/>
        </w:rPr>
      </w:pPr>
      <w:r>
        <w:rPr>
          <w:rFonts w:ascii="Arial" w:cs="Arial" w:eastAsia="Arial" w:hAnsi="Arial"/>
          <w:sz w:val="18"/>
          <w:szCs w:val="18"/>
          <w:b w:val="1"/>
          <w:bCs w:val="1"/>
          <w:i w:val="1"/>
          <w:iCs w:val="1"/>
          <w:color w:val="auto"/>
        </w:rPr>
        <w:t>Mereo may seek and fail to obtain breakthrough therapy designation by the FDA for BPS-804 or MPH-966, or any future product candidates or access to the PRIME scheme by the EMA for MPH-966 or any future product candidates. Even if Mereo obtains such designation or access, the designation or access may not lead to faster development or regulatory review or approval, and it does not increase the likelihood that Mereo’s product candidates will receive marketing approval.</w:t>
      </w:r>
    </w:p>
    <w:p>
      <w:pPr>
        <w:spacing w:after="0" w:line="19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Mereo believes one of its product candidates meets the criteria for designation as a breakthrough therapy, the FDA may disagree and instead determine not to make such designation. Mereo cannot be sure that its evaluation of its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Mereo’s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Mereo cannot be sure that MPH-966 or any future product candidates will be granted access to the scheme; that participation in the scheme will result in expedited regulatory review or approval of Mereo’s product candidates; or that access to the scheme, once granted, will not be revoked.</w:t>
      </w:r>
    </w:p>
    <w:p>
      <w:pPr>
        <w:spacing w:after="0" w:line="184" w:lineRule="exact"/>
        <w:rPr>
          <w:sz w:val="20"/>
          <w:szCs w:val="20"/>
          <w:color w:val="auto"/>
        </w:rPr>
      </w:pPr>
    </w:p>
    <w:p>
      <w:pPr>
        <w:ind w:left="200" w:right="38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Mereo’s product candidates will depend in part on the extent to which governmental authorities and health insurers establish adequate coverage, reimbursement levels, and pricing policies. Failure to obtain or maintain coverage and adequate reimbursement for Mereo’s product candidates, if approved, could limit its ability to market those products and decrease its ability to generate revenue.</w:t>
      </w:r>
    </w:p>
    <w:p>
      <w:pPr>
        <w:spacing w:after="0" w:line="19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Mereo’s product candidates, assuming approval. Mereo’s ability to achieve acceptable levels of coverage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reimbursement for products by governmental authorities, private health insurers, and other organizations will have an effect on Mereo’s ability to successfully commercialize its product candidates. Assuming Mereo obtains coverage for its product candidates by a third-party payor, the resulting reimbursement payment rates may not be adequate or may require co-payments that patients find unacceptably high. Mereo cannot be sure that coverage and reimbursement in the United States, the EU, or elsewhere will be available for its product candidates or any product that Mereo may develop, and any reimbursement that may become available may be decreased or eliminated in the future.</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Mereo’s product candidates as substitutable and only offer to reimburse patients for the less expensive product. Even if Mereo shows improved efficacy or improved convenience of administration with its product candidates, pricing of existing drugs may limit the amount Mereo will be able to charge for its product candidates. These payors may deny or revoke the reimbursement status of a given product or establish prices for new or existing marketed products at levels that are too low to enable Mereo to realize an appropriate return on its investment in its product candidates. If reimbursement is not available or is available only at limited levels, Mereo may not be able to successfully commercialize its product candidates, and may not be able to obtain a satisfactory financial return on Mereo’s product candidates.</w:t>
      </w:r>
    </w:p>
    <w:p>
      <w:pPr>
        <w:spacing w:after="0" w:line="207"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its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Mereo’s product candidates.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Mereo to provide scientific and clinical support for the use of its product candidates to each payor separately, with no assurance that coverage and adequate reimbursement will be applied consistently or obtained in the first instance. Furthermore, rules and regulations regarding reimbursement change frequently, in some cases at short notice, and Mereo believes that changes in these rules and regulations are likely.</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operations are also subject to extensive governmental price controls and other market regulations in the United Kingdom and other countries outside of the United States, and Mereo believes the increasing emphasis on cost-containment initiatives in European and other countries have and will continue to put pressure on the pricing and usage of its product candidates. In many countries, the prices of medical products are subject to varying price control mechanisms as part of national health systems. Other countries allow companies to fix its own prices for medical products, but monitor and control company profits. Additional foreign price controls or other changes in pricing regulation could restrict the amount that Mereo is able to charge for Mereo’s product candidates. Accordingly, in markets outside the United States, the reimbursement for Mereo’s product candidates may be reduced compared with the United States and may be insufficient to generate commercially reasonable revenue and profits.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Mereo’s product candidates. Mereo expects to experience pricing pressures in connection with the sale of its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200" w:right="540"/>
        <w:spacing w:after="0" w:line="271" w:lineRule="auto"/>
        <w:rPr>
          <w:sz w:val="20"/>
          <w:szCs w:val="20"/>
          <w:color w:val="auto"/>
        </w:rPr>
      </w:pPr>
      <w:r>
        <w:rPr>
          <w:rFonts w:ascii="Arial" w:cs="Arial" w:eastAsia="Arial" w:hAnsi="Arial"/>
          <w:sz w:val="18"/>
          <w:szCs w:val="18"/>
          <w:b w:val="1"/>
          <w:bCs w:val="1"/>
          <w:i w:val="1"/>
          <w:iCs w:val="1"/>
          <w:color w:val="auto"/>
        </w:rPr>
        <w:t>Mereo’s existing and future product candidates may not gain market acceptance, in which case Mereo’s ability to generate product revenues will be compromised.</w:t>
      </w:r>
    </w:p>
    <w:p>
      <w:pPr>
        <w:spacing w:after="0" w:line="17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Even if the FDA, the EMA, or any other regulatory authority approves the marketing of Mereo’s product candidates, whether developed on Mereo’s own or with a collaborator, physicians, healthcare providers, patients, or the medical community may not accept or use Mereo’s product candidates. If Mereo’s product candidates do not achieve an adequate level of acceptance, it may not generate significant product revenue or any profits from operations. The degree of market acceptance of Mereo’s product candidates will depend on a variety of factors, including:</w:t>
      </w:r>
    </w:p>
    <w:p>
      <w:pPr>
        <w:spacing w:after="0" w:line="194" w:lineRule="exact"/>
        <w:rPr>
          <w:sz w:val="20"/>
          <w:szCs w:val="20"/>
          <w:color w:val="auto"/>
        </w:rPr>
      </w:pPr>
    </w:p>
    <w:p>
      <w:pPr>
        <w:ind w:left="960" w:hanging="432"/>
        <w:spacing w:after="0"/>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Mereo’s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If Mereo’s product candidates fail to gain market acceptance, Mereo’s ability to generate revenues will be adversely affected. Even if Mereo’s product candidates achieve market acceptance, the market may prove not to be large enough to allow Mereo to generate significant revenues.</w:t>
      </w:r>
    </w:p>
    <w:p>
      <w:pPr>
        <w:spacing w:after="0" w:line="181"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Mereo intends to directly commercialize its product candidates for rare diseases and to seek strategic relationships with third parties for the commercialization of Mereo’s product candidates for specialty diseases. If Mereo is unable to develop its own sales, marketing, and distribution capabilities or enter into business arrangements, it may not be successful in commercializing its product candidates.</w:t>
      </w:r>
    </w:p>
    <w:p>
      <w:pPr>
        <w:spacing w:after="0" w:line="19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has no marketing, sales, or distribution capabilities and it currently has no experience with marketing, selling or distributing pharmaceutical products. Mereo also has no strategic relationships in place for the commercialization of its product candidates.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may not be able to hire a sales force that is sufficient in size or has adequate expertise in OI, AATD, or other relevant rare diseases. Any failure or delay in the development of Mereo’s internal sales, marketing, and distribution capabilities would adversely impact the commercialization of these product candidates.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BCT-197 and BGS-649, and for any future product candidates for specialty diseases, Mereo intends to enter into strategic relationships for the commercialization of these product candidates. These arrangements may also include the late-stage clinical development of a product candidate. As a result, Mereo’s revenue from product sales may be lower than if Mereo directly marketed or sold these product candidates. In addition, any revenue Mereo receive will depend upon the terms of such arrangement, which may not be as favorable to Mereo as possible, and the efforts of the other party, which may not be adequate or successful and are likely to be beyond Mereo’s control. If Mereo is unable to enter into these arrangements on acceptable terms or at all, it may not be able to successfully commercialize these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Mereo’s product candidates. If Mereo is not successful in commercializing its product candidates, either on its own or through strategic relationships with third parties, Mereo’s future product revenue will suffer and it may incur significant losses.</w:t>
      </w:r>
    </w:p>
    <w:p>
      <w:pPr>
        <w:spacing w:after="0" w:line="180" w:lineRule="exact"/>
        <w:rPr>
          <w:sz w:val="20"/>
          <w:szCs w:val="20"/>
          <w:color w:val="auto"/>
        </w:rPr>
      </w:pPr>
    </w:p>
    <w:p>
      <w:pPr>
        <w:ind w:left="200" w:right="102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Mereo intends to seek approval as biologic products in the United States may face competition sooner than anticipated.</w:t>
      </w:r>
    </w:p>
    <w:p>
      <w:pPr>
        <w:spacing w:after="0" w:line="17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Mereo believes that if any product candidate is approved as a biological product under a BLA, it should qualify for the 12-year period of exclusivity. However, there is a risk that this exclusivity could be shortened due to congressional action or otherwise, or that the FDA will not consider Mereo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203"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jc w:val="both"/>
        <w:ind w:left="200" w:right="240" w:firstLine="4"/>
        <w:spacing w:after="0" w:line="261" w:lineRule="auto"/>
        <w:tabs>
          <w:tab w:leader="none" w:pos="410" w:val="left"/>
        </w:tabs>
        <w:numPr>
          <w:ilvl w:val="0"/>
          <w:numId w:val="63"/>
        </w:numPr>
        <w:rPr>
          <w:rFonts w:ascii="Arial" w:cs="Arial" w:eastAsia="Arial" w:hAnsi="Arial"/>
          <w:sz w:val="17"/>
          <w:szCs w:val="17"/>
          <w:color w:val="auto"/>
        </w:rPr>
      </w:pPr>
      <w:r>
        <w:rPr>
          <w:rFonts w:ascii="Arial" w:cs="Arial" w:eastAsia="Arial" w:hAnsi="Arial"/>
          <w:sz w:val="17"/>
          <w:szCs w:val="17"/>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means that the biological reference product must have been authorized for at least 10 years before a biosimilar can be made available by another company.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Mereo’s Dependence on Third Parties</w:t>
      </w:r>
    </w:p>
    <w:p>
      <w:pPr>
        <w:spacing w:after="0" w:line="73" w:lineRule="exact"/>
        <w:rPr>
          <w:sz w:val="20"/>
          <w:szCs w:val="20"/>
          <w:color w:val="auto"/>
        </w:rPr>
      </w:pPr>
    </w:p>
    <w:p>
      <w:pPr>
        <w:ind w:left="200" w:right="180"/>
        <w:spacing w:after="0" w:line="247" w:lineRule="auto"/>
        <w:rPr>
          <w:sz w:val="20"/>
          <w:szCs w:val="20"/>
          <w:color w:val="auto"/>
        </w:rPr>
      </w:pPr>
      <w:r>
        <w:rPr>
          <w:rFonts w:ascii="Arial" w:cs="Arial" w:eastAsia="Arial" w:hAnsi="Arial"/>
          <w:sz w:val="18"/>
          <w:szCs w:val="18"/>
          <w:b w:val="1"/>
          <w:bCs w:val="1"/>
          <w:i w:val="1"/>
          <w:iCs w:val="1"/>
          <w:color w:val="auto"/>
        </w:rPr>
        <w:t>Mereo relies, and expect to continue to rely, on third parties, including independent investigators and CROs, to conduct its clinical trials. If these CROs do not successfully carry out its contractual duties or meet expected deadlines, Mereo may not be able to obtain regulatory approval for or commercialize its product candidates, or such approval or commercialization may be delayed, and its business could be substantially harmed.</w:t>
      </w:r>
    </w:p>
    <w:p>
      <w:pPr>
        <w:spacing w:after="0" w:line="19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relied upon and plans to continue to rely upon independent clinical investigators and CROs to conduct its clinical trials and to monitor and manage data for its ongoing clinical programs. Mereo relies on these parties for the execution of Mereo’s clinical trials and control only certain aspects of these parties’ activities. Nevertheless, Mereo is responsible for ensuring that each of its studies and trials is conducted in accordance with the applicable protocol and legal, regulatory and scientific standards, and its reliance on these third parties does not relieve Mereo of its regulatory responsibilities. Mereo and its independent investigators and CROs are required to comply with GxP requirements, which are regulations and guidelines enforced by the FDA, the Competent Authorities of the Member States of the European Economic Area, and comparable foreign regulatory authorities for all of Mereo’s product candidates in clinical development. Regulatory authorities enforce these GxP requirements through periodic inspections of trial sponsors, principal investigators and trial sites. If Mereo fails to exercise adequate oversight over any of its independent investigators or CROs or if Mereo or any of its independent investigators or CROs fail to comply with applicable GxP requirements, the clinical data generated in Mereo’s clinical trials may be deemed unreliable and the FDA, the EMA, or comparable foreign regulatory authorities may require Mereo to perform additional clinical trials before approving its marketing applications. Mereo cannot assure you that upon a regulatory inspection of Mereo or its independent investigators or CROs, such regulatory authority will determine that any of Mereo’s clinical trials complies with GxP requirements. Mereo’s failure to comply with these regulations may require it to repeat clinical trials, which would delay the regulatory approval process.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Further, these independent investigators and CROs are not Mereo’s employees and Mereo is not able to control, other than by contract, the amount of resources, including time, which they devote to Mereo’s clinical trials. If Mereo’s independent investigators or CROs fail to devote sufficient resources to the development of Mereo’s product candidates, or if its performance is substandard, it may delay or compromise the prospects for approval and commercialization of Mereo’s product candidates. In addition, the use of third-party service providers requires Mereo to disclose its proprietary information to these parties, which could increase the risk that this information is misappropriated.</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If any of Mereo’s relationships with its independent investigators or CROs terminate, it may not be able to enter into arrangements with alternative independent investigators or CROs or to do so on commercially reasonable terms. Switching or adding additional investigators or CROs involves additional cost and potential delays and requires Mereo’s management’s time and focus. In addition, there is a natural transition period when a new independent investigator or CRO commences work. As a result, delays could occur, which could materially impact Mereo’s ability to meet its desired clinical development timelines.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If Mereo’s independent investigators or CROs do not successfully carry out its contractual duties or obligations or meet expected deadlines, if they need to be replaced or if the quality or accuracy of the clinical data they obtain is compromised due to a failure to adhere to Mereo’s clinical protocols, regulatory requirements, or for other reasons, Mereo’s clinical trials may be extended, delayed, or terminated and Mereo may not be able to obtain regulatory approval for or successfully commercialize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its product candidates. As a result, Mereo’s results of operations and the commercial prospects for its product candidates would be harmed, its costs could increase and its ability to generate revenue could be delayed.</w:t>
      </w:r>
    </w:p>
    <w:p>
      <w:pPr>
        <w:spacing w:after="0" w:line="175"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Mereo currently relies on third-party contract manufacturing organizations (“CMOs”) for the production of clinical supply of Mereo’s product candidates and intend to rely on CMOs for the production of commercial supply of Mereo’s product candidates, if approved. Mereo’s dependence on CMOs may impair the development of Mereo’s product candidates and may impair the commercialization of its product candidates, which would adversely impact its business and financial position.</w:t>
      </w:r>
    </w:p>
    <w:p>
      <w:pPr>
        <w:spacing w:after="0" w:line="196"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Mereo has limited personnel with experience in manufacturing, and does not own facilities for manufacturing its product candidates. Instead, Mereo relies on and expect to continue to rely on CMOs for the supply of cGMP grade clinical trial materials and commercial quantities of Mereo’s product candidates, if approved. Reliance on CMOs may expose Mereo to more risk than if it were to manufacture its own product candidates. Novartis previously provided clinical supplies for BPS-804, BCT-197, and BGS-649 and certain transitional services. Mereo has moved the clinical supply manufacture for these product candidates to CMOs. Mereo also intends to contract with CMOs for the clinical supply of MPH-966.</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Mereo’s product candidates must be approved by the FDA, the EMA, and comparable foreign authorities pursuant to inspections. While Mereo provides oversight of manufacturing activities, it does not and will not control the execution of its manufacturing activities by, and is or will be essentially dependent on, its CMOs for compliance with cGMP requirements for the manufacture of its product candidates. As a result, Mereo is subject to the risk that its product candidates may have manufacturing defects that Mereo has limited ability to prevent. If a CMO cannot successfully manufacture material that conforms to Mereo’s specifications and the regulatory requirements, Mereo may not be able to secure or maintain regulatory approval for the use of its investigational medicinal products in clinical trials, or for commercial distribution of its product candidates, if approved. In addition, Mereo has limited control over the ability of its CMOs to maintain adequate quality control, quality assurance and qualified personnel. If the FDA, the EMA or comparable foreign regulatory authority does not approve these facilities for the manufacture of Mereo’s product candidates or if it withdraws any such approval in the future, Mereo may need to find alternative manufacturing facilities, which would delay its development program and significantly impact its ability to develop, obtain regulatory approval for or commercialize its product candidates, if approved. In addition, any failure to achieve and maintain compliance with these laws, regulations and standards could subject Mereo to the risk that it may have to suspend the manufacturing of its product candidates or that obtained approvals could be revoked. Furthermore, CMOs may breach existing agreements they have with Mereo because of factors beyond Mereo’s control. CMOs may also terminate or refuse to renew its agreement at a time that is costly or otherwise inconvenient for Mereo. In addition, the manufacture of biologics involves expensive and complex processes and worldwide capacity at CMOs for the manufacture of biologics is currently limited. In addition, Novartis has a contractual right to approve or reject any additional CMO Mereo wishes to engage for the manufacture of BPS-804, other than those CMOs that Mereo and Novartis have already agreed upon. If Mereo were to be unable to find an adequate CMO or another acceptable solution in time, Mereo’s clinical trials could be delayed or its commercial activities could be harmed.</w:t>
      </w:r>
    </w:p>
    <w:p>
      <w:pPr>
        <w:spacing w:after="0" w:line="214"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Mereo relies on and will continue to rely on CMOs to purchase from third-party suppliers the raw materials necessary to produce Mereo’s product candidates. Mereo does not and will not have control over the process or timing of the acquisition of these raw materials by Mereo’s CMOs. Moreover, Mereo currently does not have any agreements for the production of these raw materials. Supplies of raw material could be interrupted from time to time and Mereo cannot be certain that alternative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supplies could be obtained within a reasonable timeframe, at an acceptable cost, or at all. In addition, a disruption in the supply of raw materials could delay the commercial launch of Mereo’s product candidates, if approved, or result in a shortage in supply, which would impair Mereo’s ability to generate revenues from the sale of its product candidates. Growth in the costs and expenses of raw materials may also impair Mereo’s ability to cost effectively manufacture its product candidates. There are a limited number of suppliers for the raw materials that Mereo may use to manufacture its product candidates and Mereo may need to assess alternate suppliers to prevent a possible disruption of the manufacture of its product candidates.</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Mereo’s management’s time and focus. In addition, there is typically a transition period when a new CMO commences work. Although Mereo generally does not begin a clinical trial unless it believes it has on hand, or will be able to obtain, a sufficient supply of Mereo’s product candidates to complete the clinical trial, any significant delay in the supply of its product candidates or the raw materials needed to produce its product candidates, could considerably delay conducting its clinical trials and potential regulatory approval of its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its manufacture of Mereo’s product candidates, its CMOs and third-party suppliers are expected to comply with and respect the proprietary rights of others. If a CMO or third-party supplier fails to acquire the proper licenses or otherwise infringes the proprietary rights of others in the course of providing services to Mereo, Mereo may have to find alternative CMOs or third-party suppliers or defend against claims of infringement, either of which would significantly impact Mereo’s ability to develop, obtain regulatory approval for or commercialize its product candidates, if approved.</w:t>
      </w:r>
    </w:p>
    <w:p>
      <w:pPr>
        <w:spacing w:after="0" w:line="181"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Mereo intends to enter into strategic relationships with third parties, based on a product-by-product assessment, for the development of some of its product candidates. If Mereo fails to enter into these arrangements, its business, development and commercialization prospects could be adversely affected.</w:t>
      </w:r>
    </w:p>
    <w:p>
      <w:pPr>
        <w:spacing w:after="0" w:line="19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Mereo’s development program for its product candidates, particularly as they enter late-stage development, will require substantial additional funds. Mereo currently intends to enter into a strategic relationship with a pharmaceutical or biopharmaceutical company for the continued development of BCT-197 and for BGS-649, and Mereo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Mereo may not be able to enter into these arrangements on favorable terms or at all. In addition, Mereo faces significant competition from other companies in seeking out these types of development arrangements. If Mereo is successful in entering into such an arrangement, it will be subject to other risks, including its inability to control the amount of time and resources the third party will dedicate to its product candidates, financial or other difficulties experienced by such third party, relinquishing important rights to such third party, and the arrangement failing to be profitable to Mereo.</w:t>
      </w:r>
    </w:p>
    <w:p>
      <w:pPr>
        <w:spacing w:after="0" w:line="20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If Mereo is unable to enter into an appropriate arrangement for the development of BCT-197 and potentially for BGS-649 or other product candidates, Mereo may have to reduce, delay, or terminate the development of such product candidates. If Mereo, instead, decides to increase its expenditures to fund development activities on its own, it will need to obtain additional capital, which may not be available to it on acceptable terms or at all. As a result, Mereo’s business may be substantially harmed.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Intellectual Property and Data Protection</w:t>
      </w:r>
    </w:p>
    <w:p>
      <w:pPr>
        <w:spacing w:after="0" w:line="73" w:lineRule="exact"/>
        <w:rPr>
          <w:sz w:val="20"/>
          <w:szCs w:val="20"/>
          <w:color w:val="auto"/>
        </w:rPr>
      </w:pPr>
    </w:p>
    <w:p>
      <w:pPr>
        <w:jc w:val="both"/>
        <w:ind w:left="200" w:right="300"/>
        <w:spacing w:after="0" w:line="253" w:lineRule="auto"/>
        <w:rPr>
          <w:sz w:val="20"/>
          <w:szCs w:val="20"/>
          <w:color w:val="auto"/>
        </w:rPr>
      </w:pPr>
      <w:r>
        <w:rPr>
          <w:rFonts w:ascii="Arial" w:cs="Arial" w:eastAsia="Arial" w:hAnsi="Arial"/>
          <w:sz w:val="18"/>
          <w:szCs w:val="18"/>
          <w:b w:val="1"/>
          <w:bCs w:val="1"/>
          <w:i w:val="1"/>
          <w:iCs w:val="1"/>
          <w:color w:val="auto"/>
        </w:rPr>
        <w:t>Mereo relies on patents and other intellectual property rights to protect its product candidates, the obtainment, enforcement, defense and maintenance of which may be challenging and costly. Failure to enforce or protect these rights adequately could harm Mereo’s ability to compete and impair its business.</w:t>
      </w:r>
    </w:p>
    <w:p>
      <w:pPr>
        <w:spacing w:after="0" w:line="19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Mereo’s commercial success depends in part on obtaining and maintaining patents and other forms of intellectual property protection, for example, for compositions-of-matter of its product candidates, formulations of its product candidates, polymorphs, salts and analogs of its product candidates, methods used to manufacture its product candidates, methods for manufacturing of the final drug products, and methods of using its product candidates for the treatment of the indications Mereo is developing or plans to develop, or on in-licensing such rights. Mereo’s patent portfolio comprises patents and patent applications which cover its BPS-804, BCT-197, and BGS-649 product candidates acquired or exclusively licensed from Novartis, and patents and patent applications which cover Mereo’s MPH-966 product candidate exclusively licensed (with the option to purchase) from AstraZeneca. The assignments of those patents and patent applications which Mereo acquired from Novartis have been registered with the relevant authorities in key territories and the exclusive licenses from AstraZeneca have also been registered with the relevant authorities in key territories. There is no assurance that Mereo’s pending patent applications will result in issued patents, or if issued as patents, will include claims with sufficient scope of coverage to protect Mereo’s product candidates, or that any pending patent applications will be issued as patents in a timely manner. Failure to obtain, maintain or extend adequate patent and other intellectual property rights could adversely affect Mereo’s ability to develop and market its product candidates, resulting in harm to its business.</w:t>
      </w:r>
    </w:p>
    <w:p>
      <w:pPr>
        <w:spacing w:after="0" w:line="204"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Mereo or its licensors may not be able to prepare, file and prosecute all necessary or desirable patent applications for a commercially reasonable cost or in a timely manner or in all jurisdictions. It is also possible that Mereo or its licensors may fail to identify patentable aspects of inventions made in the course of development and commercialization activities before it is too late to obtain patent protection for them. Moreover, depending on the terms of any future in-licenses to which Mereo may become a party, Mereo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Mereo’s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Mereo’s and its current or future licensors’ patent rights are highly uncertain. Mereo’s and its licensors’ pending and future patent applications may not result in issued patents that protect Mereo’s technology or product candidates, in whole or in part, or that effectively prevent others from commercializing competitive technologies and products. The patent examination process may require Mereo or its licensors to narrow the scope of the claims of Mereo’s or its licensors’ pending and future patent applications, which may limit the scope of patent protection that may be obtained. Mereo cannot assure that all of the potentially relevant prior art relating to Mereo’s patents and patent applications has been found. If such prior art exists, it can invalidate a patent or prevent a patent application from being issued as a patent. Even if patent applications do successfully issue as patents and even if such patents cover Mereo’s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Mereo’s and its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Mereo cannot be certain that Mereo or its licensors were the first to file any patent application related to Mereo’s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Mereo’s applications. If third parties have filed such applications after March 15, 2013, a derivation proceeding can be initiated by such third parties to determine whether Mereo’s invention was derived from such third parties’ product candidates. Even where Mereo has a valid and enforceable patent, Mereo may not be able to exclude others from practicing its invention where the other party can show that they used the invention in commerce before Mereo’s filing date or the other party benefits from a compulsory license.</w:t>
      </w:r>
    </w:p>
    <w:p>
      <w:pPr>
        <w:spacing w:after="0" w:line="185"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Mereo enjoys only limited geographical protection with respect to certain patents and may not be able to protect its intellectual property rights throughout the world.</w:t>
      </w:r>
    </w:p>
    <w:p>
      <w:pPr>
        <w:spacing w:after="0" w:line="176"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Mereo product candidates in all countries throughout the world would be prohibitively expensive. Competitors may use Mereo’s and its licensors’ technologies in jurisdictions where Mereo has not obtained patent protection to develop the competitor’s own products and, further, may export otherwise infringing products to territories where Mereo and its licensors have patent protection, but enforcement rights are not as strong as that in the United States or Europe. These products may compete with Mereo’s product candidates, and Mereo’s and its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Mereo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Mereo to stop the infringement of its patents or marketing of competing products in violation of Mereo’s proprietary rights generally. Proceedings to enforce Mereo’s patent rights in other jurisdictions, whether or not successful, could result in substantial costs and divert Mereo’s efforts and attention from other aspects of its business, could put its patents at risk of being invalidated or interpreted narrowly and its patent applications at risk of not issuing as patents, and could provoke third parties to assert claims against Mereo. Mereo may not prevail in any lawsuits that it initiates and the damages or other remedies awarded, if any, may not be commercially meaningful. Accordingly, Mereo’s efforts to enforce its intellectual property rights around the world may be inadequate to obtain a significant commercial advantage from the intellectual property that Mereo develops or licenses. Furthermore, while Mereo intends to protect its intellectual property rights in its expected significant markets, it cannot ensure that it will be able to initiate or maintain similar efforts in all jurisdictions in which Mereo may wish to market its product candidates. Accordingly, Mereo’s efforts to protect its intellectual property rights in such countries may be inadequate, which may have an adverse effect on Mereo’s ability to successfully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61" w:lineRule="auto"/>
        <w:rPr>
          <w:sz w:val="20"/>
          <w:szCs w:val="20"/>
          <w:color w:val="auto"/>
        </w:rPr>
      </w:pPr>
      <w:r>
        <w:rPr>
          <w:rFonts w:ascii="Arial" w:cs="Arial" w:eastAsia="Arial" w:hAnsi="Arial"/>
          <w:sz w:val="17"/>
          <w:szCs w:val="17"/>
          <w:color w:val="auto"/>
        </w:rPr>
        <w:t>commercialize its product candidates in all of its expected significant foreign markets. If Mereo or its licensors encounter difficulties in protecting, or are otherwise precluded from effectively protecting, the intellectual property rights important for Mereo’s business in such jurisdictions, the value of these rights may be diminished and Mereo may face additional competition from others in those jurisdictions.</w:t>
      </w:r>
    </w:p>
    <w:p>
      <w:pPr>
        <w:spacing w:after="0" w:line="186" w:lineRule="exact"/>
        <w:rPr>
          <w:sz w:val="20"/>
          <w:szCs w:val="20"/>
          <w:color w:val="auto"/>
        </w:rPr>
      </w:pPr>
    </w:p>
    <w:p>
      <w:pPr>
        <w:ind w:left="2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Mereo or any of its licensors is forced to grant a license to third parties with respect to any patents relevant to Mereo’s business, its competitive position may be impaired.</w:t>
      </w:r>
    </w:p>
    <w:p>
      <w:pPr>
        <w:spacing w:after="0" w:line="167"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Mereo patents and other proprietary rights may not adequately protect Mereo’s technologies and product candidates, and may not necessarily address all potential threats to Mereo’s competitive advantage.</w:t>
      </w:r>
    </w:p>
    <w:p>
      <w:pPr>
        <w:spacing w:after="0" w:line="176"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degree of protection afforded by Mereo’s intellectual property rights is uncertain because intellectual property rights have limitations, and may not adequately protect Mereo’s business, or permit it to maintain its competitive advantage. The following examples are illustrative:</w:t>
      </w:r>
    </w:p>
    <w:p>
      <w:pPr>
        <w:spacing w:after="0" w:line="230" w:lineRule="exact"/>
        <w:rPr>
          <w:sz w:val="20"/>
          <w:szCs w:val="20"/>
          <w:color w:val="auto"/>
        </w:rPr>
      </w:pPr>
    </w:p>
    <w:p>
      <w:pPr>
        <w:ind w:left="960" w:right="14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Mereo’s product candidates but that are not covered by the claims of the patents that Mereo owns or has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Mereo’s ability to develop or commercialize its product candidates;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Mereo’s ability to develop or commercialize its product candidates;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or its licensors or any future strategic collaborators might not have been the first to conceive or reduce to practice the inventions covered by the issued patents or pending patent applications that Mereo owns or has exclusively licensed;</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or Mereo’s licensors or any future strategic collaborators might not have been the first to file patent applications covering Mereo’s inventions, its product candidates, or uses of the product candidates in the indications under Mereo’s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Mereo owns or has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Mereo owns or has exclusively licensed may not provide it with any competitive advantage, or may be held invalid or unenforceable, as a result of legal challenges by Mereo’s competitors;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Mereo own or have exclusively licensed may not provide coverage for all aspects of Mereo’s product candidates in all countries, such as for uses of Mereo’s product candidates in the indications under Mereo’s development or to be developed;</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Mereo’s technologies without infringing Mereo’s intellectual property rights;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competitors might conduct research and development activities in countries where Mereo does not have patent rights and then use the information learned from such activities to develop competitive products for sale in Mereo’s major commercial markets;</w:t>
      </w:r>
    </w:p>
    <w:p>
      <w:pPr>
        <w:spacing w:after="0" w:line="28"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Mereo using its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or its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not develop additional technologies that are patentable.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Mereo may become subject to third parties’ claims alleging infringement of third party patents and proprietary rights, or Mereo may be involved in lawsuits to protect or enforce Mereo’s patents and other proprietary rights, which could be costly and time consuming, delay or prevent the development and commercialization of Mereo’s product candidates, or put Mereo’s patents and other proprietary rights at risk.</w:t>
      </w:r>
    </w:p>
    <w:p>
      <w:pPr>
        <w:spacing w:after="0" w:line="19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commercial success depends, in part, upon its ability to develop, manufacture, market, and sell its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Mereo plans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Mereo is developing product candidates. Some claimants may have substantially greater resources than Mereo has and may be able to sustain the costs of complex intellectual property litigation to a greater degree and for longer periods of time than Mereo could. In addition, patent holding companies that focus solely on extracting royalties and settlements by enforcing patent rights may target Mereo. As the biopharmaceutical and pharmaceutical industries expand and more patents are issued, the risk increases that Mereo’s product candidates may be subject to claims of infringement of the intellectual property rights of third parties.</w:t>
      </w:r>
    </w:p>
    <w:p>
      <w:pPr>
        <w:spacing w:after="0" w:line="203"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Mereo may be subject to third-party claims including infringement, interference or derivation proceedings, post-grant review and inter partes review before the USPTO, or similar adversarial proceedings or litigation in the U.S. and other jurisdictions. Even if Mereo believes such claims are without merit, a court of competent jurisdiction could hold that these third-party patents are valid, enforceable and infringed, and the holders of any such patents may be able to block Mereo’s ability to commercialize the applicable product candidate unless Mereo obtained a license under the applicable patents, or until such patents expire or are finally determined to be invalid or unenforceable. Similarly, if any third-party patents were held by a court of competent jurisdiction to cover aspects of Mereo’s compositions, formulations, or methods of treatment, prevention, or use, the holders of any such patents may be able to block Mereo’s ability to develop and commercialize the applicable product candidate unless Mereo obtained a license or until such patent expires or is finally determined to be invalid or unenforceable. In addition, defending such claims would cause Mereo to incur substantial expenses and could cause it to pay substantial damages, if it is found to be infringing a third party’s patent rights. These damages potentially include increased damages and attorneys’ fees if Mereo is found to have infringed such rights willfully. As an example of the foregoing risks, Mereo is aware of a third-party patent family which currently includes a patent granted by the European Patent Office (“EPO”), containing claims that appear to cover the use of BPS-804 in the treatment of OI. The patent owner could assert such patent against Mereo, which could present the foregoing risks and impose limitations in Mereo’s ability to develop, manufacture or sell BPS-804 for such use in the EU, unless Mereo obtains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Further, if a patent infringement suit is brought against Mereo or its third-party service providers, Mereo’s development, manufacturing or sales activities relating to the product or product candidate that is the subject of the suit may be delayed or terminated. As a result of patent infringement claims,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or in order to avoid potential infringement claims, Mereo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Mereo’s competitors access to the same intellectual property rights. If Mereo is unable to enter into a license on acceptable terms, it could be prevented from commercializing one or more of its product candidates, or forced to modify such product candidates, or to cease some aspect of Mereo’s business operations, which could harm its business significantly. Mereo might, if possible, also be forced to redesign its product candidates so that it no longer infringes the third-party intellectual property rights, which may result in significant cost and delay to Mereo, or which redesign could be technically infeasible. Any of these events, even if Mereo were ultimately to prevail, could require Mereo to divert substantial financial and management resources that Mereo would otherwise be able to devote to its business.</w:t>
      </w:r>
    </w:p>
    <w:p>
      <w:pPr>
        <w:spacing w:after="0" w:line="20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If Mereo were to initiate legal proceedings against a third party to enforce a patent covering one of its product candidates, the defendant could counterclaim that Mereo’s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Mereo’s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Mereo cannot be certain that there is no invalidating prior art of which Mereo and the patent examiner were unaware during prosecution. There is a risk that in connection with such proceedings, a court will decide that a Mereo patent is invalid or unenforceable, in whole or in part, and that Mereo does not have the right to stop the other party from using the invention at issue. If a defendant were to prevail on a legal assertion of invalidity or unenforceability, Mereo would lose at least part, and perhaps all, of the patent protection on Mereo’s product candidates. There is also a risk that, even if the validity of such patents is upheld, the court will construe the patent’s claims narrowly or decide that Mereo does not have the right to stop the other party from using the invention at issue on the grounds that Mereo’s patent claims do not cover the invention. Even if Mereo establishes infringement, the court may decide not to grant an injunction against further infringing activity and instead award only monetary damages, which may or may not be an adequate remedy. An adverse outcome in a litigation or proceeding involving one or more of Mereo’s patents could limit its ability to assert those patents against those parties or other competitors, and may curtail or preclude Mereo’s ability to exclude third parties from making and selling similar or competitive products. In addition, if the breadth or strength of protection provided by Mereo’s patents is threatened, it could dissuade companies from collaborating with Mereo to license, develop, or commercialize its current or future product candidates. Furthermore, Mereo’s patents and other intellectual property rights also will not protect its technology if competitors design around Mereo’s protected technology without infringing its patents or other intellectual property rights.</w:t>
      </w:r>
    </w:p>
    <w:p>
      <w:pPr>
        <w:spacing w:after="0" w:line="21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Mereo’s confidential information could be compromised by disclosure during this type of litigation. Even if resolved in Mereo’s favor, litigation or other legal proceedings relating to intellectual property claims may cause Mereo to incur significant expenses and could distract Mereo’s technical and management personnel from its normal responsibilities. Such litigation or proceedings could substantially increase Mereo’s operating losses and reduce its resources available for development activities. Mereo may not have sufficient financial or other resources to adequately conduct such litigation or proceedings. Some of Mereo’s competitors may be able to sustain the costs of such litigation or proceedings more effectively than Mereo can because of its substantially greater financial resources. Uncertainties resulting from the initiation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continuation of patent litigation or other proceedings could have an adverse effect on Mereo’s ability to compete in the marketplace. There could also be public announcements of the results of hearings, motions, or other interim proceedings or developments. If securities analysts or investors view these announcements in a negative light, the price of the Mereo ADSs could be adversely affected.</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Mereo may not identify relevant third-party patents or may incorrectly interpret the relevance, scope or expiration of a third-party patent which might adversely affect Mereo’s ability to develop, manufacture and market its product candidates.</w:t>
      </w:r>
    </w:p>
    <w:p>
      <w:pPr>
        <w:spacing w:after="0" w:line="17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Mereo cannot guarantee that any of its, its licensors’, or the previous owners’ patent searches or analyses, including but not limited to the identification of relevant patents, the scope of patent claims, or the expiration of relevant patent applications or patents, are complete or thorough, nor can Mereo be certain that it has identified each and every third-party patent and patent application in the United States, Europe and elsewhere that is relevant to or necessary for the commercialization of Mereo’s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Mereo’s product candidates could have been filed by others without Mereo’s knowledge, including any such patent applications that may claim priority from patent applications for patents that Mereo has determined will expire before it commercialize its products. Additionally, pending patent applications that have been published can, subject to certain limitations, be later amended in a manner that could cover Mereo’s product candidates or the use of Mereo’s product candidates. Moreover, as Mereo studies its product candidates during development, Mereo may learn new information regarding their structure, composition, properties, or functions that may render third-party patent applications or patents that Mereo had not identified as being, or that Mereo had not believed to be, relevant to its product candidates instead to be relevant to or necessary for the commercialization of Mereo’s product candidates in a jurisdiction. The scope of a patent claim is determined by an interpretation of the law, the written disclosure in the patent, and the patent’s prosecution history. Mereo’s interpretation of the relevance or the scope of a patent or a pending patent application may be incorrect. Mereo may incorrectly determine that its product candidates are not covered by a third-party patent or may incorrectly predict whether a third party’s pending patent application will issue with claims of relevant scope. Mereo’s determination of the expiration date or the possibility of an extension of patent term of any patent in the United States, Europe, or elsewhere that Mereo considers relevant also may be incorrect. Any of the foregoing circumstances, failures, or errors may negatively impact Mereo’s ability to develop and market its product candidates.</w:t>
      </w:r>
    </w:p>
    <w:p>
      <w:pPr>
        <w:spacing w:after="0" w:line="192"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If Mereo fails to comply with its obligations under its existing and any future intellectual property licenses with third parties, it could lose license rights that are important to its business, and its business may be substantially harmed as a result.</w:t>
      </w:r>
    </w:p>
    <w:p>
      <w:pPr>
        <w:spacing w:after="0" w:line="17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Mereo is party to agreements with Novartis and AstraZeneca, under which Mereo in-licenses certain intellectual property and was assigned, in the case of Novartis, or granted an option to acquire, in the case of AstraZeneca, certain patents and patent applications related to Mereo’s business. Mereo may enter into additional license agreements in the future. Mereo’s existing license agreements impose and any future license agreements are likely to impose various diligence, milestone payment, royalty, insurance and other obligations on Mereo. Any uncured, material breach under these license agreements could result in the loss of Mereo’s rights to practice such in-licensed intellectual property, and could compromise its development and commercialization efforts for any current or future product candidates.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Mereo may not be successful in maintaining necessary rights to its product candidates or obtaining patent or other intellectual property rights important to its business through acquisitions and in-licenses.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currently owns and has in-licensed rights to intellectual property, including patents, patent applications and know-how, relating to its product candidates, and its success will likely depend on maintaining these rights. Because Mereo’s programs may require the use of proprietary rights held by third parties, the growth of Mereo’s business will likely depend in part on its ability to continue to acquire, in-license, maintain, or use these proprietary rights. In addition, Mereo’s product candidates may require specific formulations to work effectively and the rights to those formulations or methods of making those formulations may be held by others. Mereo may be unable to acquire or in-license any compositions, methods of use, processes, or other third-party intellectual property rights that Mereo identifies as necessary for the development and commercialization of its product candidates. The licensing and acquisition of third-party intellectual property rights is a competitive area, and a number of more established companies also are pursuing strategies to license or acquire third-party intellectual property rights that Mereo may consider attractive. These established companies may have a competitive advantage over Mereo due to their size, cash resources, and greater clinical development and commercialization capabilities.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companies that perceive Mereo to be a competitor may be unwilling to assign or license rights to Mereo. Mereo may also be unable to license or acquire third-party intellectual property rights on a timely basis, on terms that would allow it to make an appropriate return on its investment, or at all. Even if Mereo is able to obtain a license to intellectual property of interest, Mereo may not be able to secure exclusive rights, in which case others could use the same rights and compete with Mereo. If Mereo is unable to successfully obtain a license to third-party intellectual property rights necessary for the development of its product candidates or a development program on acceptable terms, it may have to abandon development of its product candidates or that development program.</w:t>
      </w:r>
    </w:p>
    <w:p>
      <w:pPr>
        <w:spacing w:after="0" w:line="183"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Obtaining and maintaining Mereo’s patent protection depends on compliance with various procedural, document submission, fee payment, and other requirements imposed by governmental patent agencies, and Mereo’s patent protection could be reduced or eliminated for non-compliance with these requirements.</w:t>
      </w:r>
    </w:p>
    <w:p>
      <w:pPr>
        <w:spacing w:after="0" w:line="19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Mereo or its licensors fail to maintain the patents and patent applications covering its product candidates or if it or its licensors otherwise allow its patents or patent applications to be abandoned or lapse, Mereo’s competitors might be able to enter the market, which would hurt its competitive position and could impair Mereo’s ability to successfully commercialize Mereo’s product candidates in any indication for which they are approved.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be subject to claims challenging the inventorship of its patents and other intellectual property.</w:t>
      </w:r>
    </w:p>
    <w:p>
      <w:pPr>
        <w:spacing w:after="0" w:line="234" w:lineRule="exact"/>
        <w:rPr>
          <w:sz w:val="20"/>
          <w:szCs w:val="20"/>
          <w:color w:val="auto"/>
        </w:rPr>
      </w:pPr>
    </w:p>
    <w:p>
      <w:pPr>
        <w:ind w:left="200" w:right="60" w:firstLine="331"/>
        <w:spacing w:after="0" w:line="251" w:lineRule="auto"/>
        <w:rPr>
          <w:sz w:val="20"/>
          <w:szCs w:val="20"/>
          <w:color w:val="auto"/>
        </w:rPr>
      </w:pPr>
      <w:r>
        <w:rPr>
          <w:rFonts w:ascii="Arial" w:cs="Arial" w:eastAsia="Arial" w:hAnsi="Arial"/>
          <w:sz w:val="17"/>
          <w:szCs w:val="17"/>
          <w:color w:val="auto"/>
        </w:rPr>
        <w:t>Although Mereo is not currently experiencing any claims challenging the inventorship of its patents and patent applications or ownership of its intellectual property, it may in the future be subject to claims that former employees or other third parties have an interest in its patents or other intellectual property as an inventor or co-inventor. While it is Mereo’s policy to require its employees and contractors who may be involved in the conception or development of intellectual property to execute agreements assigning such intellectual property to Mereo, Mereo may be unsuccessful in executing such an agreement with each party who, in fact, conceives or develops intellectual property that Mereo regards as its own. For example, the assignment of intellectual property rights may not be self-executing or the assignment agreements may be breached, or Mereo may have inventorship disputes arise from conflicting obligations of consultants or others who are involved in developing Mereo’s product candidates. Litigation may be necessary to defend against these and other claims challenging inventorship. If Mereo fails in defending any such claims, in addition to paying monetary damages, Mereo may lose valuable intellectual property rights, such as exclusive ownership of, or right to use, valuable intellectual property. Even if Mereo is successful in defending against such claims, litigation could result in substantial costs and be a distraction to management and other employees.</w:t>
      </w:r>
    </w:p>
    <w:p>
      <w:pPr>
        <w:spacing w:after="0" w:line="174"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Mereo’s ability to protect its product candidates.</w:t>
      </w:r>
    </w:p>
    <w:p>
      <w:pPr>
        <w:spacing w:after="0" w:line="17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Mereo’s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Mereo could therefore be awarded a patent covering an invention of its product candidates even if it made the invention before it was made by the third party. This will require Mereo to be cognizant going forward of the time from invention to filing of a patent application, but circumstances could prevent Mereo from promptly filing patent applications on its inventions.</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Mereo’s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Mereo’s patent claims that would not have been invalidated if first challenged by the third party as a defendant in a district court action. It is not clear what, if any, impact the AIA will have on the operation of Mereo’s business. However, the AIA and its implementation could increase the uncertainties and costs surrounding the prosecution of Mereo’s or its licensors’ patent applications and the enforcement or defense of Mereo’s or its licensors’ issued patents.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Mereo’s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Mereo’s ability to obtain new patents or to enforce its existing patents and patents that it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Mereo’s ability to obtain new patents in the future that may be important for its business.</w:t>
      </w:r>
    </w:p>
    <w:p>
      <w:pPr>
        <w:spacing w:after="0" w:line="185"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If Mereo does not obtain protection under the Hatch-Waxman Amendments and similar non-U.S. legislation for extending the term of patents covering its product candidates, its ability to compete effectively could be impaired.</w:t>
      </w:r>
    </w:p>
    <w:p>
      <w:pPr>
        <w:spacing w:after="0" w:line="17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Mereo’s product candidates, one or more of its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Mereo may not receive an extension if it fails to apply within applicable deadlines, fails to apply prior to expiration of relevant patents, or otherwise fails to satisfy applicable requirements. Moreover, the length of the extension could be less than Mereo requests. If Mereo is unable to obtain patent term extension or the term of any such extension is less than it requests, the period during which it can enforce its patent rights for that product will be shortened and its competitors may obtain approval to market competing products sooner. As a result, Mereo’s revenue from applicable products could be reduced, possibly materially.</w:t>
      </w:r>
    </w:p>
    <w:p>
      <w:pPr>
        <w:spacing w:after="0" w:line="18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If Mereo’s trademarks and trade names are not adequately protected, it may not be able to build name recognition in its markets of interest and its competitive position may be adversely affected.</w:t>
      </w:r>
    </w:p>
    <w:p>
      <w:pPr>
        <w:spacing w:after="0" w:line="1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currently owns registered trademarks. Mereo may not be able to obtain trademark protection in territories that it considers of significant importance. In addition, any of Mereo’s trademarks or trade names, whether registered or unregistered, may be challenged, opposed, infringed, cancelled, circumvented or declared generic, or determined to be infringing on other marks, as applicable. Mereo may not be able to protect its rights to these trademarks and trade names, which it will need to build name recognition by potential collaborators or customers in Mereo’s markets of interest. Over the long term, if Mereo is unable to establish name recognition based on its trademarks and trade names, it may not be able to compete effectively and its business may be adversely affected.</w:t>
      </w:r>
    </w:p>
    <w:p>
      <w:pPr>
        <w:spacing w:after="0" w:line="183"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If Mereo is unable to protect the confidentiality of its trade secrets and know-how, its business and competitive position would be harmed.</w:t>
      </w:r>
    </w:p>
    <w:p>
      <w:pPr>
        <w:spacing w:after="0" w:line="176"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Mereo considers proprietary trade secrets and confidential know-how and unpatented know-how to be important to its business. In addition to seeking patents for some of Mereo’s technology and product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candidates, Mereo may also rely on trade secrets or confidential know-how to protect its technology, especially where patent protection is believed to be of limited value. However, trade secrets and confidential know-how are difficult to maintain as confidential.</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To protect this type of information against disclosure or appropriation by competitors, Mereo’s policy is to require its employees, consultants, contractors and advisors to enter into confidentiality agreements with Mereo. Mereo also seeks to preserve the integrity and confidentiality of its data, trade secrets, and know-how by maintaining physical security of its premises and physical and electronic security of its information technology systems. Monitoring unauthorized uses and disclosures is difficult, and Mereo cannot know whether the steps it has taken to protect its proprietary technologies will be effective. In addition, current or former employees, consultants, contractors, and advisers may unintentionally or willfully disclose Mereo’s confidential information to competitors, and confidentiality agreements may not provide an adequate remedy in the event of unauthorized disclosure of confidential information. Mereo therefore cannot guarantee that its trade secrets and other proprietary and confidential information will not be disclosed or that competitors will not otherwise gain access to its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Mereo’s trade secrets, Mereo would have no right to prevent such competitor from using that technology or information to compete with it, which could harm its competitive position. Additionally, if the steps taken to maintain Mereo’s trade secrets are deemed inadequate, it may have insufficient recourse against third parties for misappropriating the trade secret.</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Mereo’s business and its competitive position. Moreover, Mereo’s competitors may independently develop substantially equivalent proprietary information and may even apply for patent protection in respect of the same. If successful in obtaining such patent protection, Mereo’s competitors could limit Mereo’s use of Mereo’s own trade secrets or confidential know-how.</w:t>
      </w:r>
    </w:p>
    <w:p>
      <w:pPr>
        <w:spacing w:after="0" w:line="180"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Mereo may be subject to claims by third parties asserting that Mereo or Mereo’s employees have misappropriated third party intellectual property, or claiming ownership of what Mereo regards as Mereo’s own intellectual property. These claims may be costly to defend and if Mereo does not successfully do so, it may be required to pay monetary damages and lose valuable intellectual property rights or personnel.</w:t>
      </w:r>
    </w:p>
    <w:p>
      <w:pPr>
        <w:spacing w:after="0" w:line="196"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Some of Mereo’s employees, including its senior management, were previously employed at other biopharmaceutical or pharmaceutical companies, including its competitors or potential competitors. Some of these employees executed proprietary rights, non-disclosure and non-competition agreements in connection with such previous employment. Although Mereo tries to ensure that its employees do not use the know-how, trade secrets, or other proprietary information of others in their work for Mereo, Mereo may be subject to claims that it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3" w:lineRule="exact"/>
        <w:rPr>
          <w:sz w:val="20"/>
          <w:szCs w:val="20"/>
          <w:color w:val="auto"/>
        </w:rPr>
      </w:pPr>
    </w:p>
    <w:p>
      <w:pPr>
        <w:jc w:val="both"/>
        <w:ind w:left="200" w:right="80" w:firstLine="331"/>
        <w:spacing w:after="0" w:line="238" w:lineRule="auto"/>
        <w:rPr>
          <w:sz w:val="20"/>
          <w:szCs w:val="20"/>
          <w:color w:val="auto"/>
        </w:rPr>
      </w:pPr>
      <w:r>
        <w:rPr>
          <w:rFonts w:ascii="Arial" w:cs="Arial" w:eastAsia="Arial" w:hAnsi="Arial"/>
          <w:sz w:val="18"/>
          <w:szCs w:val="18"/>
          <w:color w:val="auto"/>
        </w:rPr>
        <w:t>If Mereo fails in prosecuting or defending any such claims, in addition to paying monetary damages, it may lose valuable intellectual property rights or personnel. A loss of key research personnel or its work product could hamper or undermine Mereo’s ability to develop and commercialize its product candidates, which would severely harm its business. In addition, if such intellectual property rights were to be awarded to a third party, Mereo could be required to obtain a license from such third party to commercialize its technology or products. Such a license may not be available 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commercially reasonable terms or at all, which could hamper or undermine Mereo’s ability to develop and commercialize its product candidates, which would severely harm its business. Even if Mereo successfully prosecutes or defends against such claims, litigation could result in substantial costs and distract management from the development and commercialization of Mereo’s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proprietary information may be lost or it may suffer security breaches.</w:t>
      </w:r>
    </w:p>
    <w:p>
      <w:pPr>
        <w:spacing w:after="0" w:line="23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ordinary course of Mereo’s business, it collects and stores sensitive data, including intellectual property, clinical trial data, proprietary business information, personal data and personally identifiable information of Mereo’s clinical trial subjects and employees, in Mereo’s data centers and on Mereo’s networks. The secure processing, maintenance and transmission of this information is critical to Mereo’s operations. Despite Mereo’s security measures, its information technology and infrastructure and those of its CROs or other contractors or consultants may be vulnerable to attacks by hackers or breached due to employee error, malfeasance, or other disruptions. The loss of clinical trial data from completed, ongoing, or planned trials could result in delays in Mereo’s regulatory approval efforts and significantly increase its costs to recover or reproduce the data. Although, to Mereo’s knowledge, it has not experienced any such material security breach to date, any such breach could compromise its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Mereo’s operations; damage its reputation; and cause a loss of confidence in Mereo and its ability to conduct clinical trials, which could adversely affect Mereo’s reputation and delay its clinical development of its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Employee Matters and Managing Growth</w:t>
      </w:r>
    </w:p>
    <w:p>
      <w:pPr>
        <w:spacing w:after="0" w:line="73" w:lineRule="exact"/>
        <w:rPr>
          <w:sz w:val="20"/>
          <w:szCs w:val="20"/>
          <w:color w:val="auto"/>
        </w:rPr>
      </w:pPr>
    </w:p>
    <w:p>
      <w:pPr>
        <w:ind w:left="200" w:right="820"/>
        <w:spacing w:after="0" w:line="271" w:lineRule="auto"/>
        <w:rPr>
          <w:sz w:val="20"/>
          <w:szCs w:val="20"/>
          <w:color w:val="auto"/>
        </w:rPr>
      </w:pPr>
      <w:r>
        <w:rPr>
          <w:rFonts w:ascii="Arial" w:cs="Arial" w:eastAsia="Arial" w:hAnsi="Arial"/>
          <w:sz w:val="18"/>
          <w:szCs w:val="18"/>
          <w:b w:val="1"/>
          <w:bCs w:val="1"/>
          <w:i w:val="1"/>
          <w:iCs w:val="1"/>
          <w:color w:val="auto"/>
        </w:rPr>
        <w:t>Mereo’s future growth and ability to compete depends on retaining its key personnel and recruiting additional qualified personnel.</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success depends upon the continued contributions of its key management, including all of its senior management team, and scientific and technical personnel, many of whom have been instrumental for Mereo and have substantial experience with rare and specialty diseases and the biopharmaceutical and pharmaceutical industries. The loss of key managers and senior physicians or scientists could delay Mereo’s acquisition and development activities. In addition, the competition for qualified personnel in the biopharmaceutical and pharmaceutical fields is intense, and Mereo’s future success depends upon its ability to attract, retain and motivate highly skilled scientific, technical, and managerial employees. Mereo faces competition for personnel from other companies and organizations. If Mereo’s recruitment and retention efforts are unsuccessful in the future, it may be difficult for Mereo to achieve its development objectives, raise additional capital, and implement its business strategy.</w:t>
      </w:r>
    </w:p>
    <w:p>
      <w:pPr>
        <w:spacing w:after="0" w:line="208"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Mereo expects to expand its development, regulatory, and sales and marketing capabilities, and as a result, Mereo may encounter difficulties in managing its growth, which could disrupt its operations.</w:t>
      </w:r>
    </w:p>
    <w:p>
      <w:pPr>
        <w:spacing w:after="0" w:line="197" w:lineRule="exact"/>
        <w:rPr>
          <w:sz w:val="20"/>
          <w:szCs w:val="20"/>
          <w:color w:val="auto"/>
        </w:rPr>
      </w:pPr>
    </w:p>
    <w:p>
      <w:pPr>
        <w:ind w:left="200" w:right="180" w:firstLine="331"/>
        <w:spacing w:after="0" w:line="236" w:lineRule="auto"/>
        <w:rPr>
          <w:sz w:val="20"/>
          <w:szCs w:val="20"/>
          <w:color w:val="auto"/>
        </w:rPr>
      </w:pPr>
      <w:r>
        <w:rPr>
          <w:rFonts w:ascii="Arial" w:cs="Arial" w:eastAsia="Arial" w:hAnsi="Arial"/>
          <w:sz w:val="18"/>
          <w:szCs w:val="18"/>
          <w:color w:val="auto"/>
        </w:rPr>
        <w:t>Mereo expects to experience significant growth in the number of its employees and the scope of its operations, particularly in the areas of drug acquisition and development, regulatory affairs, and sales and marketing. To manage Mereo’s anticipated future growth, Mereo must continue to implement and improve its managerial, operational and financial systems, expand its facilities or acquire new facilities, and continue to recruit and train additional qualified personnel. Due to Mereo’s limited financial resources and the limited experience of its management team in managing a company with such anticipated growth, Mereo may not be able to effectively manage the expansion of its operations or recruit and train additional qualified personnel. The expansion of Mereo’s operations may lead to significant costs and may divert its management and business development resources. Any inability to manage growth could delay the execution of Mereo’s business plans or disrupt its operation.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OncoMed’s Business</w:t>
      </w:r>
    </w:p>
    <w:p>
      <w:pPr>
        <w:spacing w:after="0" w:line="77"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OncoMed common stock may be delisted from Nasdaq if OncoMed is unable to maintain compliance with Nasdaq’s continued listing standards.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Nasdaq imposes, among other requirements, continued listing standards including minimum bid and public float requirements. The price of OncoMed common stock must trade at or above $1.00 to comply with Nasdaq’s minimum bid requirement for continued listing on Nasdaq. On January 23, 2019, OncoMed received notice from Nasdaq indicating that it was not in compliance with Nasdaq Listing Rule 5550(a)(2) because the closing bid price of its common stock had been below $1.00 per share for the previous thirty consecutive business days. In accordance with Nasdaq Listing Rule 5810(c)(3)(A), OncoMed has been provided an initial period of 180 calendar days, or until July 22, 2019, to regain compliance. In order to regain compliance, the bid price of OncoMed common stock must close at $1.00 per share or more for a minimum of ten consecutive business days. If the closing bid price of OncoMed common stock fails to meet such minimum closing bid price requirement, or if OncoMed otherwise fails to meet any other applicable requirements of Nasdaq and OncoMed is unable to regain compliance, Nasdaq may make a determination to delist OncoMed common stock.</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Any delisting of OncoMed common stock could adversely affect the market liquidity of OncoMed common stock and the market price of OncoMed common stock could decrease. If OncoMed receives any correspondence from Nasdaq or its staff relating to the delisting or maintenance of listing of OncoMed common stock on Nasdaq, such as the notice that OncoMed received from Nasdaq on January 23, 2019, and if such receipt would reasonably be expected to have a material adverse effect, then OncoMed would be prevented from satisfying a closing condition for the Merger. In such event, Mereo may elect not to consummate the Merger. If the Merger is not completed and OncoMed chooses to reestablish a viable operating business, delisting could adversely affect OncoMed’s ability to obtain financing for the continuation of the company’s operations and/or result in the loss of confidence by investors, customers, suppliers and employees.</w:t>
      </w:r>
    </w:p>
    <w:p>
      <w:pPr>
        <w:spacing w:after="0" w:line="3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You should read and consider risk factors specific to OncoMed’s business that will also affect the Combined Company after the Merger. These risks are described in Part I, Item 1A of OncoMed’s Annual Report on Form 10-K for the fiscal year ended December 31, 2018, in Part II, Item 1A of OncoMed’s Quarterly Reports on Form 10-Q for the quarterly periods ended March 31, 2018, June 30, 2018 and September 30, 2018 and in other documents that are incorporated by reference into this document. See “Where You Can Find More Information” included in this proxy statement/prospectus for the location of information incorporated by reference in this proxy statement/prospectus.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ONCOMED SPECIAL MEETING</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 of OncoMed Special Meeting</w:t>
      </w:r>
    </w:p>
    <w:p>
      <w:pPr>
        <w:spacing w:after="0" w:line="99" w:lineRule="exact"/>
        <w:rPr>
          <w:sz w:val="20"/>
          <w:szCs w:val="20"/>
          <w:color w:val="auto"/>
        </w:rPr>
      </w:pPr>
    </w:p>
    <w:p>
      <w:pPr>
        <w:ind w:left="200" w:right="120" w:firstLine="331"/>
        <w:spacing w:after="0" w:line="261" w:lineRule="auto"/>
        <w:rPr>
          <w:sz w:val="20"/>
          <w:szCs w:val="20"/>
          <w:color w:val="auto"/>
        </w:rPr>
      </w:pPr>
      <w:r>
        <w:rPr>
          <w:rFonts w:ascii="Arial" w:cs="Arial" w:eastAsia="Arial" w:hAnsi="Arial"/>
          <w:sz w:val="17"/>
          <w:szCs w:val="17"/>
          <w:color w:val="auto"/>
        </w:rPr>
        <w:t>The OncoMed Special Meeting is scheduled to be held at 8:00 a.m., local time, on April 17, 2019 at OncoMed’s principal executive offices located at 800 Chesapeake Drive, Redwood City, California 94063. On or about March 20, 2019, OncoMed commenced mailing this proxy statement/prospectus and the enclosed form of proxy card to its stockholders entitled to vote at the OncoMed Special Meeting.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Check-in will begin at 7:30 a.m., local time and OncoMed stockholders should allow ample time for the check-in procedures.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OncoMed Special Meeting</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the OncoMed Special Meeting, OncoMed stockholders will be asked to consider and vote on:</w:t>
      </w:r>
    </w:p>
    <w:p>
      <w:pPr>
        <w:spacing w:after="0" w:line="239" w:lineRule="exact"/>
        <w:rPr>
          <w:sz w:val="20"/>
          <w:szCs w:val="20"/>
          <w:color w:val="auto"/>
        </w:rPr>
      </w:pPr>
    </w:p>
    <w:p>
      <w:pPr>
        <w:ind w:left="960" w:hanging="4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36" w:lineRule="exact"/>
        <w:rPr>
          <w:rFonts w:ascii="Arial" w:cs="Arial" w:eastAsia="Arial" w:hAnsi="Arial"/>
          <w:sz w:val="18"/>
          <w:szCs w:val="18"/>
          <w:color w:val="auto"/>
        </w:rPr>
      </w:pPr>
    </w:p>
    <w:p>
      <w:pPr>
        <w:ind w:left="960" w:hanging="4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Advisory Vote Proposal; and</w:t>
      </w:r>
    </w:p>
    <w:p>
      <w:pPr>
        <w:spacing w:after="0" w:line="36" w:lineRule="exact"/>
        <w:rPr>
          <w:rFonts w:ascii="Arial" w:cs="Arial" w:eastAsia="Arial" w:hAnsi="Arial"/>
          <w:sz w:val="18"/>
          <w:szCs w:val="18"/>
          <w:color w:val="auto"/>
        </w:rPr>
      </w:pPr>
    </w:p>
    <w:p>
      <w:pPr>
        <w:ind w:left="960" w:hanging="4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OncoMed Board of Directors</w:t>
      </w:r>
    </w:p>
    <w:p>
      <w:pPr>
        <w:spacing w:after="0" w:line="261" w:lineRule="exact"/>
        <w:rPr>
          <w:sz w:val="20"/>
          <w:szCs w:val="20"/>
          <w:color w:val="auto"/>
        </w:rPr>
      </w:pPr>
    </w:p>
    <w:p>
      <w:pPr>
        <w:ind w:left="960" w:right="140" w:hanging="432"/>
        <w:spacing w:after="0" w:line="226"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that the transactions contemplated by the Merger Agreement are fair to, advisable and in the best interests of OncoMed and its stockholders, and has approved and declared advisable the merger agreement and such transactions.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to adopt the Merger Agreement and thereby approve the transactions contemplated by the Merger Agreement.</w:t>
      </w:r>
    </w:p>
    <w:p>
      <w:pPr>
        <w:spacing w:after="0" w:line="27"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and believes that the approval, on a non-binding, advisory basis, of the transaction-related named executive officer compensation is advisable to, and in the best interests of, OncoMed and its stockholders, and has approved and adopted the proposal.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Advisory Vote Proposal to approve, on a non-binding, advisory basis, of the transaction-related named executive officer compensation.</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2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and believes that adjourning the OncoMed Special Meeting, if necessary, to solicit additional proxies if there are not sufficient votes in favor of the Merger Proposal is advisable to, and in the best interests of, OncoMed and its stockholders, and has approved and adopted the proposal.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to adjourn the OncoMed Special Meeting, if necessary or appropriate, to solicit additional proxies if there are not sufficient votes in favor of the Merger Proposal.</w:t>
      </w:r>
    </w:p>
    <w:p>
      <w:pPr>
        <w:spacing w:after="0" w:line="180" w:lineRule="exact"/>
        <w:rPr>
          <w:sz w:val="20"/>
          <w:szCs w:val="20"/>
          <w:color w:val="auto"/>
        </w:rPr>
      </w:pPr>
    </w:p>
    <w:p>
      <w:pPr>
        <w:ind w:left="200" w:right="360" w:firstLine="331"/>
        <w:spacing w:after="0" w:line="271"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w:t>
      </w:r>
    </w:p>
    <w:p>
      <w:pPr>
        <w:spacing w:after="0" w:line="176"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Consummation of the merger is conditioned on approval of the Merger Proposal. If you abstain or fail to vote on the Merger Proposal, it will have the same effect as a vote “AGAINST” the Merger Proposal. Consummation of the Merger is not conditioned on the approval of the Advisory Vote Proposal or the Adjournment Proposal.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Can Vote at the OncoMed Special Meeting</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Only OncoMed stockholders of record at the close of business on March 19, 2019, the record date for the OncoMed Special Meeting, and other persons holding valid proxies for the special meeting are entitled to notice of, to attend and to vote at the OncoMed Special Meeting.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record date, there were 38,690,089 shares of OncoMed common stock issued and outstanding, par value $0.001 per share.</w:t>
      </w:r>
    </w:p>
    <w:p>
      <w:pPr>
        <w:ind w:left="200"/>
        <w:spacing w:after="0"/>
        <w:rPr>
          <w:sz w:val="20"/>
          <w:szCs w:val="20"/>
          <w:color w:val="auto"/>
        </w:rPr>
      </w:pPr>
      <w:r>
        <w:rPr>
          <w:rFonts w:ascii="Arial" w:cs="Arial" w:eastAsia="Arial" w:hAnsi="Arial"/>
          <w:sz w:val="18"/>
          <w:szCs w:val="18"/>
          <w:color w:val="auto"/>
        </w:rPr>
        <w:t>Each share of common stock is entitled to one vote on each matter properly brought before the meeting.</w:t>
      </w:r>
    </w:p>
    <w:p>
      <w:pPr>
        <w:spacing w:after="0" w:line="212" w:lineRule="exact"/>
        <w:rPr>
          <w:sz w:val="20"/>
          <w:szCs w:val="20"/>
          <w:color w:val="auto"/>
        </w:rPr>
      </w:pPr>
    </w:p>
    <w:p>
      <w:pPr>
        <w:jc w:val="both"/>
        <w:ind w:left="200" w:right="80" w:firstLine="331"/>
        <w:spacing w:after="0" w:line="275" w:lineRule="auto"/>
        <w:rPr>
          <w:sz w:val="20"/>
          <w:szCs w:val="20"/>
          <w:color w:val="auto"/>
        </w:rPr>
      </w:pPr>
      <w:r>
        <w:rPr>
          <w:rFonts w:ascii="Arial" w:cs="Arial" w:eastAsia="Arial" w:hAnsi="Arial"/>
          <w:sz w:val="17"/>
          <w:szCs w:val="17"/>
          <w:color w:val="auto"/>
        </w:rPr>
        <w:t>In accordance with Delaware law, a list of stockholders entitled to vote at the meeting will be available at the meeting, and for 10 days prior to the meeting, at 800 Chesapeake Drive, Redwood City, California 94063, between the hours of 9:00 a.m. and 4:00 p.m., local time.</w:t>
      </w:r>
    </w:p>
    <w:p>
      <w:pPr>
        <w:spacing w:after="0" w:line="17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OncoMed stockholders and their proxies will be admitted to the OncoMed Special Meeting beginning at 7:30 a.m., local time, on April 17, 2019. OncoMed stockholders and their proxies should be prepared to present a form of government-issued photo identification, such as a driver’s license, state-issued identification card, or passport. In addition, OncoMed stockholders who are record holders will have their ownership verified against the list of record holders as of the record date prior to being admitted to the meeting. OncoMed stockholders who are not record holders but hold shares through a broker or other nominee (i.e., in “street name”) should provide proof of beneficial ownership at the close of business on the record date, such as a letter from their broker or other nominee reflecting their stock ownership as of the record date for the meeting. Anyone who does not provide photo identification or comply with the other procedures outlined above upon request will not be admitted to the special meeting.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for Approval</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Quorum</w:t>
      </w:r>
    </w:p>
    <w:p>
      <w:pPr>
        <w:spacing w:after="0" w:line="9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 quorum will be present if at least a majority in voting power of the stock issued and outstanding and entitled to vote as of the record date is present in person, or by remote communication, if applicable, or represented by proxy at the OncoMed Special Meeting. Your shares will be counted towards the quorum only if you submit a valid proxy (or one is submitted on your behalf by your broker or other nominee) or if you vote in person at the OncoMed Special Meeting. Abstentions and broker non-votes will be counted towards the quorum requirement. 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Required Vote</w:t>
      </w:r>
    </w:p>
    <w:p>
      <w:pPr>
        <w:spacing w:after="0" w:line="81"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Approval of the Merger Proposal requires the affirmative vote of holders of a majority of the outstanding shares of OncoMed common stock entitled to vote thereon. Approval of the Advisory Vote Proposal and the Adjournment Proposal each requires the affirmative vote of a majority of the votes cast affirmatively or negatively by holders of shares of OncoMed common stock present in person or represented by proxy at the OncoMed Special Meeting.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 of Not Voting and Abstentions</w:t>
      </w:r>
    </w:p>
    <w:p>
      <w:pPr>
        <w:spacing w:after="0" w:line="8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Abstentions and broker “non-votes” count as present for establishing the quorum described above. A broker “non-vote” may occur on an item when a broker is not permitted to vote on that item without instructions from the beneficial owner of the shares, and such instructions have not been provided by the beneficial owner. 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OncoMed Special Meeting are non-routine and brokers will not have discretionary authority to vote on any of the proposals to be voted on at the OncoMed Special Meeting, OncoMed does not expect to receive any broker non-votes. If broker non-votes were received, they would have the same effect as a</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vote “AGAINST” the Merger Proposal, assuming a quorum is present, but would not have any impact on the outcome of the Advisory Vote Proposal or the Adjournment Proposal.</w:t>
      </w:r>
    </w:p>
    <w:p>
      <w:pPr>
        <w:spacing w:after="0" w:line="19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Failures to attend the OncoMed Special Meeting (in person or by proxy) and vote will also not be counted for purposes of determining whether a quorum is present and will have no effect on the Advisory Vote Proposal or the Adjournment Proposal. An abstention will also have no effect on the Advisory Vote Proposal or the Adjournment Proposal. An abstention or a failure to attend the OncoMed Special Meeting (in person or by proxy) and vote will have the same effect as a vote “AGAINST” the Merger Proposal, assuming a quorum is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Adjournments</w:t>
      </w:r>
    </w:p>
    <w:p>
      <w:pPr>
        <w:spacing w:after="0" w:line="99"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Even if a quorum is present, the OncoMed Special Meeting could be adjourned in order to provide more time to solicit additional proxies in favor of adopting the Merger Proposal if sufficient votes are cast in favor of the Adjournment Proposal. If the adjournment is for more than 30 days or if after the adjournment a new record date is fixed for the adjourned meeting, notice of the adjourned meeting must be given to each stockholder of record entitled to vote at the OncoMed Special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Directors and Executive Officers of OncoMed</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At the close of business on the record date for the OncoMed Special Meeting, directors and executive officers of OncoMed (together with certain of their respective affiliates, including Delphi Ventures and The Vertical Group) beneficially owned and were entitled to vote approximately 14.63% of the shares of OncoMed common stock issued and outstanding on that date. Simultaneously with the execution and delivery of the Merger Agreement, certain of the directors and executive officers of OncoMed who are stockholders of OncoMed, in their respective capacities as stockholders of OncoMed (together with certain of their respective affiliates, including Delphi Ventures and The Vertical Group), entered into support agreements with Mereo pursuant to which such individuals granted an irrevocable proxy to Mereo, among other things, to vote their respective shares of OncoMed common stock in favor of the adoption of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Procedures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Method of Voting</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OncoMed stockholders are being asked to vote both shares held directly in their name as stockholders of record and any shares they hold in “street name” as beneficial owners. Shares of OncoMed common stock held in “street name” are shares held in a stock brokerage account or shares held by a bank or other nominee. The method of voting differs for shares held as a record holder and shares held in street name. Record holders will receive proxy cards. Holders of shares in street name will receive voting instruction cards from their brokers or nominees seeking instruction as to how to vote.</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Proxy cards and voting instruction cards are being solicited on behalf of the OncoMed Board from OncoMed stockholders in favor of approval of the Merger Proposal, the Advisory Vote Proposal and the Adjournment Proposal.</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Submitting Proxies or Voting Instructions</w:t>
      </w:r>
    </w:p>
    <w:p>
      <w:pPr>
        <w:spacing w:after="0" w:line="95"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Whether OncoMed stockholders hold shares of OncoMed common stock directly as stockholders of record or in street name, OncoMed stockholders may direct the voting of their shares without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24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attending the OncoMed Special Meeting. OncoMed stockholders may vote by granting proxies or, for shares held in street name, by submitting voting instructions to their brokers or nominees.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Record holders of shares of OncoMed common stock may submit proxies by completing, signing and dating their proxy cards for the OncoMed Special Meeting and mailing them in the accompanying pre-addressed envelopes. OncoMed stockholders who hold shares in “street name” may vote by mail by completing, signing and dating the voting instruction cards for the OncoMed Special Meeting provided by their brokers or nominees and mailing them in the accompanying pre-addressed envelopes. Proxies and voting instruction forms submitted by mail must be received no later than April 16, 2019 at 11:59 p.m. Eastern Time to be voted at the OncoMed Special Meeting. OncoMed stockholders may also submit proxies over the Internet at the web address shown on the proxy card or by calling the telephone number shown on the proxy card. The Internet and telephone voting facilities will close at 11:59 p.m., Eastern Time, on April 16, 2019. The availability of Internet and telephone voting for shares held in “street name” will depend on the voting processes of your broker or other nominee.</w:t>
      </w:r>
    </w:p>
    <w:p>
      <w:pPr>
        <w:spacing w:after="0" w:line="207"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If OncoMed stockholders of record do not include instructions on how to vote their properly signed proxy cards for the OncoMed Special Meeting, their shares will be voted “FOR” the Merger Proposal, the Advisory Vote Proposal and the Adjournment Proposal, and in the discretion of the proxy holders on any other business that may properly come before the OncoMed Special Meeting.</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If OncoMed stockholders holding shares of OncoMed common stock in “street name” do not provide voting instructions, their shares will not be considered to be votes cast on the Merger Proposal, the Advisory Vote Proposal or the Adjournment Proposal.</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Stockholders of record of OncoMed common stock may also vote in person at the OncoMed Special Meeting by attending the meeting and submitting their proxy cards or by filling out a ballot at the special meeting.</w:t>
      </w:r>
    </w:p>
    <w:p>
      <w:pPr>
        <w:spacing w:after="0" w:line="197"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If shares of OncoMed common stock are held by OncoMed stockholders in street name, those OncoMed stockholders may not vote their shares in person at the OncoMed Special Meeting unless they bring a signed proxy from the record holder giving them the right to vote their shares and fill out a ballot at the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Contact for Questions and Assistance in Voting</w:t>
      </w:r>
    </w:p>
    <w:p>
      <w:pPr>
        <w:spacing w:after="0" w:line="99"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Any OncoMed stockholder who has a question about the proposals or how to vote or revoke a proxy, or who wishes to obtain additional copies of this proxy statement/prospectus,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142875</wp:posOffset>
            </wp:positionV>
            <wp:extent cx="1355090"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If you need additional copies of this proxy statement/prospectus or voting materials, you should contact MacKenzie Partners, Inc. as described above or OncoMed Investor Relations at the following address and telephone number:</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OncoMed Pharmaceuticals, Inc.</w:t>
      </w:r>
    </w:p>
    <w:p>
      <w:pPr>
        <w:jc w:val="center"/>
        <w:ind w:right="-199"/>
        <w:spacing w:after="0" w:line="234" w:lineRule="auto"/>
        <w:rPr>
          <w:sz w:val="20"/>
          <w:szCs w:val="20"/>
          <w:color w:val="auto"/>
        </w:rPr>
      </w:pPr>
      <w:r>
        <w:rPr>
          <w:rFonts w:ascii="Arial" w:cs="Arial" w:eastAsia="Arial" w:hAnsi="Arial"/>
          <w:sz w:val="18"/>
          <w:szCs w:val="18"/>
          <w:color w:val="auto"/>
        </w:rPr>
        <w:t>Attention: Investor Relations</w:t>
      </w:r>
    </w:p>
    <w:p>
      <w:pPr>
        <w:jc w:val="center"/>
        <w:ind w:right="-199"/>
        <w:spacing w:after="0" w:line="235" w:lineRule="auto"/>
        <w:rPr>
          <w:sz w:val="20"/>
          <w:szCs w:val="20"/>
          <w:color w:val="auto"/>
        </w:rPr>
      </w:pPr>
      <w:r>
        <w:rPr>
          <w:rFonts w:ascii="Arial" w:cs="Arial" w:eastAsia="Arial" w:hAnsi="Arial"/>
          <w:sz w:val="18"/>
          <w:szCs w:val="18"/>
          <w:color w:val="auto"/>
        </w:rPr>
        <w:t>800 Chesapeake Drive</w:t>
      </w:r>
    </w:p>
    <w:p>
      <w:pPr>
        <w:jc w:val="center"/>
        <w:ind w:right="-19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number: (650) 995-8200</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Revoking Proxies or Voting Instructions</w:t>
      </w:r>
    </w:p>
    <w:p>
      <w:pPr>
        <w:spacing w:after="0" w:line="99"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OncoMed stockholders may change their votes at any time prior to the vote at the OncoMed Special Meeting. OncoMed stockholders of record may change their votes by granting new proxies bearing a later date (which automatically revoke any earlier proxy), by filing an instrument in writing revoking the proxy, or by attending the OncoMed Special Meeting and voting in person. Attendance at the OncoMed Special Meeting will not cause previously granted proxies to be revoked, unless the OncoMed stockholder specifically so requests.</w:t>
      </w:r>
    </w:p>
    <w:p>
      <w:pPr>
        <w:spacing w:after="0" w:line="20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For shares held in “street name,” OncoMed stockholders may change their votes by submitting new voting instructions to their brokers or nominees or by attending the OncoMed Special Meeting and voting in person, provided that they have obtained a signed proxy from the record holder giving them the right to vote their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Shares Held in “Street Name”</w:t>
      </w:r>
    </w:p>
    <w:p>
      <w:pPr>
        <w:spacing w:after="0" w:line="85"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OncoMed stockholders who own shares of OncoMed common stock through a broker or other nominee and attend and vote at the OncoMed Special Meeting should bring proof of beneficial ownership at the close of business on the record date, such as a letter from their broker, trustee or other nominee reflecting their stock ownership as of the record date for the OncoMed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Tabulation of Votes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Representatives of Computershare Trust Company, N.A., OncoMed’s mailing agent and tabulation service, will count the votes and act as the Inspector of Elections. The procedures to be used by the Inspector of Elections are consistent with Delaware law concerning the voting of shares, determination of a quorum and the vote required to take stockholder action.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You Can Reduce the Number of Copies of OncoMed’s Proxy Materials You Receive</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copy of its proxy statement to stockholders. This process, which is commonly referred to as “householding,” is intended as a convenience for stockholders and to help reduce printing and mailing costs for companies.</w:t>
      </w:r>
    </w:p>
    <w:p>
      <w:pPr>
        <w:spacing w:after="0" w:line="20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Brokers with account holders who are OncoMed stockholders may be “householding” OncoMed’s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OncoMed that you no longer wish to participate in “householding.”</w:t>
      </w:r>
    </w:p>
    <w:p>
      <w:pPr>
        <w:spacing w:after="0" w:line="203"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proxy statement, you may (1) notify your broker, or (2) direct your written request to: General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rPr>
          <w:sz w:val="20"/>
          <w:szCs w:val="20"/>
          <w:color w:val="auto"/>
        </w:rPr>
      </w:pPr>
      <w:r>
        <w:rPr>
          <w:rFonts w:ascii="Arial" w:cs="Arial" w:eastAsia="Arial" w:hAnsi="Arial"/>
          <w:sz w:val="18"/>
          <w:szCs w:val="18"/>
          <w:color w:val="auto"/>
        </w:rPr>
        <w:t>Counsel, OncoMed Pharmaceuticals, 800 Chesapeake Drive, Redwood City, California 94063. OncoMed will promptly deliver, upon written or oral request to the address or telephone number above, a separate copy of the proxy statement and annual report to a stockholder at a shared address to which a single copy of the documents was delivered.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Proxy Distribution and Solicitation</w:t>
      </w:r>
    </w:p>
    <w:p>
      <w:pPr>
        <w:spacing w:after="0" w:line="99" w:lineRule="exact"/>
        <w:rPr>
          <w:sz w:val="20"/>
          <w:szCs w:val="20"/>
          <w:color w:val="auto"/>
        </w:rPr>
      </w:pPr>
    </w:p>
    <w:p>
      <w:pPr>
        <w:ind w:left="200" w:firstLine="331"/>
        <w:spacing w:after="0" w:line="252" w:lineRule="auto"/>
        <w:rPr>
          <w:sz w:val="20"/>
          <w:szCs w:val="20"/>
          <w:color w:val="auto"/>
        </w:rPr>
      </w:pPr>
      <w:r>
        <w:rPr>
          <w:rFonts w:ascii="Arial" w:cs="Arial" w:eastAsia="Arial" w:hAnsi="Arial"/>
          <w:sz w:val="17"/>
          <w:szCs w:val="17"/>
          <w:color w:val="auto"/>
        </w:rPr>
        <w:t>OncoMed is soliciting proxies for its special meeting from OncoMed stockholders. OncoMed and Mereo will share equally the fees and costs associated with printing and filing this proxy statement/prospectus and the registration statement on Form F-4, of which it forms a part. The cost of soliciting proxies from OncoMed stockholders will be paid by OncoMed. OncoMed has retained MacKenzie Partners, Inc. to assist it in the solicitation of proxies for approximately $10,000, plus reasonable out-of-pocket expenses. OncoMed has also requested that banks, brokers and other custodians, agents and fiduciaries send these proxy materials to the beneficial owners of OncoMed’s common stock they represent and secure their instructions as to the voting of such shares. OncoMed may reimburse such banks, brokers and other custodians, agents and fiduciaries representing beneficial owners of OncoMed’s common stock for their expenses in forwarding solicitation materials to such beneficial owners. Certain of OncoMed’s directors, officers or employees may also solicit proxies in person, by telephone, or by electronic communications, but they will not receive any additional compensation for doing so.</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of the date of this proxy statement/prospectus, the OncoMed Board does not know of any business to be presented at the OncoMed Special Meeting other than as set forth in the notice accompanying this proxy statement/prospectus. If any other matters should properly come before the OncoMed Special Meeting, it is intended that the shares represented by proxies will be voted with respect to such matters in accordance with the judgment of the persons voting the proxies.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1—THE MERGER AGREEMENT AND THE MERGER</w:t>
      </w:r>
    </w:p>
    <w:p>
      <w:pPr>
        <w:spacing w:after="0" w:line="34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discussed elsewhere in this proxy statement/prospectus, OncoMed stockholders are being asked to vote to approve and adopt the Merger Proposal. OncoMed stockholders should read carefully this proxy statement/prospectus in its entirety for more detailed information concerning the Merger Agreement and the Merger. In particular, OncoMed stockholders are directed to the Merger Agreement, which is attached as Annex A to this proxy statement/prospectus.</w:t>
      </w:r>
    </w:p>
    <w:p>
      <w:pPr>
        <w:spacing w:after="0" w:line="20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Pursuant to the Merger Agreement, approval of the Merger Proposal is a condition to the consummation of the Merger. If the Merger Proposal is not approved, the Merger will not be completed.</w:t>
      </w:r>
    </w:p>
    <w:p>
      <w:pPr>
        <w:spacing w:after="0" w:line="197"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Approval of the Merger Proposal requires the affirmative vote of the holders of a majority of the outstanding shares of OncoMed common stock entitled to vote on the matter.</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Merger Proposal.</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2—NON-BINDING, ADVISORY VOTE ON TRANSACTION-RELATED NAMED EXECUTIVE OFFICER COMPENSATION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Golden Parachute Compensation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OncoMed is providing its shareholders with the opportunity to cast a vote, on a non-binding, advisory basis, to approve the transaction-related named executive officer compensation as disclosed in the table titled “OncoMed’s Golden Parachute Compensation” and the accompanying footnotes under “The Merger—Interests of OncoMed’s Directors and Executive Officers in the Merger” beginning on page 138 of this proxy statement/prospectus, as required by Section 14A of the Exchange Act, which was enacted as part of the Dodd-Frank Wall Street Reform and Consumer Protection Act of 2010.</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Through this proposal, OncoMed is asking its shareholders to indicate their approval, on a non-binding, advisory basis, of the various OncoMed change in control-related benefits, equity acceleration and other payments and benefits which OncoMed’s named executive officers will or may be eligible to receive in connection with the merger as indicated in the table referred to above.</w:t>
      </w:r>
    </w:p>
    <w:p>
      <w:pPr>
        <w:spacing w:after="0" w:line="203" w:lineRule="exact"/>
        <w:rPr>
          <w:sz w:val="20"/>
          <w:szCs w:val="20"/>
          <w:color w:val="auto"/>
        </w:rPr>
      </w:pPr>
    </w:p>
    <w:p>
      <w:pPr>
        <w:ind w:left="200" w:firstLine="331"/>
        <w:spacing w:after="0" w:line="275" w:lineRule="auto"/>
        <w:rPr>
          <w:sz w:val="20"/>
          <w:szCs w:val="20"/>
          <w:color w:val="auto"/>
        </w:rPr>
      </w:pPr>
      <w:r>
        <w:rPr>
          <w:rFonts w:ascii="Arial" w:cs="Arial" w:eastAsia="Arial" w:hAnsi="Arial"/>
          <w:sz w:val="17"/>
          <w:szCs w:val="17"/>
          <w:color w:val="auto"/>
        </w:rPr>
        <w:t>You should review carefully the information regarding the transaction-related named executive officer compensation disclosed in this proxy statement/prospectus. The OncoMed Board unanimously recommends that OncoMed stockholders approve the following resolution:</w:t>
      </w:r>
    </w:p>
    <w:p>
      <w:pPr>
        <w:spacing w:after="0" w:line="173"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“RESOLVED, that the stockholders of OncoMed approve, solely on an advisory, non-binding basis, the transaction-related named executive officer compensation which will or may be paid by OncoMed or Mereo to OncoMed’s named executive officers in connection with the merger, as disclosed pursuant to Item 402(t) of Regulation S-K in the table titled “OncoMed’s Golden Parachute Compensation” and the accompanying footnotes under “The Merger—Interests of OncoMed’s Directors and Executive Officers in the Merger” beginning on page 138 of this proxy statement/prospectus.”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vote on the transaction-related named executive officer compensation is a vote separate and apart from the vote on the approval of the Merger Agreement. Accordingly, you may vote to approve the Merger Agreement and vote not to approve the transaction-related named executive officer compensation and vice versa. Because the vote on the transaction-related named executive officer compensation is advisory only, it will not be binding on either OncoMed or Mereo. Accordingly, if the Merger Agreement is approved and the Merger is completed, the transaction-related named executive officer compensation will or may be paid by OncoMed or Mereo, subject only to the conditions applicable thereto, regardless of the outcome of the non-binding, advisory vote of OncoMed stockholders.</w:t>
      </w:r>
    </w:p>
    <w:p>
      <w:pPr>
        <w:spacing w:after="0" w:line="205"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affirmative vote, in person or by proxy, of holders of a majority of the shares of OncoMed common stock represented at the special meeting and entitled to vote thereon is required to approve, on a non-binding, advisory basis, the transaction-related named executive officer compensation.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Advisory Vote Proposal.</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PROPOSAL 3—POSSIBLE ADJOURNMENT TO SOLICIT ADDITIONAL PROXIES, IF NECESSARY OR APPROPRIATE</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As discussed elsewhere in this proxy statement/prospectus, OncoMed stockholders are being asked to vote to approve the adjournment of the OncoMed Special Meeting, if necessary or appropriate, to obtain additional proxies if there are not sufficient votes to approve the Merger Proposal at the time of the OncoMed Special Meeting.</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If this proposal is approved, the OncoMed Special Meeting could be adjourned to any date. If the OncoMed Special Meeting is adjourned, OncoMed stockholders who have already submitted their proxies will be able to revoke them at any time prior to their use. If you sign and return a proxy and do not indicate how you wish to vote on any proposal, or if you indicate that you wish to vote in favor of the Merger Proposal but do not indicate a choice on the Adjournment Proposal, your shares of OncoMed common stock will be voted “FOR” the Adjournment Proposal.</w:t>
      </w:r>
    </w:p>
    <w:p>
      <w:pPr>
        <w:spacing w:after="0" w:line="203"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Approval of the Adjournment Proposal requires that the number of votes properly cast for this proposal exceeds the number of votes properly cast against this proposal from holders of OncoMed common stock present in person or represented by proxy at the OncoMed Special Meeting.</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OncoMed does not intend to call a vote on the Adjournment Proposal if the Merger Proposal considered at the OncoMed Special Meeting has been approved at the OncoMed Special Meeting.</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Adjournment Proposal</w:t>
      </w:r>
      <w:r>
        <w:rPr>
          <w:rFonts w:ascii="Arial" w:cs="Arial" w:eastAsia="Arial" w:hAnsi="Arial"/>
          <w:sz w:val="18"/>
          <w:szCs w:val="18"/>
          <w:color w:val="auto"/>
        </w:rPr>
        <w:t>.</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240" w:top="459" w:right="6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w:t>
      </w:r>
    </w:p>
    <w:p>
      <w:pPr>
        <w:spacing w:after="0" w:line="324" w:lineRule="exact"/>
        <w:rPr>
          <w:sz w:val="20"/>
          <w:szCs w:val="20"/>
          <w:color w:val="auto"/>
        </w:rPr>
      </w:pPr>
    </w:p>
    <w:p>
      <w:pPr>
        <w:jc w:val="both"/>
        <w:ind w:left="200" w:right="320" w:firstLine="331"/>
        <w:spacing w:after="0" w:line="251" w:lineRule="auto"/>
        <w:rPr>
          <w:sz w:val="20"/>
          <w:szCs w:val="20"/>
          <w:color w:val="auto"/>
        </w:rPr>
      </w:pPr>
      <w:r>
        <w:rPr>
          <w:rFonts w:ascii="Arial" w:cs="Arial" w:eastAsia="Arial" w:hAnsi="Arial"/>
          <w:sz w:val="18"/>
          <w:szCs w:val="18"/>
          <w:i w:val="1"/>
          <w:iCs w:val="1"/>
          <w:color w:val="auto"/>
        </w:rPr>
        <w:t>The following discussion contains important information relating to the Merger. This summary does not purport to be complete and may not contain all of the information about the Merger that is important to you. You are urged to read this discussion together with the Merger Agreement and the related documents attached as annexes to this proxy statement/prospectus before voting.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the Merger</w:t>
      </w:r>
    </w:p>
    <w:p>
      <w:pPr>
        <w:spacing w:after="0" w:line="99"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December 5, 2018, Mereo, HoldCo, Merger Sub and OncoMed entered into the Merger Agreement, providing for the Merger of Merger Sub with and into OncoMed, with OncoMed being the surviving corporation in the Merger and a wholly-owned indirect subsidiary of Mereo, all upon the terms and subject to the conditions set forth in the Merger Agreement.</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If the Merger is completed, OncoMed stockholders will receive, in exchange for each outstanding share of OncoMed common stock owned immediately prior to completion of the Merger (except for any dissenting shares): (1) a number of Mereo ADSs determined by reference to the Exchange Ratio described below,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number of Mereo Shares underlying Mereo ADSs issuable to former OncoMed stockholders in the Merger is also subject to the Share Consideration Cap, as described further below in “—Merger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Nasdaq.</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Mereo and OncoMed currently anticipate that the Merger will occur in the first half of 2019. However, neither Mereo nor OncoMed can predict the exact timing of the completion of the Merger because the Merger is subject to certain other conditions to closing as set forth in the Merger Agreement. See the section below entitled “—Conditions to Closing.”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Merger</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OncoMed Board and OncoMed’s management regularly review and discuss OncoMed’s operating and strategic plans, both near-term and long-term, as well as various strategic alternatives in an effort to enhance stockholder value. These reviews and discussions have focused on, among other things, the opportunities and risks associated with OncoMed’s business strategy and financial condition, potential collaboration opportunities, potential strategic relationships and other strategic alternatives.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In furtherance of the foregoing, in December 2017, the OncoMed Board reviewed in detail OncoMed’s business and corporate development opportunities, including potential collaborations with pharmaceutical and biopharmaceutical companies, and other strategic options to maximize stockholder value.</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Throughout 2017 and the first half of 2018, the OncoMed Board met regularly to review cash flow projections prepared by OncoMed management, which were regularly updated to reflect the likelihood of OncoMed receiving potential milestone payments from Celgene and the developments in OncoMed’s clinical programs and actions taken by OncoMed to decrease operating expenses. The OncoMed Board also met regularly to discuss updates to OncoMed’s ongoing efforts to out-license clinical programs that were not partnered with Celgene, potential in-licensing and collaboration opportunities, and other initiatives to find partnerships for OncoMed’s early stage research assets. However, despite OncoMed’s discussions with potential partners and investors and the OncoMed Board’s consideration of potential collaboration opportunities intended to yield new product opportunities for OncoMed’s pipeline, due to market conditions at that time, OncoMed was unable to complete any such transaction.</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January 4, 2018, after the close of trading of OncoMed common stock, OncoMed issued a press release announcing that on January 1, 2018, Paul J. Hastings had informed the OncoMed Board of his decision to resign as a member and Chairman of the OncoMed Board and as OncoMed’s President and Chief Executive Officer due to personal reasons. Additionally, the press release provided an update on OncoMed’s rosmantuzumab (anti-RSPO3, OMP131-R10) clinical program and stated that OncoMed’s clinical experience in treating patients in the clinical program failed to provide compelling evidence of clinical benefit. The press release also announced that OncoMed was advancing its navicixizumab, anti-TIGIT, and GITRL-Fc programs, as well as on-going immuno-oncology discovery efforts to meaningful inflection points in 2018, and that OncoMed anticipated reporting navicixizumab and anti-TIGIT data in 2018 as appropriate pending progress of on-going studies.</w:t>
      </w:r>
    </w:p>
    <w:p>
      <w:pPr>
        <w:spacing w:after="0" w:line="20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 January 31, 2018, after the close of trading of OncoMed common stock, OncoMed filed a Current Report on Form 8-K which stated that on January 28, 2018, Sunil Patel, OncoMed’s Executive Vice President and Chief Financial Officer, Principal Accounting Officer and a member of the Office of the President at the time, notified OncoMed of his intention to resign from OncoMed, effective on or about March 9, 2018. The Current Report on Form 8-K also stated that on January 26, 2018, OncoMed distributed retention bonus agreements to all of its employees in order to encourage continued service to OncoMed.</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Also on January 31, 2018, the OncoMed Board met, with members of OncoMed management and a representative of Latham &amp; Watkins LLP (“Latham &amp; Watkins”) present, OncoMed’s outside legal counsel, present. Following discussion, the OncoMed Board directed Dr. Deepika Pakianathan, a member of the OncoMed Board, to request that representatives of Leerink Partners assist in the development of a plan for exploring business development partners for OncoMed. The OncoMed Board requested that Dr. Pakianathan consult with Leerink Partners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including Leerink Partners’ prior engagement as a joint bookrunner in connection with OncoMed’s initial public offering of its common stock in July 2013 and as OncoMed’s sole bookrunner in connection with OncoMed’s follow-on offering of its common stock in August 2016.</w:t>
      </w:r>
    </w:p>
    <w:p>
      <w:pPr>
        <w:spacing w:after="0" w:line="20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March 1, 2018, the OncoMed Board met, with members of OncoMed management and representatives of Latham &amp; Watkins and Leerink Partners present. During the meeting, the OncoMed Board reviewed an outreach plan that had been prepared by Leerink Partners with input from</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OncoMed management that included a broad list of companies with a focus on oncology that might have a potential interest in a strategic transaction with OncoMed. Following discussion, the OncoMed Board authorized and directed management and Leerink Partners to commence a preliminary confidential outreach to the broad list of companies set forth in the plan to ascertain their potential interest in a strategic transaction with OncoMed and also authorized and directed management to negotiate an engagement letter with Leerink Partners to act as OncoMed’s exclusive financial advisor in connection with OncoMed’s review of possible strategic alternatives. The OncoMed Board also authorized the creation of a Business Development and Strategy Committee (the “Committee”), consisting of directors Drs. Pakianathan and Denise Scots-Knight, the current Chief Executive Officer of Mereo, and Messrs. Perry Karsen, Jack Lasersohn and Rick Winningham. The purpose of the Committee was to assist the OncoMed Board with the identification, review and assessment of OncoMed’s business development opportunities. The Committee was not delegated the authority to approve any particular transaction. The members of the Committee were selected by the OncoMed Board based primarily on the members’ knowledge of and experience with strategic transactions, operational and executive experience and ability to meet the time commitments of service on such committee.</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 March 16, 2018, the OncoMed Board met, with members of OncoMed management and representatives of Latham &amp; Watkins and Leerink Partners present. During the meeting, the OncoMed Board appointed John Lewicki, Ph.D., as OncoMed’s President and Chief Executive Officer and as a director on the OncoMed Board. After confirming that Leerink Partners had no conflicts of interest that would prevent it from fulfilling its obligations as OncoMed’s financial advisor, the OncoMed Board formally engaged Leerink Partners to act as its exclusive financial advisor in connection with OncoMed’s review of possible strategic alternatives. 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Also during the meeting, the OncoMed Board reviewed and discussed the outreach activities of the Committee.</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At the instruction of the OncoMed Board and consistent with the confidential outreach plan approved by the OncoMed Board, management and representatives of Leerink Partners contacted 46 companies with oncology assets regarding their possible interest in a strategic transaction with OncoMed during the spring of 2018. As a result of these contacts, 28 companies expressed preliminary interest in exploring a potential strategic transaction with OncoMed, OncoMed conducted telephonic or in-person discussions with approximately twenty companies, thirteen companies executed mutual confidentiality agreements with OncoMed, none of which included standstill provisions, and six companies submitted non-binding indications of interest. Following receipt of such non-binding indications of interest, OncoMed management conducted initial due diligence on these six companies. During this period, the Committee met regularly and generally on a weekly basis, to discuss management’s assessment of such companies’ scientific, clinical and business potential and the non-binding indications of interest received. The Committee directed Leerink Partners to focus on those companies that placed value on OncoMed’s technology and product candidates and those that may provide therapeutic assets that complement OncoMed’s product portfolio as potential strategic partners of OncoMed.</w:t>
      </w:r>
    </w:p>
    <w:p>
      <w:pPr>
        <w:spacing w:after="0" w:line="20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May 30, 2018, the Committee met, with members of OncoMed management and representatives of Latham &amp; Watkins and Leerink Partners present. During the meeting, at Dr. Pakianathan’s request, a representative of Leerink Partners presented an update regarding discussions with potential strategic partners and commented on the feedback received based on follow-up discussions with certain potential business development and strategic partners. A representative of Leerink Partners then reviewed an illustrative transaction structure for a potential acquisition of an early stage private company (“Company A”), which was developing a product that OncoMed viewed as potentially complementary to OncoMed’s current product pipeline. Members of</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Committee asked questions regarding the proposed structure, including the projected accounting impact of an option structure with significant contingent consideration payable upon the achievement of certain negotiated milestones intended to align with value creation. Representatives of Leerink Partners addressed the Committee’s questions, and along with members of the Committee, discussed valuation considerations related to a possible structure for a potential transaction between Company A and OncoMed. The Committee then requested that Leerink Partners prepare a sensitivity analysis with respect to the proposal regarding Company A.</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June 8, 2018, the Committee met, with members of OncoMed management and representatives of Latham &amp; Watkins and Leerink Partners present. During the meeting, at Dr. Pakianathan’s request, a representative of Leerink Partners presented an update regarding discussions with potential strategic partners, with a focus on another proposal received from a private company, and compared the terms of such proposal to proposals received from other companies. Dr. Pakianathan and Dr. Lewicki next commented on due diligence activities and discussions with certain of the companies that had submitted a proposal, or were contemplating submitting a proposal with respect to a potential strategic transaction with OncoMed, and the Committee asked questions regarding each of the received proposals. Representatives of Leerink Partners and members of the Committee then discussed next steps and planned activities in connection with the Committee’s evaluation of the proposals received from potential strategic partners.</w:t>
      </w:r>
    </w:p>
    <w:p>
      <w:pPr>
        <w:spacing w:after="0" w:line="208"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On June 21, 2018, members of Company B’s (as defined below) management met with Dr. Lewicki, Dr. Pakianathan and certain other members of OncoMed management at the headquarters of Company B to discuss a potential transaction between OncoMed and Company B, and the parties shared certain high-level information with each other.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June 22 and 23, 2018, the OncoMed Board met, with members of OncoMed management and representatives of Latham &amp; Watkins and Leerink Partners present. During the meeting, the OncoMed Board discussed OncoMed’s clinical programs and research and development activities in light of the Company’s capital resources, ability to raise additional capital and the potential merits and disadvantages of a strategic transaction in the best interests of OncoMed’s stockholders. The OncoMed Board also discussed the merits of the non-binding indications of interest and initial due diligence findings of the three companies that the Committee had identified as the most promising potential strategic partners to OncoMed and the potential impact of Celgene’s pending decision as to whether to exercise their option to license OncoMed’s bispecific antibody navicixizumab. Following such discussion, two companies were selected by the OncoMed Board for further diligence and evaluation as a potential strategic partner of OncoMed, one of which was a privately-held non-public reporting clinical-stage biotechnology company focused on the development of certain oncology antibody therapeutics (“Company B”) and the other of which was a clinical-stage oncology biotechnology company focused on the development of certain oncology therapeutics (“Company C”).</w:t>
      </w:r>
    </w:p>
    <w:p>
      <w:pPr>
        <w:spacing w:after="0" w:line="206"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On July 3, 2018, the OncoMed Board met, with members of OncoMed management and representatives of Latham &amp; Watkins present. The OncoMed Board discussed the merits of pursuing a strategic transaction with Company B or Company C relative to OncoMed’s opportunities to maintain its then-current business strategy, which included its partnership with Celgene and the potential impact of Celgene’s eventual decision with respect to whether to exercise its option to license navicixizumab. Following discussion, the OncoMed Board authorized Leerink Partners to undertake further discussions with Company B and Company C to assess the possible terms on which such companies would propose a business combination with OncoMed.</w:t>
      </w:r>
    </w:p>
    <w:p>
      <w:pPr>
        <w:spacing w:after="0" w:line="205"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On July 27, 2018, the OncoMed Board met, with members of OncoMed management and representatives of Latham &amp; Watkins present. The OncoMed Board discussed the status of OncoMed’s clinical programs and research and development activities, including with respect to clinical trials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navicixizumab and management’s expectation that Celgene in September 2018 would likely provide a decision on whether to exercise its option to license navicixizumab. Following discussion with the OncoMed Board regarding the anticipated upcoming decision by Celgene regarding whether Celgene would exercise its option to license navicixizumab and the merits and terms of the non-binding indications of interest received from Company B and Company C, the OncoMed Board determined to place on hold further efforts to enter into a strategic transaction until following Celgene’s decision.</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On September 20, 2018, after the close of trading of OncoMed common stock, OncoMed filed a Current Report on Form 8-K which announced that Celgene had notified OncoMed that due to strategic product portfolio considerations, Celgene decided not to exercise its option to license OncoMed’s navicixizumab. The Current Report on Form 8-K also announced that OncoMed and Celgene were working to formalize the termination of the parties’ collaboration agreement with respect to navicixizumab and that OncoMed expected to retain worldwide rights to navicixizumab.</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1, 2018, after the close of trading of OncoMed common stock, OncoMed filed a Current Report on Form 8-K which announced that on September 28, 2018, Dr. Scots-Knight informed the OncoMed Board of her decision to resign, effective immediately, as a member of the OncoMed Board due to other professional commitments.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 October 3, 2018, the financial advisors of Company B delivered a preliminary, non-binding proposal to representatives of Leerink Partners, which proposed a reverse triangular merger resulting in OncoMed stockholders owning a pro forma interest of the combined company of 25% to 30% based on an assumed OncoMed cash balance of $55 million as of December 31, 2018.</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On October 4, 2018, Dr. Scots-Knight, Chief Executive Officer of Mereo, contacted Dr. Pakianathan, Dr. Lewicki and Mr. Karsen regarding a potential strategic transaction between Mereo and OncoMed and provided certain financial information regarding Mereo, as well as a presentation discussing Mereo’s business.</w:t>
      </w:r>
    </w:p>
    <w:p>
      <w:pPr>
        <w:spacing w:after="0" w:line="203"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On October 4 and 5, 2018, the OncoMed Board met, with members of OncoMed management and representatives of Leerink Partners and Latham &amp; Watkins present. OncoMed management provided an update on the status of OncoMed’s therapeutic candidates in development, capital resources, capital requirements and ability to raise additional capital. The OncoMed Board discussed OncoMed’s capital resources and ability to raise additional capital and the evaluation of strategic opportunities to maximize stockholder value, including the possibility of a business combination or other strategic transaction. Following extensive discussion, the OncoMed Board decided to pursue all strategic transaction opportunities and authorized Leerink Partners to re-engage with four of the parties from the outreach earlier in 2018, to engage with Mereo and to further contact a broader range of biopharmaceutical companies, including both oncology and non-oncology focused companies, for the purpose of determining the level of interest in engaging in a potential strategic transaction with OncoMed.</w:t>
      </w:r>
    </w:p>
    <w:p>
      <w:pPr>
        <w:spacing w:after="0" w:line="20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In early October 2018, working with members of OncoMed management, Leerink Partners identified and screened approximately 25 biopharmaceutical companies, and Leerink Partners conducted management calls and meetings with twelve such companies that expressed interest in exploring a potential strategic transaction with OncoMed.</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5, 2018, OncoMed and Mereo entered into a mutual confidentiality agreement, which did not include a standstill provision. OncoMed sent to Mereo an initial due diligence request list upon the execution of the confidentiality agreement, largely focused on intellectual property matters, material contracts and historical financial information.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9 and 10, 2018, Dr. Scots-Knight and certain other members of Mereo management met with Dr. Lewicki and certain other members of OncoMed management at OncoMed’s headquarters at Redwood City, California to discuss the potential transaction between OncoMed and Mereo, and the parties shared certain scientific, operational and financial information with each other.</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On October 10, 2018, following discussions by Dr. Lewicki and other members of OncoMed management with certain members of management from Company B and Mereo, Leerink Partners sent process letters to Company B and Mereo.</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October 12, 2018, the Committee met, with members of OncoMed management and representatives of Leerink Partners and Latham &amp; Watkins present, to discuss the status of Leerink Partners’ outreach efforts, the plan and timeline for receiving any additional non-binding proposals, and the plans for reviewing such proposals. Representatives of Leerink Partners summarized for the Committee the differences between Company B’s first non-binding indication of interest received earlier in 2018 and Company B’s newly submitted non-binding indication of interest that Leerink Partners had received on October 3, 2018. At the invitation of Mr. Karsen, executive chairman of the OncoMed Board, Leerink Partners delivered a presentation on initial public offerings of biopharmaceutical companies comparable to the size and assets of Company B and initial public offerings of clinical-stage biopharmaceutical companies with products in phase one clinical trials. Representatives of Leerink Partners also provided an update to the Committee regarding the potential timing of a hypothetical potential business combination transaction with a private biopharmaceutical company, for planning purposes.</w:t>
      </w:r>
    </w:p>
    <w:p>
      <w:pPr>
        <w:spacing w:after="0" w:line="207"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On October 16, 2018, members of Company B’s management met with Dr. Lewicki and certain other members of OncoMed management at OncoMed’s headquarters at Redwood City, California to discuss a potential transaction between OncoMed and Company B, and the parties shared certain high-level information with each other.</w:t>
      </w:r>
    </w:p>
    <w:p>
      <w:pPr>
        <w:spacing w:after="0" w:line="203" w:lineRule="exact"/>
        <w:rPr>
          <w:sz w:val="20"/>
          <w:szCs w:val="20"/>
          <w:color w:val="auto"/>
        </w:rPr>
      </w:pPr>
    </w:p>
    <w:p>
      <w:pPr>
        <w:ind w:left="200" w:right="60" w:firstLine="331"/>
        <w:spacing w:after="0" w:line="255" w:lineRule="auto"/>
        <w:rPr>
          <w:sz w:val="20"/>
          <w:szCs w:val="20"/>
          <w:color w:val="auto"/>
        </w:rPr>
      </w:pPr>
      <w:r>
        <w:rPr>
          <w:rFonts w:ascii="Arial" w:cs="Arial" w:eastAsia="Arial" w:hAnsi="Arial"/>
          <w:sz w:val="17"/>
          <w:szCs w:val="17"/>
          <w:color w:val="auto"/>
        </w:rPr>
        <w:t>On October 17, 2018, after the close of trading of OncoMed common stock, OncoMed filed a Current Report on Form 8-K announcing that Celgene had notified OncoMed that Celgene decided not to exercise its option to license OncoMed’s rosmantuzumab (anti-RSPO3, OMP-131R10), which had failed to provide compelling evidence of clinical benefit in a Phase 1a/b clinical trial in patients with solid tumor. The Current Report on Form 8-K also announced that Celgene had terminated the parties’ collaboration agreement with respect to rosmantuzumab, effective February 12, 2019, and that OncoMed would retain worldwide rights to rosmantuzumab upon termination.</w:t>
      </w:r>
    </w:p>
    <w:p>
      <w:pPr>
        <w:spacing w:after="0" w:line="19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Also on October 17, 2018, the OncoMed Board met, with members of OncoMed management and representatives of Leerink Partners and Latham &amp; Watkins present, to discuss the status and nature of ongoing discussions with possible counterparties regarding a potential business combination. Representatives of Latham &amp; Watkins gave a presentation to the OncoMed Board concerning its fiduciary duties under Delaware law in connection with exploration of potential strategic alternatives. At Mr. Karsen’s invitation, representatives of Leerink Partners commented on the overall process to assess strategic alternatives and provided the following summary: 25 companies had been identified as potential candidates for a strategic transaction with OncoMed, of which six companies had delivered an initial proposal relating to a strategic transaction, one company had indicated an intention to submit a proposal relating to a strategic transaction, two companies were on hold and sixteen companies had passed on the opportunity. Representatives of Leerink Partners reviewed the status of discussions with potential candidates for a strategic transaction with OncoMed and provided a comparison of the terms of the initial proposals received by OncoMed, including, among others, proposed structure, proposed valuation metrics for each of OncoMed and the applicable transaction candidate, pro forma ownership, the stage of development of the applicable transaction candidate, financing needs and board representation. Representatives of Leerink Partners also reviewed an illustrative timeline to complete a</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strategic transaction and the methodology and metrics which Leerink Partners expected to use to evaluate offers for purposes of rendering any fairness opinion with respect to a strategic transaction. Dr. Lewicki then commented on OncoMed management’s assessment of certain of such potential counterparties’ scientific, clinical and business potential, and discussed the future value of the combined company based on the resources and assets that a merger would bring to such entity. Dr. Lewicki also provided a summary of recent meetings between members of OncoMed management and Mereo management as well as recent meetings between members of OncoMed management and Company B management. The OncoMed Board provided feedback on the process for doing further diligence.</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19, 2018, members of OncoMed’s management, representatives of Jones Day (“Jones Day”), outside patent counsel for OncoMed, and members of Company B’s management met telephonically to discuss outstanding diligence questions regarding intellectual property matters.</w:t>
      </w:r>
    </w:p>
    <w:p>
      <w:pPr>
        <w:spacing w:after="0" w:line="203"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Also on October 19, 2018, the OncoMed Board met, with members of OncoMed management and representatives of Leerink Partners and Latham &amp; Watkins present. At the meeting, representatives of Latham &amp; Watkins reviewed with the OncoMed Board its fiduciary duties under Delaware law in connection with exploration of potential strategic alternatives. Representatives of Leerink Partners reviewed with the OncoMed Board summaries of each of the six non-binding indications of interest and a comparison of the terms of each such indication. In evaluating the potential counterparties and narrowing the list of potential counterparties, the OncoMed Board discussed a broad set of criteria, focusing on a range of attributes and characteristics of such parties, such as whether such party found value in OncoMed’s product pipeline and the level of interest in continuing the development of such product pipeline, the counterparty’s depth of product pipeline and stage of development, upcoming near-term value-creating milestones, experience and expertise of the management and scientific teams, sufficiency of financial resources to achieve potentially meaningful value-creating milestones, the proposed valuation of the strategic counterparty, the valuation of OncoMed ascribed by such counterparty, the anticipated relative ownership of the combined entity immediately following the consummation of a transaction by each of OncoMed’s pre-combination stockholders and the stockholders of such party, the counterparty’s investment base and capital structure, the counterparty’s ability to maintain OncoMed’s Nasdaq listing and operate a public company following the closing of a transaction, and the counterparty’s ability to quickly consummate a transaction. Following extensive discussion regarding the comparative terms of the indications of interest received and the respective potential counterparties, the OncoMed Board agreed to prioritize further efforts and diligence on Company B and Mereo, and authorized Leerink Partners to distribute OncoMed’s form merger agreement to Company B and Mereo for their review and comment as a component of their non-binding proposals.</w:t>
      </w:r>
    </w:p>
    <w:p>
      <w:pPr>
        <w:spacing w:after="0" w:line="21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Also on October 19, 2018, representatives of Evercore Partners International LLP, financial advisor to Mereo (“Evercore”), sent Leerink Partners a non-binding letter of intent, proposing a reverse triangular merger whereby OncoMed would become a wholly-owned subsidiary of Mereo upon consummation of the transaction and whereby in consideration for such transaction, Mereo would issue Mereo ADSs to OncoMed stockholders resulting in OncoMed stockholders with a pro forma ownership interest of the combined company of 24%, on an undiluted basis, as well as CVRs representing the contingent right to receive Mereo ADSs upon the achievement of certain milestones relating to OncoMed’s etigilimab (anti-TIGIT) program. Mereo’s letter of intent provided that the board of directors of the combined company would be increased by two members, expanding to ten directors to accommodate two non-executive directors who would be proposed by OncoMed. Mereo’s letter of intent also stated that the proposed total consideration to be issued to OncoMed stockholders would represent a total value of $116 million and a potential pro forma ownership interest of 31.1% of the combined company (including Mereo ADSs and CVRs) on an undiluted basis, based on Mereo’s three-month volume-weighted average price and the prevailing exchange rate as of October 18, 2018.</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Mereo’s letter of intent further specified that to the extent that OncoMed’s cash balance at closing was greater or less than the projected cash balance in the financial model that Mereo had attached to its letter of intent, then the number of Mereo ADSs issued to OncoMed stockholders would be increased or decreased, as appropriate, accordingly.</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Later that day, on October 19, 2018, representatives of Leerink Partners delivered OncoMed’s form merger agreement to the financial advisors of each of Company B and Mereo.</w:t>
      </w:r>
    </w:p>
    <w:p>
      <w:pPr>
        <w:spacing w:after="0" w:line="197"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On October 25, 2018, the financial advisors of Company B delivered a revised non-binding proposal to representatives of Leerink Partners, which proposed a reverse triangular merger resulting in OncoMed stockholders owning a pro forma interest in the combined company of 25% based on an assumed OncoMed cash balance of $55 million as of December 31, 2018. The revised non-binding proposal also contemplated a 30-day exclusivity period.</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 October 26, 2018, the OncoMed Board met, with members of OncoMed management and representatives of Leerink Partners and Latham &amp; Watkins present, to discuss the status and nature of ongoing discussions with Company B and Mereo, including the status of due diligence. Representatives of Leerink Partners raised Company B’s request for exclusivity, and after discussion, the OncoMed Board decided not to grant exclusivity to any party at that time.</w:t>
      </w:r>
    </w:p>
    <w:p>
      <w:pPr>
        <w:spacing w:after="0" w:line="20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Later that day, on October 26, 2018, representatives of Evercore, on behalf of Mereo, delivered a mark-up of OncoMed’s form merger agreement to representatives of Leerink Partners.</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November 1, 2018, members of OncoMed management, representatives of Latham &amp; Watkins, members of Company B’s management, and representatives of Company B’s outside counsel met telephonically to discuss outstanding diligence questions based on OncoMed’s review of the documents in Company B’s dataroom.</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Also on November 1, 2018, members of OncoMed’s management, representatives of Jones Day, members of Mereo’s management, and representatives of Mereo’s outside patent counsel met telephonically to discuss outstanding diligence questions regarding Mereo’s intellectual property.</w:t>
      </w:r>
    </w:p>
    <w:p>
      <w:pPr>
        <w:spacing w:after="0" w:line="203"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Also on November 1, 2018, representatives of Company B’s financial advisors delivered a mark-up of OncoMed’s form merger agreement to representatives of Leerink Partners.</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Also on November 1, 2018, after the close of trading of OncoMed common stock, OncoMed filed a Quarterly Report on Form 10-Q, which announced that OncoMed and Celgene had formalized the termination of the collaboration agreement with respect to navicixizumab, and as a result, effective January 23, 2019, OncoMed would retain worldwide rights to navicixizumab.</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 November 2, 2018, the OncoMed Board met, with members of OncoMed management and representatives of Leerink Partners and Latham &amp; Watkins present, to discuss the status and nature of ongoing discussions with Company B and Mereo. Dr. Lewicki summarized the activities of the past week, including OncoMed’s intensive due diligence review of Company B and Mereo, and addressed questions from the OncoMed Board regarding due diligence findings. After further discussion, the OncoMed Board agreed to hold another meeting to evaluate the strategic alternatives available to OncoMed and determine the strategic alternative to further pursue.</w:t>
      </w:r>
    </w:p>
    <w:p>
      <w:pPr>
        <w:spacing w:after="0" w:line="203"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On November 5, 2018, the OncoMed Board met, with members of OncoMed management and representatives of Leerink Partners and Latham &amp; Watkins present. During the meeting, OncoMed management presented a summary of the findings of the due diligence performed on each of Company B and Mereo and provided an update regarding OncoMed’s clinical programs and research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development activities. In evaluating the potential counterparties and narrowing the list of potential counterparties, the OncoMed Board discussed a broad set of criteria, focusing on a range of attributes and characteristics of such parties, such as whether such party finds value in OncoMed’s product pipeline and the level of interest in continuing the development of such product pipeline, the depth of product pipeline and stage of development, upcoming near-term value creating milestones, experience and expertise of the management and scientific teams, sufficiency of financial resources to achieve potentially meaningful milestones, the proposed valuation of the strategic counterparty, the valuation of OncoMed ascribed by such counterparty, the anticipated relative ownership of the combined entity immediately following the consummation of a transaction by each of OncoMed’s pre-combination stockholders and the stockholders of such party, the counterparty’s investment base and capital structure, the counterparty’s ability to maintain OncoMed’s Nasdaq listing and operate a public company following the closing of a transaction, the counterparty’s ability to quickly consummate a transaction, and the potential overall value that could be created by the combined company for OncoMed shareholders. At the meeting, representatives of Leerink Partners presented a summary of potential strategic alternatives available to OncoMed, including whether to “go it alone” and continue OncoMed’s current business plan, which would include pursuing out-licensing possibilities and re-partnering OncoMed’s products in development, and the related capital requirements and potential dilution resulting from the need to raise additional capital as well as the feasibility of raising this capital; liquidate the business and return the remaining capital after settling all outstanding obligations to stockholders; enter into a strategic transaction with Company B or enter into a strategic transaction with Mereo. Following extensive discussion regarding the potential strategic alternatives available to OncoMed, the OncoMed Board directed OncoMed’s management and representatives to prioritize resources on exploring a potential strategic transaction with Mereo while continuing to review potential strategic transactions with other parties.</w:t>
      </w:r>
    </w:p>
    <w:p>
      <w:pPr>
        <w:spacing w:after="0" w:line="21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8, 2018, representatives of Evercore sent representatives of Leerink Partners a revised non-binding letter of intent, which proposed granting an additional contingent value right to receive certain cash payments upon the achievement of certain milestones relating to OncoMed’s navicixizumab. Mereo’s revised letter of intent stated that the proposed total consideration to be issued to OncoMed stockholders would represent a total value of $115 million and a total pro forma ownership of 25% of the combined company on an undiluted basis, resulting in a potential total pro forma ownership interest (including Mereo ADSs and CVRs) of the combined company to 32.4% on an undiluted basis based on Mereo’s three-month volume-weighted average price and the prevailing exchange rate as of November 7, 2018.</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9, 2018, the OncoMed Board met, with members of OncoMed management and representatives of Leerink Partners and Latham &amp; Watkins present, to discuss Mereo’s revised letter of intent. Following discussions with representatives of Leerink Partners regarding the revised proposal and the exchange ratio, the OncoMed Board proposed modifications to the terms contemplated by Mereo’s revised letter of intent, including using Mereo’s trailing 20-day volume-weighted average price to calculate the exchange ratio, which would increase OncoMed stockholders’ pro forma ownership of the combined company to 30% on an undiluted basis, thereby increasing OncoMed stockholders’ total potential pro forma ownership interest (including Mereo ADSs and CVRs) of the combined company to 39.1% on an undiluted basis. The OncoMed Board instructed Leerink Partners to submit such proposal to representatives of Evercore.</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Later on November 9, 2018, representatives of Leerink Partners sent representatives of Evercore a revised proposal as instructed by the OncoMed Board.</w:t>
      </w:r>
    </w:p>
    <w:p>
      <w:pPr>
        <w:spacing w:after="0" w:line="197" w:lineRule="exact"/>
        <w:rPr>
          <w:sz w:val="20"/>
          <w:szCs w:val="20"/>
          <w:color w:val="auto"/>
        </w:rPr>
      </w:pPr>
    </w:p>
    <w:p>
      <w:pPr>
        <w:jc w:val="both"/>
        <w:ind w:left="200" w:right="300" w:firstLine="331"/>
        <w:spacing w:after="0"/>
        <w:rPr>
          <w:sz w:val="20"/>
          <w:szCs w:val="20"/>
          <w:color w:val="auto"/>
        </w:rPr>
      </w:pPr>
      <w:r>
        <w:rPr>
          <w:rFonts w:ascii="Arial" w:cs="Arial" w:eastAsia="Arial" w:hAnsi="Arial"/>
          <w:sz w:val="18"/>
          <w:szCs w:val="18"/>
          <w:color w:val="auto"/>
        </w:rPr>
        <w:t>On November 11, 2018, representatives of Evercore sent representatives of Leerink Partners a response to the OncoMed Board’s revised proposal, declining to accept the OncoMed’s Board’s revised proposal and stating that calculating the exchange ratio based on Mereo’s trailing 20-day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volume-weighted average price would increase the premium Mereo would be paying over cash for the value of OncoMed by at least 30% and that this was unacceptable to Mereo.</w:t>
      </w:r>
    </w:p>
    <w:p>
      <w:pPr>
        <w:spacing w:after="0" w:line="197"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On November 12, 2018, the OncoMed Board met, with members of OncoMed management and representatives of Leerink Partners and Latham &amp; Watkins present, to discuss Mereo’s response to OncoMed’s proposal. At the invitation of Mr. Karsen, representatives of Leerink Partners presented an analysis of the value components of Mereo’s revised letter of intent, concluding that with the additional contingent right to receive certain cash payments upon the achievement of certain milestones relating to OncoMed’s navicixizumab program, the revised Mereo proposal would represent a significant premium to OncoMed’s projected cash balance at the closing of the transaction. After discussion, the OncoMed Board authorized representatives of Leerink Partners to accept Mereo’s calculation of the exchange ratio based on Mereo’s three-month volume-weighted average price.</w:t>
      </w:r>
    </w:p>
    <w:p>
      <w:pPr>
        <w:spacing w:after="0" w:line="20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On November 16, 2018, the OncoMed Board met, with members of OncoMed management and representatives of Leerink Partners and Latham &amp; Watkins present, to discuss the status of ongoing discussion with Mereo. Representatives of Leerink Partners confirmed that Mereo was working on a revision of OncoMed’s form merger agreement. Dr. Lewicki, together with Yvonne Li, OncoMed’s Vice President of Finance, Controller and Administration, then provided an overview of OncoMed’s projected net cash balance assuming that the transaction closed at the end of the first quarter of 2019, including a discussion of the remaining liabilities and incoming cash.</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 November 19, 2018, Mereo’s outside legal counsel, Davis Polk &amp; Wardwell London LLP (“Davis Polk”) delivered a further revised draft of the merger agreement to representatives of Leerink Partners.</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Also on November 19, 2018, members of OncoMed’s management, representatives of Jones Day, members of Mereo’s management, and representatives of Mereo’s outside patent counsel met (with certain participants participating telephonically) to discuss outstanding diligence questions regarding Mereo’s intellectual property.</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Between November 19 and 21, 2018, Dr. Scots-Knight and certain other members of Mereo management met with certain members of OncoMed management at OncoMed’s headquarters at Redwood City, California to discuss Mereo’s due diligence of OncoMed, and updates regarding OncoMed’s operations and financials.</w:t>
      </w:r>
    </w:p>
    <w:p>
      <w:pPr>
        <w:spacing w:after="0" w:line="203"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On November 21, 2018, representatives of Latham &amp; Watkins and representatives of Davis Polk met telephonically to discuss the timing of drafting and negotiating the primary transaction documents, including the status of the form CVR agreement and support agreements for certain Mereo stockholders and OncoMed stockholders, and representatives of Davis Polk provided an overview of the U.K. legal issues specific to the proposed transaction, including whether Mereo will be required to obtain shareholder approval to consummate the transaction, the maximum termination fee permitted under U.K. law, and required approvals from the London Stock Exchange.</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On November 23, 2018, the OncoMed Board met, with members of OncoMed management and representatives of Leerink Partners and Latham &amp; Watkins present, to discuss the revised merger agreement delivered by Davis Polk. At Mr. Karsen’s invitation, representatives of Latham &amp; Watkins led the OncoMed Board through a discussion of the issues presented by the revised merger agreement, including the calculation of the exchange ratio, the net cash definition for purposes of adjusting the ownership share of the pre-combination stockholders of OncoMed, tax treatment of the transaction, certain deal protection provisions, including the execution of support agreements by certain officers, directors and stockholders of OncoMed and Mereo, reciprocal termination provisions including upon either boards of directors’ receipt of a superior proposal and a reciprocal termination fee and expense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reimbursement, payable in each case upon certain triggering events. Representatives of Latham &amp; Watkins also discussed with the OncoMed Board its fiduciary duties with respect to evaluating the terms of the potential transaction. At the invitation of Dr. Lewicki, Ms. Li then led the OncoMed Board through a discussion of the current and projected financials of OncoMed through the end of the first quarter of 2019, which included an example of a net cash schedule that the revised merger agreement contemplated. Following extensive discussion, the OncoMed Board authorized representatives of Leerink Partners to propose to representatives of Evercore a collar around the net cash, where there would be no effect to the calculation of the exchange ratio if OncoMed were to deliver a net cash balance between $35 million and $41 million at the closing of the transaction and instructed representatives of Latham &amp; Watkins to propose the same in the next revision of the merger agreement.</w:t>
      </w:r>
    </w:p>
    <w:p>
      <w:pPr>
        <w:spacing w:after="0" w:line="208" w:lineRule="exact"/>
        <w:rPr>
          <w:sz w:val="20"/>
          <w:szCs w:val="20"/>
          <w:color w:val="auto"/>
        </w:rPr>
      </w:pPr>
    </w:p>
    <w:p>
      <w:pPr>
        <w:ind w:left="200" w:right="1000" w:firstLine="331"/>
        <w:spacing w:after="0" w:line="246" w:lineRule="auto"/>
        <w:rPr>
          <w:sz w:val="20"/>
          <w:szCs w:val="20"/>
          <w:color w:val="auto"/>
        </w:rPr>
      </w:pPr>
      <w:r>
        <w:rPr>
          <w:rFonts w:ascii="Arial" w:cs="Arial" w:eastAsia="Arial" w:hAnsi="Arial"/>
          <w:sz w:val="18"/>
          <w:szCs w:val="18"/>
          <w:color w:val="auto"/>
        </w:rPr>
        <w:t>On November 26, 2018, representatives of Latham &amp; Watkins delivered a further revised draft of the merger agreement to representatives of Davis Polk.</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Also on November 26, 2018, representatives of Davis Polk delivered an initial draft of the form CVR agreement to representatives of Latham &amp; Watkins.</w:t>
      </w:r>
    </w:p>
    <w:p>
      <w:pPr>
        <w:spacing w:after="0" w:line="197"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Later that day, on November 26, 2018, the OncoMed Board met, with members of OncoMed management and representatives of Leerink Partners and Latham &amp; Watkins present, to discuss OncoMed’s obligations to make performance bonus, retention bonus, severance and change in control payments to its employees and officers under a proposed reduction in force plan, to be implemented immediately upon signing of the merger agreement. Ms. Li provided a summary of the impact of such payments on OncoMed’s projected net cash balance through the end of the first quarter of 2019.</w:t>
      </w:r>
    </w:p>
    <w:p>
      <w:pPr>
        <w:spacing w:after="0" w:line="203" w:lineRule="exact"/>
        <w:rPr>
          <w:sz w:val="20"/>
          <w:szCs w:val="20"/>
          <w:color w:val="auto"/>
        </w:rPr>
      </w:pPr>
    </w:p>
    <w:p>
      <w:pPr>
        <w:jc w:val="both"/>
        <w:ind w:left="200" w:right="640" w:firstLine="331"/>
        <w:spacing w:after="0"/>
        <w:rPr>
          <w:sz w:val="20"/>
          <w:szCs w:val="20"/>
          <w:color w:val="auto"/>
        </w:rPr>
      </w:pPr>
      <w:r>
        <w:rPr>
          <w:rFonts w:ascii="Arial" w:cs="Arial" w:eastAsia="Arial" w:hAnsi="Arial"/>
          <w:sz w:val="18"/>
          <w:szCs w:val="18"/>
          <w:color w:val="auto"/>
        </w:rPr>
        <w:t>On November 27, 2018, representatives of Latham &amp; Watkins and representatives of Davis Polk met telephonically to discuss Latham &amp; Watkins’ revisions to the net cash definition and exchange ratio calculations, in addition to an update on the status of the outstanding U.K. legal issues.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Later that day, on November 27, 2018, the OncoMed Board met, with members of OncoMed management and representatives of Leerink Partners and Latham &amp; Watkins present, to further discuss OncoMed’s compensation programs. Following discussion led by representatives of Latham &amp; Watkins, including several questions from the OncoMed directors regarding their fiduciary duties with respect to making certain bonus payments, the OncoMed Board agreed to proceed with its obligations to make certain bonus, severance and change in control payments to its employees and officers.</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November 28, 2018, members of Mereo management met with members of OncoMed management at OncoMed’s headquarters at Redwood City, California to discuss the potential transaction between OncoMed and Mereo as well as clinical program development matters.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29, 2018, representatives of Davis Polk delivered a revised draft merger agreement to representatives of Latham &amp; Watkins, which, among other things, (i) set the net cash floor used for purposes of establishing the ownership share of the pre-combination stockholders of Mereo to $38 million, (ii) added further reductions based on a dollar for dollar basis if such net cash delivered at the closing of the transaction is less than $38 million but greater than $36.5 million and (iii) included even further reductions of the number of total Mereo ADSs that each OncoMed stockholder would otherwise receive by 50% if the net cash that OncoMed delivers at the closing of the transaction is equal to or less than $36.5 million.</w:t>
      </w:r>
    </w:p>
    <w:p>
      <w:pPr>
        <w:spacing w:after="0" w:line="205" w:lineRule="exact"/>
        <w:rPr>
          <w:sz w:val="20"/>
          <w:szCs w:val="20"/>
          <w:color w:val="auto"/>
        </w:rPr>
      </w:pPr>
    </w:p>
    <w:p>
      <w:pPr>
        <w:ind w:left="200" w:right="1000" w:firstLine="331"/>
        <w:spacing w:after="0" w:line="246" w:lineRule="auto"/>
        <w:rPr>
          <w:sz w:val="20"/>
          <w:szCs w:val="20"/>
          <w:color w:val="auto"/>
        </w:rPr>
      </w:pPr>
      <w:r>
        <w:rPr>
          <w:rFonts w:ascii="Arial" w:cs="Arial" w:eastAsia="Arial" w:hAnsi="Arial"/>
          <w:sz w:val="18"/>
          <w:szCs w:val="18"/>
          <w:color w:val="auto"/>
        </w:rPr>
        <w:t>Also on November 29, 2018, representatives of Latham &amp; Watkins delivered a revised draft of the form CVR agreement to representatives of Davis Polk.</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On November 30, 2018, the OncoMed Board met, with members of OncoMed management and representatives of Leerink Partners and Latham &amp; Watkins present, to discuss the revised merger agreement delivered by Davis Polk and the status of the other transaction documents in connection with the proposed transaction with Mereo.</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Also on November 30, 2018, representatives of Davis Polk delivered the draft forms of support agreement.</w:t>
      </w:r>
    </w:p>
    <w:p>
      <w:pPr>
        <w:spacing w:after="0" w:line="21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December 1, 2018, the OncoMed Board met, with members of OncoMed management and representatives of Leerink Partners and Latham &amp; Watkins present, to formally adopt the proposed reduction in force plan and discuss the status of the proposed transaction with Mereo. At the invitation of Mr. Karsen, representatives of Latham &amp; Watkins reviewed with the OncoMed Board the outstanding issues remaining in the merger agreement including the definition of net cash, the calculation of the exchange ratio, the treatment of the OncoMed’s restricted stock units and options, and certain termination provisions, including the termination fees and expenses. Ms. Li presented updated current and projected financials of OncoMed through the end of the first quarter of 2019, as well as a proposed net cash schedule contemplated by the merger agreement. Representatives of Leerink Partners reviewed Leerink Partners’ preliminary financial analysis of the Merger Consideration to be paid to the holders of the outstanding shares of OncoMed common stock (other than the Excluded Shares), and responded to questions from the OncoMed Board regarding its financial analysis.</w:t>
      </w:r>
    </w:p>
    <w:p>
      <w:pPr>
        <w:spacing w:after="0" w:line="207"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Between December 1 and 4, 2018, representatives of Latham &amp; Watkins and Davis Polk negotiated and exchanged revised drafts of the form support agreements and the form CVR agreement, which included primarily non-material changes required to finalize proposed execution drafts of each of the agreements.</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On December 3, 2018, representatives of Latham &amp; Watkins and Davis Polk and members of OncoMed management and Mereo management held a telephonic meeting to discuss the definition of net cash and the details of the net cash schedule contemplated by the merger agreement.</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Between December 3 and 4, 2018, representatives of Latham &amp; Watkins and Davis Polk negotiated and exchanged revised drafts of the merger agreement, which included primarily non-material changes required to finalize proposed execution drafts of each of the agreements.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Later that day, on December 4, 2018, the OncoMed Board met, with members of OncoMed management and representatives of Leerink Partners and Latham &amp; Watkins present. During the meeting, representatives of Latham &amp; Watkins reviewed with the OncoMed Board the final terms of the merger agreement and the fiduciary duties of the OncoMed Board in the context of the proposed transaction. Representatives of Leerink Partners provided the Leerink Partners financial analysis with respect to the proposed business combination. At the conclusion of its financial analysis, a representative of Leerink Partners rendered the oral opinion of Leerink Partners that, as of the date of such opinion and based upon and subject to the assumptions made and limitations upon the review undertaken by Leerink Partners in preparing its opinion, the Merger Consideration to be paid to the holders of the outstanding shares of OncoMed common stock (other than the Excluded Shares) pursuant to the terms of the Merger Agreement, was fair, from a financial point of view, to such holders. Leerink Partners delivered its written opinion, dated December 4, 2018, to the OncoMed Board following the December 4, 2018 meeting of the OncoMed Board. For a detailed discussion of the opinion provided by Leerink Partners, please see “—Opinion of OncoMed’s Financial Advisor” beginning on page 129 of this proxy statement/prospectus. During the presentations, the OncoMed Board asked questions and discussed the provisions of the merger agreement and related documentation. After the presentations and discussions, the OncoMed Board unanimously (i) determined that the transactions contemplated by merger agreement are fair to, advisable and in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best interests of OncoMed and its stockholders, (ii) approved and declared advisable the merger agreement and the transactions contemplated by the merger agreement, and (iii) determined to recommend, upon the terms and subject to the conditions set forth in the merger agreement, that the OncoMed stockholders vote to adopt the merger agreement and thereby approve the transactions contemplated by the merger agreement.</w:t>
      </w:r>
    </w:p>
    <w:p>
      <w:pPr>
        <w:spacing w:after="0" w:line="202"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On December 5, 2018, the Merger Agreement was entered into among OncoMed, Mereo, HoldCo and Merger Sub, and the support agreements were entered into by the relevant parties, and OncoMed and Mereo issued a joint press release announcing the execution of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Reasons for the Merger</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OncoMed Board considered the following factors in reaching its conclusion to approve the Merger Agreement and the transactions contemplated thereby and to recommend that OncoMed stockholders approve and adopt the Merger Agreement, and thereby approve the Merger and the other transactions contemplated by the Merger Agreement, all of which the OncoMed Board viewed as supporting its decision to approve the business combination with Mereo:</w:t>
      </w:r>
    </w:p>
    <w:p>
      <w:pPr>
        <w:spacing w:after="0" w:line="229" w:lineRule="exact"/>
        <w:rPr>
          <w:sz w:val="20"/>
          <w:szCs w:val="20"/>
          <w:color w:val="auto"/>
        </w:rPr>
      </w:pPr>
    </w:p>
    <w:p>
      <w:pPr>
        <w:ind w:left="960" w:right="260" w:hanging="432"/>
        <w:spacing w:after="0" w:line="223"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and its financial advisor undertook a comprehensive and thorough process of reviewing and analyzing potential merger candidates to identify the opportunity that would, in the opinion of the OncoMed Board, create the most value for OncoMed stockholders.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that, as a result of arm’s length negotiations with Mereo, OncoMed and its representatives negotiated the highest Exchange Ratio that Mereo was willing to agree to, and that the terms of the Merger Agreement include the most favorable terms to OncoMed in the aggregate to which Mereo was willing to agree.</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after a thorough review of strategic alternatives and discussions with OncoMed’s senior management, financial advisors and legal counsel, that the Merger is more favorable to OncoMed stockholders than the potential value that might have resulted from other strategic options available to OncoMed.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based in part on scientific diligence and analysis of Mereo’s product pipeline, the potential market opportunity for its products and the expertise of its scientific team, which was conducted by OncoMed’s management and reviewed with the OncoMed Board, that Mereo’s portfolio of product candidates represent multiple potentially significant market opportunities, and may thereby create value for the stockholders of the Combined Company and an opportunity for OncoMed stockholders to participate in the potential growth of the Combined Company.</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9"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also reviewed with the management of OncoMed and the management of Mereo the current plans of OncoMed for the development of etigilimab (anti-TIGIT, OMP-313M32) and navicixizumab (anti-DLL4/VEGF, OMP-305B83), in order to confirm the likelihood that the Combined Company would possess sufficient financial resources to allow members of the combined management team to focus on the continued development and anticipated commercialization of those product candidates through partnerships. The OncoMed Board also considered the possibility that the Combined Company would be able to take advantage of the potential benefits resulting from the Combined Company to raise additional funds in the future, if necessary.</w:t>
      </w:r>
    </w:p>
    <w:p>
      <w:pPr>
        <w:spacing w:after="0" w:line="32" w:lineRule="exact"/>
        <w:rPr>
          <w:rFonts w:ascii="MS PGothic" w:cs="MS PGothic" w:eastAsia="MS PGothic" w:hAnsi="MS PGothic"/>
          <w:sz w:val="25"/>
          <w:szCs w:val="25"/>
          <w:color w:val="auto"/>
          <w:vertAlign w:val="superscript"/>
        </w:rPr>
      </w:pPr>
    </w:p>
    <w:p>
      <w:pPr>
        <w:ind w:left="960" w:right="260" w:hanging="432"/>
        <w:spacing w:after="0" w:line="235" w:lineRule="auto"/>
        <w:tabs>
          <w:tab w:leader="none" w:pos="960" w:val="left"/>
        </w:tabs>
        <w:numPr>
          <w:ilvl w:val="0"/>
          <w:numId w:val="67"/>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OncoMed Board also considered the strength of the balance sheet of the Combined Company resulting from the approximately $37 million of net cash that OncoMed is expected to have immediately prior to the consummation of the Merger and OncoMed’s ongoing collaboration with Celgene, including Celgene’s option in relation to OncoMed’s etigilimab product.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40" w:hanging="432"/>
        <w:spacing w:after="0" w:line="21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also considered that the Combined Company will be led by an experienced senior management team and a board of directors with representation from each of the current boards of directors of OncoMed and Mereo.</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considered the financial analyses of Leerink Partners, including its opinion to the OncoMed Board as to the fairness to OncoMed stockholders, from a financial point of view as of the date of, and subject to the assumptions and limitations set forth in, the opinion, of the Merger Consideration to be paid to the holders of the outstanding shares of OncoMed common stock (other than the Excluded Shares), as more fully described below under the caption “The Merger—Opinion of OncoMed’s Financial Advisor.”</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OncoMed Board also reviewed various factors impacting the financial condition, results of operations and prospects for OncoMed, including:</w:t>
      </w:r>
    </w:p>
    <w:p>
      <w:pPr>
        <w:spacing w:after="0" w:line="224" w:lineRule="exact"/>
        <w:rPr>
          <w:sz w:val="20"/>
          <w:szCs w:val="20"/>
          <w:color w:val="auto"/>
        </w:rPr>
      </w:pPr>
    </w:p>
    <w:p>
      <w:pPr>
        <w:ind w:left="960" w:right="360" w:hanging="432"/>
        <w:spacing w:after="0" w:line="223"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strategic alternatives to the Merger, including potential transactions that could have resulted from discussions that OncoMed’s management conducted with other potential merger partners, the option to “go it alone” and continue OncoMed’s current business plan, or the option to liquidate the business and return capital to stockholders;</w:t>
      </w:r>
    </w:p>
    <w:p>
      <w:pPr>
        <w:spacing w:after="0" w:line="28" w:lineRule="exact"/>
        <w:rPr>
          <w:rFonts w:ascii="MS PGothic" w:cs="MS PGothic" w:eastAsia="MS PGothic" w:hAnsi="MS PGothic"/>
          <w:sz w:val="25"/>
          <w:szCs w:val="25"/>
          <w:color w:val="auto"/>
          <w:vertAlign w:val="superscript"/>
        </w:rPr>
      </w:pPr>
    </w:p>
    <w:p>
      <w:pPr>
        <w:ind w:left="960" w:right="240" w:hanging="432"/>
        <w:spacing w:after="0" w:line="22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consequences of negative results from the phase 1a/b clinical trial of OncoMed’s rosmantuzumab (anti-RSPO3, OMP-131R10) program, which had failed to provide compelling evidence of clinical benefit; the fact that in October 2018, Celgene had notified OncoMed of its decision not to exercise its option to license rosmantuzumab and terminated its collaboration agreement with OncoMed with respect to rosmantuzumab; and the likelihood that the resulting circumstances for OncoMed would not change for the benefit of OncoMed stockholders in the foreseeable future on a stand-alone basis;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fact that in September 2018, Celgene had notified OncoMed of its decision not to exercise its option to license navicixizumab and terminated its collaboration agreement with OncoMed with respect to navicixizumab, and the likelihood that the resulting circumstances for OncoMed would be unlikely to change for the benefit of OncoMed stockholders in the foreseeable future on a stand-alone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possibility that Celgene could decide not to exercise its option to license etigilimab under its collaboration agreement with OncoMed;</w:t>
      </w:r>
    </w:p>
    <w:p>
      <w:pPr>
        <w:spacing w:after="0" w:line="27"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loss of OncoMed’s operational capabilities, and the risks associated with continuing to operate OncoMed on a stand-alone basis, including the need to rebuild infrastructure and management to continue its operations;</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associated with, and the limited value and high costs of, liquidating OncoMed and thereafter distributing the proceeds to OncoMed stockholders;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potential inability to maintain its listing on Nasdaq without completing the Merger.</w:t>
      </w:r>
    </w:p>
    <w:p>
      <w:pPr>
        <w:spacing w:after="0" w:line="202"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OncoMed Board also reviewed the terms and conditions of the Merger Agreement and associated transactions, as well as the safeguards and protective provisions included therein intended to mitigate risks, including:</w:t>
      </w:r>
    </w:p>
    <w:p>
      <w:pPr>
        <w:spacing w:after="0" w:line="224" w:lineRule="exact"/>
        <w:rPr>
          <w:sz w:val="20"/>
          <w:szCs w:val="20"/>
          <w:color w:val="auto"/>
        </w:rPr>
      </w:pPr>
    </w:p>
    <w:p>
      <w:pPr>
        <w:ind w:left="960" w:hanging="432"/>
        <w:spacing w:after="0" w:line="228" w:lineRule="auto"/>
        <w:tabs>
          <w:tab w:leader="none" w:pos="96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fact that the initial Exchange Ratio used to establish the number of Mereo ADSs to be issued to OncoMed stockholders in the Merger was determined based on the relative valuations of the companies, and thus the relative percentage ownership of pre-Merger OncoMed stockholders and pre-Merger Mereo shareholders of Mereo Shares outstanding immediately following the completion of the Merger is subject to adjustment only based on the amount of OncoMed’s net cash immediately prior to closing of the Merger;</w:t>
      </w:r>
    </w:p>
    <w:p>
      <w:pPr>
        <w:spacing w:after="0" w:line="26" w:lineRule="exact"/>
        <w:rPr>
          <w:rFonts w:ascii="MS PGothic" w:cs="MS PGothic" w:eastAsia="MS PGothic" w:hAnsi="MS PGothic"/>
          <w:sz w:val="25"/>
          <w:szCs w:val="25"/>
          <w:color w:val="auto"/>
          <w:vertAlign w:val="superscript"/>
        </w:rPr>
      </w:pPr>
    </w:p>
    <w:p>
      <w:pPr>
        <w:ind w:left="960" w:right="840" w:hanging="432"/>
        <w:spacing w:after="0" w:line="218" w:lineRule="auto"/>
        <w:tabs>
          <w:tab w:leader="none" w:pos="96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limited number and nature of the conditions to Mereo’s obligation to consummate the Merger and the limited risk of non-satisfaction of such conditions as well as the likelihood that the Merger will be consummated on a timely basis;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80" w:hanging="432"/>
        <w:spacing w:after="0" w:line="21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respective rights of, and limitations on, OncoMed and Mereo under the Merger Agreement to consider certain unsolicited acquisition proposals under certain circumstances should OncoMed or Mereo receive a superior offer;</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reasonableness of the potential termination fee of $1,721,193 and related reimbursement of certain transaction expenses of up to $750,000, which could become payable by either OncoMed or Mereo if the Merger Agreement is terminated in certain circumstances;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support agreements, pursuant to which certain directors, officers, stockholders of OncoMed and shareholders of Mereo have agreed, solely in their capacity as stockholders of OncoMed and shareholders of Mereo, to vote all of their shares of OncoMed common stock or Mereo Shares, respectively, in favor of the approval and adoption of the Merger Agreement; and</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203"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 the course of its deliberations, the OncoMed Board also considered a variety of risks and other countervailing factors related to entering into the Merger, including:</w:t>
      </w:r>
    </w:p>
    <w:p>
      <w:pPr>
        <w:spacing w:after="0" w:line="224" w:lineRule="exact"/>
        <w:rPr>
          <w:sz w:val="20"/>
          <w:szCs w:val="20"/>
          <w:color w:val="auto"/>
        </w:rPr>
      </w:pPr>
    </w:p>
    <w:p>
      <w:pPr>
        <w:ind w:left="960" w:right="20" w:hanging="432"/>
        <w:spacing w:after="0" w:line="223"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$1,721,193 termination fee and up to $750,000 in related expense reimbursement obligations payable by OncoMed to Mereo upon the occurrence of certain events and the potential effect of such fees in deterring other potential acquirers from proposing an alternative transaction that may be more advantageous to OncoMed stockholders;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substantial expenses to be incurred in connection with the Merger, including the costs associated with any related litigation;</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possible volatility, at least in the short term, of the trading price of OncoMed common stock resulting from the announcement of the Merger;</w:t>
      </w:r>
    </w:p>
    <w:p>
      <w:pPr>
        <w:spacing w:after="0" w:line="27"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the Merger might not be consummated in a timely manner or at all and the potential adverse effect of the public announcement of the Merger or delay or failure to complete the Merger on the reputation of OncoMed;</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likely detrimental effect on OncoMed’s cash position, stock price and ability to initiate another process and to successfully complete an alternative transaction should the Merger not be completed;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to OncoMed’s business, operations and financial results in the event that the Merger is not consummated, including the diminution of OncoMed’s cash and its likely inability to raise additional capital through the public or private sale of equity securities;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disruptive stockholder litigation following announcement of the Merger;</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unproven, early-stage nature of Mereo’s product candidates, which may not be successfully developed into products that are marketed and sold;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strategic direction of the Combined Company following the completion of the Merger, which will be determined by a board of directors initially comprised of a majority of directors designated by Mereo;</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uncertain and possibly adverse tax consequences to OncoMed stockholders of the Merger (including as a result of the fact that a portion of the Merger Consideration consists of CVRs), and of the ownership and disposition of Mereo ADSs; and</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various other risks associated with the Combined Company and the Merger, including those described in the section entitled “Risk Factors” in this proxy statement/prospectus.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foregoing information and factors considered by the OncoMed Board are not intended to be exhaustive but are believed to include all of the material factors considered by the OncoMed Board. In view of the wide variety of factors considered in connection with its evaluation of the Merger and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complexity of these matters, the OncoMed Board did not find it useful to attempt, and did not attempt, to quantify, rank or otherwise assign relative weights to these factors. In considering the factors described above, individual members of the OncoMed Board may have given different weight to different factors. The OncoMed Board conducted an overall analysis of the factors described above, including thorough discussions with, and questioning of, OncoMed’s management team and the legal and financial advisors of OncoMed, and considered the factors overall to be favorable to, and to support, its determination.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OncoMed’s Financial Advisor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9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OncoMed retained Leerink Partners as its financial advisor in connection with the Merger and the other transactions contemplated by the Merger Agreement, which are, collectively, referred to as the “Transaction” throughout this section. In connection with this engagement, OncoMed requested that Leerink Partners evaluate the fairness, from a financial point of view, to the holders (other than the holders of Excluded Shares) of the outstanding shares of OncoMed common stock, of the Merger Consideration proposed to be paid to such holders pursuant to the Merger Agreement. On December 4, 2018, Leerink Partners rendered to the OncoMed Board its oral opinion, which was subsequently confirmed by delivery of a written opinion dated December 4, 2018, that, as of such date and based upon and subject to the assumptions made and limitations upon the review undertaken by Leerink Partners in preparing its opinion, the Merger Consideration to be paid to the holders of the outstanding shares of OncoMed common stock (other than Excluded Shares) pursuant to the terms of the Merger Agreement was fair, from a financial point of view, to such holders. In providing its opinion, Leerink Partners noted that the Exchange Ratio was intended to result in the holders of the outstanding Mereo Shares and the holders of the outstanding shares of OncoMed common stock (other than Excluded Shares) immediately prior to the effective time of the Merger holding, on a fully-diluted basis, approximately 75.24% and 24.76% of the outstanding Mereo Shares, respectively, on a pro forma basis immediately following the effective time of the Merger. Leerink Partners also noted that the Exchange Ratio was based on an assumed amount of net cash and is subject to certain adjustments set forth in the Merger Agreement. At OncoMed’s direction, Leerink Partners assumed that the net cash amount would equal $37 million, and Leerink Partners expressed no opinion as to such amount or any adjustment to the Exchange Ratio as set forth in the Merger Agreement.</w:t>
      </w:r>
    </w:p>
    <w:p>
      <w:pPr>
        <w:spacing w:after="0" w:line="21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 xml:space="preserve">The full text of the Leerink Partners written opinion, dated December 4, 2018, which describes the assumptions made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as Annex C. </w:t>
      </w:r>
      <w:r>
        <w:rPr>
          <w:rFonts w:ascii="Arial" w:cs="Arial" w:eastAsia="Arial" w:hAnsi="Arial"/>
          <w:sz w:val="18"/>
          <w:szCs w:val="18"/>
          <w:b w:val="1"/>
          <w:bCs w:val="1"/>
          <w:color w:val="auto"/>
        </w:rPr>
        <w:t>Leerink Partners’ financial advisory services and opinion were provided for the information and assistance</w:t>
      </w:r>
      <w:r>
        <w:rPr>
          <w:rFonts w:ascii="Arial" w:cs="Arial" w:eastAsia="Arial" w:hAnsi="Arial"/>
          <w:sz w:val="18"/>
          <w:szCs w:val="18"/>
          <w:color w:val="auto"/>
        </w:rPr>
        <w:t xml:space="preserve"> </w:t>
      </w:r>
      <w:r>
        <w:rPr>
          <w:rFonts w:ascii="Arial" w:cs="Arial" w:eastAsia="Arial" w:hAnsi="Arial"/>
          <w:sz w:val="18"/>
          <w:szCs w:val="18"/>
          <w:b w:val="1"/>
          <w:bCs w:val="1"/>
          <w:color w:val="auto"/>
        </w:rPr>
        <w:t>of members of the OncoMed Board (in their capacity as directors and not in any other capacity) in connection with and for purposes of the OncoMed Board’s consideration of the Transaction and the Leerink Partners opinion addressed only the fairness, from a financial point of view, as of the date thereof, to the holders of the outstanding shares of OncoMed common stock (other than Excluded Shares) of the Merger Consideration to be paid to such holders pursuant to the terms of the Merger Agreement. The Leerink Partners opinion did not address any other term or aspect of the Merger Agreement or the Transaction and does not constitute a recommendation to any stockholder of OncoMed as to whether or how such holder should vote with respect to the Merger or otherwise act with respect to the Transaction or any other matter.</w:t>
      </w:r>
    </w:p>
    <w:p>
      <w:pPr>
        <w:spacing w:after="0" w:line="184" w:lineRule="exact"/>
        <w:rPr>
          <w:sz w:val="20"/>
          <w:szCs w:val="20"/>
          <w:color w:val="auto"/>
        </w:rPr>
      </w:pPr>
    </w:p>
    <w:p>
      <w:pPr>
        <w:ind w:left="200" w:right="140" w:firstLine="331"/>
        <w:spacing w:after="0" w:line="271" w:lineRule="auto"/>
        <w:rPr>
          <w:sz w:val="20"/>
          <w:szCs w:val="20"/>
          <w:color w:val="auto"/>
        </w:rPr>
      </w:pPr>
      <w:r>
        <w:rPr>
          <w:rFonts w:ascii="Arial" w:cs="Arial" w:eastAsia="Arial" w:hAnsi="Arial"/>
          <w:sz w:val="18"/>
          <w:szCs w:val="18"/>
          <w:b w:val="1"/>
          <w:bCs w:val="1"/>
          <w:color w:val="auto"/>
        </w:rPr>
        <w:t>The full text of Leerink Partners’ written opinion should be read carefully in its entirety for a description of the assumptions made and limitations upon the review undertaken by Leerink Partners in preparing its opinion.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connection with rendering the opinion described above and performing its related financial analyses, Leerink Partners reviewed, among other things:</w:t>
      </w:r>
    </w:p>
    <w:p>
      <w:pPr>
        <w:spacing w:after="0" w:line="188" w:lineRule="exact"/>
        <w:rPr>
          <w:sz w:val="20"/>
          <w:szCs w:val="20"/>
          <w:color w:val="auto"/>
        </w:rPr>
      </w:pPr>
    </w:p>
    <w:p>
      <w:pPr>
        <w:ind w:left="960" w:hanging="432"/>
        <w:spacing w:after="0"/>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draft of the Merger Agreement, dated December 4,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draft of the form of CVR Agreement, dated December 4,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annual report on Form 10-K of OncoMed for the fiscal year ended December 31, 2017, as filed by OncoMed with the SEC;</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annual report to shareholders of Mereo for the fiscal year ended December 31, 2017, as filed by Mereo with the United Kingdom Companies House;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quarterly reports on Form 10-Q for the quarterly periods ended March 31, 2018, June 30, 2018 and September 30, 2018, as filed by OncoMed with the SEC;</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interim results for the six month period ended on June 30, 2018, as issued by Mereo;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current reports on Form 8-K, as filed by OncoMed with, or furnished by OncoMed to, the SEC;</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statement on Form F-1 and amendment No. 1 thereto, as filed by Mereo with the SEC on March 23, 2018 and April 9, 2018, respectively;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publicly available research analyst reports for OncoMed and Mereo;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other communications from OncoMed and Mereo to each of its respective stockholders;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internal information relating to the business, operations, earnings, cash flow, assets, liabilities and prospects of OncoMed, including certain financial forecasts, analyses and projections relating to OncoMed prepared by management of OncoMed and furnished to Leerink Partners by OncoMed for purposes of Leerink Partners’ analysis (the “Company Forecast” and, collectively, the “Company Internal Data”); and</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26"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internal information relating to the business, operations, earnings, cash flow, assets, liabilities and prospects of Mereo, including certain financial forecasts, analyses and projections relating to Mereo prepared by management of Mereo and furnished to Leerink Partners by Mereo for purposes of Leerink Partners’ analysis (the “Mereo Forecast” and, collectively, the “Mereo Internal Data”).</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Leerink Partners also conducted discussions with members of the senior management and representatives of OncoMed regarding their assessment of the OncoMed Internal Data and the Mereo Internal Data and with members of the senior management and representatives of Mereo regarding their assessment of the Mereo Internal Data. In addition, Leerink Partners reviewed publicly available financial and stock market data for OncoMed and Mereo and compared that data with similar data for certain other companies, the securities of which are publicly traded, in lines of business that Leerink Partners deemed relevant. Leerink Partners also compared certain of the proposed financial terms of the Transaction with the financial terms, to the extent publicly available, of certain other transactions that Leerink Partners deemed relevant and conducted such other financial studies and analyses and took into account such other information as Leerink Partners deemed appropriate.</w:t>
      </w:r>
    </w:p>
    <w:p>
      <w:pPr>
        <w:spacing w:after="0" w:line="208"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Leerink Partners assumed, without independent verification or any responsibility therefor, the accuracy and completeness of the financial, legal, regulatory, tax, accounting and other information supplied to, discussed with, or reviewed by it for purposes of its opinion and relied, with the consent of the OncoMed Board, upon such information as being complete and accurate. In that regard, Leerink Partners assumed, at the direction of the OncoMed Board, that the OncoMed Internal Data (including, without limitation, the OncoMed Forecast) had been reasonably prepared on bases reflecting the best currently available estimates and judgments of the management of OncoMed as to the matters covered thereby and that the Mereo Internal Data (including, without limitation, the Mereo Forecast) had been reasonably prepared on bases reflecting the best currently available estimates and judgments of the management of Mereo as to the matters covered thereby. Leerink Partners relied, at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the direction of the OncoMed Board, on the OncoMed Internal Data and the Mereo Internal Data for purposes of its analysis and its opinion. Leerink Partners expressed no view or opinion as to the OncoMed Internal Data or the Mereo Internal Data or the respective assumptions on which each was based. In addition, at the direction of the OncoMed Board, Leerink Partners did not make any independent evaluation or appraisal of any of the assets or liabilities (contingent, derivative, off-balance-sheet or otherwise) of OncoMed or Mereo, nor was Leerink Partners furnished with any such evaluation or appraisal, and Leerink Partners was not asked to conduct, and did not conduct, a physical inspection of the properties or assets of OncoMed or Mereo. Leerink Partners assumed, at the direction of the OncoMed Board, that the final executed Merger Agreement and the final executed CVR Agreement would not differ in any respect material to Leerink Partners’ analysis or the opinion from the last draft of the Merger Agreement or the last draft of the CVR Agreement reviewed by Leerink Partners. Leerink Partners also assumed, at the direction of the OncoMed Board, that the Transaction would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such analysis or opinion. Leerink Partners did not evaluate and did not express any opinion as to the solvency or fair value of OncoMed or Mereo, or their respective abilities to pay their obligations when they come due, or as to the impact of the Transaction on such matters, under any state, federal or other laws relating to bankruptcy, insolvency or similar matters. Leerink Partners are not legal, regulatory, tax or accounting advisors, and Leerink Partners expressed no opinion as to any legal, regulatory, tax or accounting matters.</w:t>
      </w:r>
    </w:p>
    <w:p>
      <w:pPr>
        <w:spacing w:after="0" w:line="21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Leerink Partners expressed no view as to, and its opinion did not address, OncoMed’s underlying business decision to proceed with or effect the Transaction, or the relative merits of the Transaction as compared to any alternative business strategies or transactions that might be available to OncoMed or in which OncoMed might engage. The opinion was limited to and addressed only the fairness, from a financial point of view, as of the date thereof, to the holders of the outstanding shares of OncoMed common stock (other than Excluded Shares) of the Merger Consideration to be paid to such holders pursuant to the terms of the Merger Agreement. Leerink Partners was not asked to, nor did Leerink Partners express any view on, and its opinion did not address, any other term or aspect of the Merger Agreement, the CVR Agreement or the Transaction, including, without limitation, the structure or form of the Transaction, the form or terms of the CVRs with respect to transferability, illiquidity or otherwise,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OncoMed or any other party. In addition, Leerink Partners expressed no view or opinion as to the fairness (financial or otherwise) of the amount, nature or any other aspect of any compensation to be paid or payable to any of the officers, directors or employees of OncoMed or any other party, or class of such persons in connection with the Transaction, whether relative to the Merger Consideration to be paid to the holders of the outstanding shares of OncoMed common stock (other than Excluded Shares) pursuant to the terms of the Merger Agreement or otherwise. The Leerink Partners opinion was necessarily based on financial, economic, monetary, currency, market and other conditions and circumstances as in effect on, and the information made available to Leerink Partners as of, the date of its opinion, and Leerink Partners does not have any obligation or responsibility to update, revise or reaffirm its opinion based on circumstances, developments or events occurring after the date thereof. The Leerink Partners opinion does not constitute a recommendation to any stockholder of OncoMed as to whether or how such holder should vote with respect to the Merger or otherwise act with respect to the Transaction or any</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matter. Leerink Partners provided its financial advisory services and rendered its opinion for the information and assistance of the OncoMed directors (in their capacity as directors and not in any other capacity) in connection with and for purposes of its consideration of the Transaction. The issuance of the Leerink Partners opinion was approved by the Leerink Partners Fairness Opinion Review Committee.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Financial Analyses</w:t>
      </w:r>
    </w:p>
    <w:p>
      <w:pPr>
        <w:spacing w:after="0" w:line="95"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The following is a summary of the material financial analyses prepared by Leerink Partners and reviewed with the OncoMed Board in connection with the rendering by Leerink Partners of its opinion on December 4, 2018. The summary set forth below does not purport to be a complete description of the financial analyses performed or factors considered by, and underlying the opinion of, Leerink Partners, nor does the order of the financial analyses described represent the relative importance or weight given to those financial analyses by Leerink Partners. Leerink Partners may have deemed various assumptions more or less probable than other assumptions, so the reference ranges resulting from any particular portion of the analyses summarized below should not be taken to be the view of Leerink Partners as to the actual value of OncoMed or Mereo.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Leerink Partners.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Leerink Partners’ financial analyses and its opinion. In performing its analyses, Leerink Partners made numerous assumptions with respect to industry performance, general business and economic conditions and other matters, many of which are beyond the control of OncoMed or any other parties to the Transaction. None of OncoMed, Mereo, Merger Sub, Leerink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OncoMed or Mereo do not purport to be appraisals or reflect the prices at which these companies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December 4, 2018 (the last trading day before the public announcement of the Transaction) and is not necessarily indicative of current market conditions.</w:t>
      </w:r>
    </w:p>
    <w:p>
      <w:pPr>
        <w:spacing w:after="0" w:line="214"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In preparing its analysis, Leerink Partners took into account that the Exchange Ratio contained in the Merger Agreement is intended to result in the holders of the outstanding Mereo Shares and the holders of the outstanding shares of OncoMed common stock (other than Excluded Shares) immediately prior to the effective time of the Merger holding, on a fully-diluted basis, approximately 75.24% and</w:t>
      </w:r>
    </w:p>
    <w:p>
      <w:pPr>
        <w:spacing w:after="0" w:line="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24.76%, respectively, of the outstanding Mereo Shares on a pro forma basis immediately following the effective time of the Merger. Leerink Partners also took into account that the Exchange Ratio is based upon an amount of OncoMed’s net cash and is subject to certain adjustments set forth in the Merger Agreement. Accordingly, such percentages are subject to adjustment. At OncoMed’s direction, Leerink Partners assumed that the net cash amount would be $37 million.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Analysis—Selected Publicly Traded Companies</w:t>
      </w:r>
    </w:p>
    <w:p>
      <w:pPr>
        <w:spacing w:after="0" w:line="21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Leerink Partners reviewed publicly available information relating to the equity values of U.S.-listed publicly-traded biopharmaceutical companies that have faced pipeline development setbacks, are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pre-commercial and focused on oncology. The companies meeting these criteria, referred to as the OncoMed Selected Companies, were: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ind w:left="480"/>
              <w:spacing w:after="0"/>
              <w:rPr>
                <w:sz w:val="20"/>
                <w:szCs w:val="20"/>
                <w:color w:val="auto"/>
              </w:rPr>
            </w:pPr>
            <w:r>
              <w:rPr>
                <w:rFonts w:ascii="Arial" w:cs="Arial" w:eastAsia="Arial" w:hAnsi="Arial"/>
                <w:sz w:val="14"/>
                <w:szCs w:val="14"/>
                <w:b w:val="1"/>
                <w:bCs w:val="1"/>
                <w:color w:val="auto"/>
              </w:rPr>
              <w:t>Adjusted Equity</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Equity</w:t>
            </w:r>
          </w:p>
        </w:tc>
        <w:tc>
          <w:tcPr>
            <w:tcW w:w="6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3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120" w:type="dxa"/>
            <w:vAlign w:val="bottom"/>
          </w:tcPr>
          <w:p>
            <w:pPr>
              <w:ind w:left="520"/>
              <w:spacing w:after="0"/>
              <w:rPr>
                <w:sz w:val="20"/>
                <w:szCs w:val="20"/>
                <w:color w:val="auto"/>
              </w:rPr>
            </w:pPr>
            <w:r>
              <w:rPr>
                <w:rFonts w:ascii="Arial" w:cs="Arial" w:eastAsia="Arial" w:hAnsi="Arial"/>
                <w:sz w:val="14"/>
                <w:szCs w:val="14"/>
                <w:b w:val="1"/>
                <w:bCs w:val="1"/>
                <w:color w:val="auto"/>
              </w:rPr>
              <w:t>Lead Indication</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Development Stage</w:t>
            </w:r>
          </w:p>
        </w:tc>
        <w:tc>
          <w:tcPr>
            <w:tcW w:w="540" w:type="dxa"/>
            <w:vAlign w:val="bottom"/>
          </w:tcPr>
          <w:p>
            <w:pPr>
              <w:spacing w:after="0"/>
              <w:rPr>
                <w:sz w:val="15"/>
                <w:szCs w:val="15"/>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Idera Pharmaceuticals, Inc.</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Melanoma</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186.1</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Sesen Bio, Inc.</w:t>
            </w:r>
          </w:p>
        </w:tc>
        <w:tc>
          <w:tcPr>
            <w:tcW w:w="260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Bladder Cancer</w:t>
            </w:r>
          </w:p>
        </w:tc>
        <w:tc>
          <w:tcPr>
            <w:tcW w:w="5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Phase 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132.2</w:t>
            </w:r>
          </w:p>
        </w:tc>
        <w:tc>
          <w:tcPr>
            <w:tcW w:w="60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Sunesis Pharmaceuticals, Inc.</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B-Cell Malignancies</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Immune Design Corp.</w:t>
            </w:r>
          </w:p>
        </w:tc>
        <w:tc>
          <w:tcPr>
            <w:tcW w:w="2600" w:type="dxa"/>
            <w:vAlign w:val="bottom"/>
            <w:gridSpan w:val="2"/>
          </w:tcPr>
          <w:p>
            <w:pPr>
              <w:ind w:left="480"/>
              <w:spacing w:after="0" w:line="202" w:lineRule="exact"/>
              <w:rPr>
                <w:sz w:val="20"/>
                <w:szCs w:val="20"/>
                <w:color w:val="auto"/>
              </w:rPr>
            </w:pPr>
            <w:r>
              <w:rPr>
                <w:rFonts w:ascii="Arial" w:cs="Arial" w:eastAsia="Arial" w:hAnsi="Arial"/>
                <w:sz w:val="18"/>
                <w:szCs w:val="18"/>
                <w:color w:val="auto"/>
                <w:w w:val="99"/>
              </w:rPr>
              <w:t>Non-Hodgkin’s Lymphoma</w:t>
            </w:r>
          </w:p>
        </w:tc>
        <w:tc>
          <w:tcPr>
            <w:tcW w:w="5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60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NewLink Genetics Corporation</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Melanoma</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Aduro Biotech, Inc.</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Multiple Tumors</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Phase 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209.2</w:t>
            </w:r>
          </w:p>
        </w:tc>
        <w:tc>
          <w:tcPr>
            <w:tcW w:w="60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Leerink Partners noted that, although the OncoMed Selected Companies had certain financial and operating characteristics that could be considered similar to those of OncoMed, none of such companies had the same management, make-up, technology, size or mix of business as OncoMed. Accordingly, there were inherent limitations on the applicability of the OncoMed Selected Companies to the valuation analysis of OncoMed.</w:t>
      </w:r>
    </w:p>
    <w:p>
      <w:pPr>
        <w:spacing w:after="0" w:line="202"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Leerink Partners calculated the aggregate equity value of each of the OncoMed Selected Companies based upon the closing price of the common stock of each such company on December 4, 2018 and the fully-diluted number of shares outstanding, using the treasury stock method. Leerink Partners calculated adjusted equity values for the OncoMed Selected Companies using their respective enterprise values (equity value minus net cash as of the relevant company’s most recent public filing) on December 4, 2018 and adding net cash of OncoMed as reported in its latest Form 10-Q dated November 11, 2018. OncoMed had a net cash balance of $70.9 million as of September 30, 2018.</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Leerink Partners then compared the adjusted equity values to (i) the implied value of the Mereo Shares to be issued to OncoMed stockholders in the Merger plus the discounted value of the TIGIT CVR and (ii) the implied value of the Mereo Shares to be issued to OncoMed stockholders in the Merger assuming no TIGIT CVR payment, of $89 million and $57 million, respectively. The implied values were based on Mereo’s closing share price ending on December 4, 2018 and the number of shares to be issued to stockholders of OncoMed in the Merger. In addition, the TIGIT CVR value was based on the cash payment of $35 million discounted from September 30, 2019 to December 4, 2018 using a discount rate of 12.0%.</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results of this analysis are summarized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Adjusted Equity</w:t>
            </w:r>
          </w:p>
        </w:tc>
      </w:tr>
      <w:tr>
        <w:trPr>
          <w:trHeight w:val="175"/>
        </w:trPr>
        <w:tc>
          <w:tcPr>
            <w:tcW w:w="5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r>
      <w:tr>
        <w:trPr>
          <w:trHeight w:val="156"/>
        </w:trPr>
        <w:tc>
          <w:tcPr>
            <w:tcW w:w="51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Mean</w:t>
            </w:r>
          </w:p>
        </w:tc>
        <w:tc>
          <w:tcPr>
            <w:tcW w:w="4140" w:type="dxa"/>
            <w:vAlign w:val="bottom"/>
            <w:gridSpan w:val="2"/>
            <w:shd w:val="clear" w:color="auto" w:fill="CCEEFF"/>
          </w:tcPr>
          <w:p>
            <w:pPr>
              <w:ind w:left="402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Median</w:t>
            </w:r>
          </w:p>
        </w:tc>
        <w:tc>
          <w:tcPr>
            <w:tcW w:w="4140" w:type="dxa"/>
            <w:vAlign w:val="bottom"/>
            <w:gridSpan w:val="2"/>
          </w:tcPr>
          <w:p>
            <w:pPr>
              <w:ind w:left="402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40" w:type="dxa"/>
            <w:vAlign w:val="bottom"/>
            <w:gridSpan w:val="2"/>
            <w:shd w:val="clear" w:color="auto" w:fill="CCEEFF"/>
          </w:tcPr>
          <w:p>
            <w:pPr>
              <w:ind w:left="40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126.1</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40" w:type="dxa"/>
            <w:vAlign w:val="bottom"/>
            <w:gridSpan w:val="2"/>
          </w:tcPr>
          <w:p>
            <w:pPr>
              <w:ind w:left="40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Analysis—Sum-of-the-Parts Net Present Value</w:t>
      </w:r>
    </w:p>
    <w:p>
      <w:pPr>
        <w:spacing w:after="0" w:line="21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Leerink Partners performed a sum-of-the-parts net present value analysis of OncoMed. A discounted cash flow analysis is a traditional valuation methodology used to derive a valuation of an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For purposes of its sum-of-the-parts analysis with respect to OncoMed, Leerink Partners was advised by OncoMed, and Leerink Partners assumed, that, immediately prior to closing of the Transaction and after giving effect to the distribution of the CVRs, OncoMed would not have any material assets other than:</w:t>
      </w:r>
    </w:p>
    <w:p>
      <w:pPr>
        <w:spacing w:after="0" w:line="194" w:lineRule="exact"/>
        <w:rPr>
          <w:sz w:val="20"/>
          <w:szCs w:val="20"/>
          <w:color w:val="auto"/>
        </w:rPr>
      </w:pPr>
    </w:p>
    <w:p>
      <w:pPr>
        <w:ind w:left="960" w:hanging="432"/>
        <w:spacing w:after="0"/>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estimated cash balance at the time of closing in an amount of $37 million;</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milestone payment of $35 million by Celgene, should Celgene exercise the exclusive option granted by OncoMed to Celgene in relation to OncoMed’s etigilimab product;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attributable value involving navicixizumab.</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 xml:space="preserve">Leerink Partners calculated the sum-of-the-parts present value of OncoMed utilizing (i) OncoMed’s estimated cash balance at time of closing of $ 37 million, (ii) the TIGIT CVR value and (iii) the estimated net present value, or NPV, of navicixizumab. The TIGIT CVR value was based on a binary probability of success of 0% or 100% and was discounted from September 30, 2019 to December 4, 2018 using a discount rate of 12.0%. To calculate the estimated NPV of navicixizumab, Leerink Partners performed a discounted cash flow analysis of the navicixizumab program to calculate the estimated present value of the standalone unlevered, after-tax free cash flows that navicixizumab was forecasted to generate from the December 4, 2018 through fiscal year 2040, which unlevered, after-tax free cash flows were based on OncoMed management projections. The cash flows were then discounted to present value as of December 4, 2018 using a discount rate of 12.0% and then probability of success adjusted using an assumed probability of success of 16.2% (derived from </w:t>
      </w:r>
      <w:r>
        <w:rPr>
          <w:rFonts w:ascii="Arial" w:cs="Arial" w:eastAsia="Arial" w:hAnsi="Arial"/>
          <w:sz w:val="18"/>
          <w:szCs w:val="18"/>
          <w:i w:val="1"/>
          <w:iCs w:val="1"/>
          <w:color w:val="auto"/>
        </w:rPr>
        <w:t>Nature</w:t>
      </w:r>
      <w:r>
        <w:rPr>
          <w:rFonts w:ascii="Arial" w:cs="Arial" w:eastAsia="Arial" w:hAnsi="Arial"/>
          <w:sz w:val="18"/>
          <w:szCs w:val="18"/>
          <w:color w:val="auto"/>
        </w:rPr>
        <w:t>’s “Clinical development success rates for investigational drugs” for ovarian cancer). This NPV analysis of navicixizumab resulted in</w:t>
      </w:r>
      <w:r>
        <w:rPr>
          <w:rFonts w:ascii="Arial" w:cs="Arial" w:eastAsia="Arial" w:hAnsi="Arial"/>
          <w:sz w:val="18"/>
          <w:szCs w:val="18"/>
          <w:i w:val="1"/>
          <w:iCs w:val="1"/>
          <w:color w:val="auto"/>
        </w:rPr>
        <w:t xml:space="preserve"> </w:t>
      </w:r>
      <w:r>
        <w:rPr>
          <w:rFonts w:ascii="Arial" w:cs="Arial" w:eastAsia="Arial" w:hAnsi="Arial"/>
          <w:sz w:val="18"/>
          <w:szCs w:val="18"/>
          <w:color w:val="auto"/>
        </w:rPr>
        <w:t>an intrinsic value for navicixizumab of approximately negative $6.4 million.</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sum-of-the-parts net present value analysis resulted in an intrinsic value of OncoMed ranging from $31 million to $62 million. The sum-of-the-parts analysis was then compared to (i) the implied value of the ordinary shares to be issued to OncoMed stockholders in the Transaction plus the discounted value of the TIGIT CVR and (ii) the implied value of the Mereo Shares to be issued to OncoMed stockholders in the Transaction assuming no TIGIT CVR payment, of $89 million and $ 57 million, respectively. The implied values were based on Mereo’s closing share price ending on December 4, 2018 and the number of shares to be issued to stockholders of OncoMed in the Transaction.</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 – Other Factors</w:t>
      </w:r>
    </w:p>
    <w:p>
      <w:pPr>
        <w:spacing w:after="0" w:line="212"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Leerink Partners noted for the OncoMed Board certain additional factors that were not considered part of Leerink Partners’ financial analyses solely for informational purposes, including, among other things, the following:</w:t>
      </w:r>
    </w:p>
    <w:p>
      <w:pPr>
        <w:spacing w:after="0" w:line="224" w:lineRule="exact"/>
        <w:rPr>
          <w:sz w:val="20"/>
          <w:szCs w:val="20"/>
          <w:color w:val="auto"/>
        </w:rPr>
      </w:pPr>
    </w:p>
    <w:p>
      <w:pPr>
        <w:jc w:val="both"/>
        <w:ind w:left="960" w:right="540" w:hanging="432"/>
        <w:spacing w:after="0" w:line="223"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Historical intraday trading prices of OncoMed common stock during the 52-week period ended December 4, 2018 (the last trading day before the public announcement of the Transaction), which reflected low and high intraday stock prices for the Company during such period of $1.11 to $5.19 per share;</w:t>
      </w:r>
    </w:p>
    <w:p>
      <w:pPr>
        <w:spacing w:after="0" w:line="28"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Discounted stock price targets for OncoMed common stock in publicly available Wall Street research analyst reports, which indicated low and high stock price targets for OncoMed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ranging from $1.80 to $8.00 per share, as of December 4, 2018 and discounted from the one-year forward date of the last published report to December 4, 2018 using a discount rate of 12.0%; and</w:t>
      </w:r>
    </w:p>
    <w:p>
      <w:pPr>
        <w:spacing w:after="0" w:line="25" w:lineRule="exact"/>
        <w:rPr>
          <w:sz w:val="20"/>
          <w:szCs w:val="20"/>
          <w:color w:val="auto"/>
        </w:rPr>
      </w:pPr>
    </w:p>
    <w:p>
      <w:pPr>
        <w:ind w:left="960" w:right="20" w:hanging="432"/>
        <w:spacing w:after="0" w:line="231" w:lineRule="auto"/>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analysis of premiums paid in selected pre-commercial sub-$1 billion biotechnology transactions since 2013 for which premium data was available. The premiums in this analysis were calculated by comparing the per share acquisition price in each transaction to the closing price of the target company’s common stock for the date one day prior to the date on which the trading price of the target’s common stock was perceived to be affected by a potential transaction. The mean and median premiums paid in the selected transactions were 79.7% and 78.8%, respectively. Leerink Partners applied an illustrative range of premiums of 58.4% (25th percentile) to 86.4% (75th percentile) to OncoMed’s market capitalization based on a closing stock price on December 4, 2018 (the last trading day before the last trading day before the public announcement of the Transaction) of $1.11 and fully-diluted shares outstanding resulting from the treasury stock method, which resulted in an implied equity value range of approximately $69 million to $81 million.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Analysis—Selected Public Companies</w:t>
      </w:r>
    </w:p>
    <w:p>
      <w:pPr>
        <w:spacing w:after="0" w:line="21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Leerink Partners reviewed publicly available information relating to the equity values of U.S.-listed publicly-traded biopharmaceutical companies focused on genetic diseases and whose lead product was in phase 2 or phase 3 of clinical development. The companies meeting these criteria, referred to as the Mereo Selected Companies, were:</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340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Lead Indication</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Development Stage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3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Kiniksa Pharmaceuticals Ltd.</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Recurrent Pericarditis</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Crinetics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Acromegaly</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rPr>
              <w:t>Phase 2 Ready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892.0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Principia BioPharma,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Pemphigus Vulgaris</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Clementia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Fibrodysplasia Ossificans Progressiva</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Phase 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Eidos Therapeutics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Amyloidosis Transthyretin</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KalVista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Hereditary Angioedema</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411.4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Ovid Therapeutics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Angelman Syndrome</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Leerink Partners noted that, although the Mereo Selected Companies had certain financial and operating characteristics that could be considered similar to those of Mereo, none of such companies had the same management, make-up, technology, size or mix of business as Mereo. Accordingly, there were inherent limitations on the applicability of the Mereo Selected Companies to the valuation analysis of Mereo.</w:t>
      </w:r>
    </w:p>
    <w:p>
      <w:pPr>
        <w:spacing w:after="0" w:line="202"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Leerink Partners calculated the aggregate equity value of each of the Mereo Selected Companies based upon the closing price of the common stock of each such company on December 4, 2018 and the fully-diluted number of shares outstanding, using the treasury stock method. Leerink Partners then calculated the equity value per share based on Mereo’s fully-diluted shares outstanding using the treasury stock method and Mereo’s December 4, 2018 closing price.</w:t>
      </w:r>
    </w:p>
    <w:p>
      <w:pPr>
        <w:spacing w:after="0" w:line="202"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equity per share values were then compared to Mereo’s closing share price ending on December 4, 2018 and Mereo’s 90-day volume-weighted average price (“VWAP”) ending on December 4,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results of this analysis are summarized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Equity Value</w:t>
            </w:r>
          </w:p>
        </w:tc>
      </w:tr>
      <w:tr>
        <w:trPr>
          <w:trHeight w:val="175"/>
        </w:trPr>
        <w:tc>
          <w:tcPr>
            <w:tcW w:w="53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Mean</w:t>
            </w:r>
          </w:p>
        </w:tc>
        <w:tc>
          <w:tcPr>
            <w:tcW w:w="4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Median</w:t>
            </w:r>
          </w:p>
        </w:tc>
        <w:tc>
          <w:tcPr>
            <w:tcW w:w="4400" w:type="dxa"/>
            <w:vAlign w:val="bottom"/>
            <w:gridSpan w:val="2"/>
          </w:tcPr>
          <w:p>
            <w:pPr>
              <w:ind w:left="4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400" w:type="dxa"/>
            <w:vAlign w:val="bottom"/>
            <w:gridSpan w:val="2"/>
            <w:shd w:val="clear" w:color="auto" w:fill="CCEEFF"/>
          </w:tcPr>
          <w:p>
            <w:pPr>
              <w:ind w:left="41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10.84</w:t>
            </w: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40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Analysis—Net Present Value of BPS-804 and MPH-966</w:t>
      </w:r>
    </w:p>
    <w:p>
      <w:pPr>
        <w:spacing w:after="0" w:line="21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Leerink Partners performed a discounted cash flow analysis of Mereo’s lead product candidates, BPS-804 and MPH-966, to calculate the estimated present value of the unlevered, after-tax free cash flows that the Company was forecasted to generate from these programs from December 4, 2018 to fiscal year 2038, which unlevered, after-tax free cash flows were based on Mereo management forecasts. The cash flows were then discounted to present value as of December 4, 2018 using discount rates ranging from 11.0% to 13.0%, which were based on an estimate of Mereo’s weighted average cost of capital and probability of success adjusted based on academic probabilities of success for clinical trial development. This range of discount rates was based on Leerink Partners’ analysis of Mereo’s weighted average cost of capital derived using the Capital Asset Pricing Model, taking into account certain metrics including the comparable companies’ levered and unlevered betas, a historical equity risk premium, size premia and yields for U.S. treasury notes. The probability of success adjustments used were 19.8% and 16.7% for BPS-804 and MPH-966, respectively (derived from Nature’s “Clinical development success rates for investigational drugs” for endocrine and respiratory diseases).</w:t>
      </w:r>
    </w:p>
    <w:p>
      <w:pPr>
        <w:spacing w:after="0" w:line="207"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This analysis resulted in an implied per share equity value range for the BPS-804 and MPH-966 programs of approximately $2.43 to $3.19. Leerink Partners then compared this range of implied per share equity values to Mereo’s closing share price ending on December 4, 2018 and Mereo’s 90-day VWAP ending on December 4, 2018.</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Analysis—Other Factors</w:t>
      </w:r>
    </w:p>
    <w:p>
      <w:pPr>
        <w:spacing w:after="0" w:line="21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Leerink Partners noted for the OncoMed Board certain additional factors that were not considered part of Leerink Partners’ financial analyses solely for informational purposes, including, among other things, the following:</w:t>
      </w:r>
    </w:p>
    <w:p>
      <w:pPr>
        <w:spacing w:after="0" w:line="224" w:lineRule="exact"/>
        <w:rPr>
          <w:sz w:val="20"/>
          <w:szCs w:val="20"/>
          <w:color w:val="auto"/>
        </w:rPr>
      </w:pPr>
    </w:p>
    <w:p>
      <w:pPr>
        <w:ind w:left="960" w:right="100" w:hanging="432"/>
        <w:spacing w:after="0" w:line="223"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Historical intraday trading prices of Mereo Shares during the 52-week period ended December 4, 2018 (the last trading day before the public announcement of the Transaction), which reflected low and high intraday stock prices for the Company during such period of £1.70 to £3.55 per Share;</w:t>
      </w:r>
    </w:p>
    <w:p>
      <w:pPr>
        <w:spacing w:after="0" w:line="28" w:lineRule="exact"/>
        <w:rPr>
          <w:rFonts w:ascii="MS PGothic" w:cs="MS PGothic" w:eastAsia="MS PGothic" w:hAnsi="MS PGothic"/>
          <w:sz w:val="25"/>
          <w:szCs w:val="25"/>
          <w:color w:val="auto"/>
          <w:vertAlign w:val="superscript"/>
        </w:rPr>
      </w:pPr>
    </w:p>
    <w:p>
      <w:pPr>
        <w:jc w:val="both"/>
        <w:ind w:left="960" w:right="200" w:hanging="432"/>
        <w:spacing w:after="0" w:line="223"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Discounted stock price targets for Mereo Shares in publicly available Wall Street research analyst reports, which indicated low and high stock price targets for the Company ranging from £6.15 to £7.20 per Share, as of December 4, 2018 and discounted from the one-year forward date of the last published report to December 4, 2018 using a discount rate of 12.0%.</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95"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60"/>
          </w:cols>
          <w:pgMar w:left="24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isolation, conclusions from or with regard to any factor or analysis that it considered. Rather, Leerink Partners made its determination as to fairness on the basis of its experience and professional judgment after considering the results of all of the analyses.</w:t>
      </w:r>
    </w:p>
    <w:p>
      <w:pPr>
        <w:spacing w:after="0" w:line="19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Leerink Partners’ financial analyses and opinion were only one of many factors taken into consideration by the OncoMed Board in its evaluation of the Transaction. Consequently, the analyses described above should not be viewed as determinative of the views of the OncoMed Board or management of OncoMed with respect to the Merger Consideration or as to whether the OncoMed Board would have been willing to determine that different consideration to be received by OncoMed stockholders was fair. The Merger Consideration was determined through arm’s-length negotiations between OncoMed and Mereo and was approved by the OncoMed Board. Leerink Partners provided advice to OncoMed during these negotiations. However, Leerink Partners did not recommend any specific form of Merger Consideration or other financial terms to OncoMed or the OncoMed Board or that any specific amount of Merger Consideration or other financial terms constituted the only appropriate consideration for the Transaction.</w:t>
      </w:r>
    </w:p>
    <w:p>
      <w:pPr>
        <w:spacing w:after="0" w:line="208"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Leerink Partners is a full-service securities firm engaged in securities trading and brokerage activities as well as investment banking and financial advisory services. In the past two years, Leerink Partners has not been engaged to provide financial advisory or other services to Mereo, and has not received any compensation from Mereo during such period. Subsequent to the rendering of the Leerink Partners opinion, the acquisition of the parent company of Leerink Partners by the parent company of Sillicon Valley Bank was completed. Mereo is party to a loan agreement with Silicon Valley Bank, and Mereo has issued certain warrants to purchase Mereo Shares to Silicon Valley Bank. See “Mereo’s Management’s Discussion and Analysis of Financial Condition and Results of Operations of Mereo— Indebtedness—Credit Facility.” Although Leerink Partners has provided certain investment banking services to OncoMed from time to time, for which it has received customary compensation, in the past two years, Leerink Partners has not been engaged to provide financial advisory or other services to OncoMed except with respect to the Transaction, for which Leerink Partners will receive the compensation described below. In the ordinary course of business, Leerink Partners and its affiliates may, in the future, provide commercial and investment banking services to OncoMed, Mereo or their respective affiliates and would expect to receive customary fees for the rendering of such services. In the ordinary course of their trading and brokerage activities, Leerink Partners or its affiliates have in the past and may in the future hold positions, for their own account or the accounts of their customers, in equity, debt or other securities of Mereo, OncoMed or their respective affiliates. Consistent with applicable legal and regulatory requirements, Leerink Partners has adopted policies and procedures to establish and maintain the independence of its research departments and personnel. As a result, Leerink Partners’ research analysts may hold views, make statements or investment recommendations and/or publish research reports with respect to OncoMed and the Transaction and other participants in the Transaction that differ from the views of Leerink Partners’ investment banking personnel.</w:t>
      </w:r>
    </w:p>
    <w:p>
      <w:pPr>
        <w:spacing w:after="0" w:line="214"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Leerink Partners is an internationally recognized investment banking firm that has substantial experience in transactions similar to the Transaction.</w:t>
      </w:r>
    </w:p>
    <w:p>
      <w:pPr>
        <w:spacing w:after="0" w:line="202"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In connection with Leerink Partners’ services as a financial advisor to OncoMed, OncoMed has agreed to pay Leerink Partners an aggregate fee of $2.5 million, $500,000 of which was paid upon the rendering by Leerink Partners of its opinion and the remainder of which is payable contingent upon consummation of the Transaction. In addition, OncoMed has agreed to reimburse certain of Leerink Partners’ expenses arising, and to indemnify Leerink Partners against certain liabilities that may arise,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00"/>
        <w:spacing w:after="0" w:line="239" w:lineRule="auto"/>
        <w:rPr>
          <w:sz w:val="20"/>
          <w:szCs w:val="20"/>
          <w:color w:val="auto"/>
        </w:rPr>
      </w:pPr>
      <w:r>
        <w:rPr>
          <w:rFonts w:ascii="Arial" w:cs="Arial" w:eastAsia="Arial" w:hAnsi="Arial"/>
          <w:sz w:val="18"/>
          <w:szCs w:val="18"/>
          <w:color w:val="auto"/>
        </w:rPr>
        <w:t>out of Leerink Partners’ engagement. The terms of the fee arrangement between Leerink Partners and OncoMed, which are customary in transactions of this nature, were negotiated at arm’s length between Leerink Partners and OncoMed, and the OncoMed Board was aware of the arrangement, including the fact that a significant portion of the fee payable to Leerink Partners is contingent upon the completion of the Transaction.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Senior Management of the Combined Company</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 Dr. Denise Scots-Knight will continue as Chief Executive Officer of the Combined Company and Richard Jones will continue as the Chief Financial Officer of the Combined Company. Dr. Peter Fellner will continue in his role as Chairman of the Mereo Board.</w:t>
      </w:r>
    </w:p>
    <w:p>
      <w:pPr>
        <w:spacing w:after="0" w:line="202"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It is expected that Peter Fellner, Peter Bains, Paul Blackburn, Anders Ekblom, Kunal Kashyap, Michael Wyzga and Dr. Deepika Pakianathan will qualify as “independent” under U.S. securities laws and Nasdaq rules.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 xml:space="preserve">The merger will be accounted for in accordance with International Financial Reporting Standards (“IFRS”) as issued by the International Accounting Standards Board (“IASB”), and in particular,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OncoMed’s Directors and Executive Officers in the Merger</w:t>
      </w:r>
    </w:p>
    <w:p>
      <w:pPr>
        <w:spacing w:after="0" w:line="85"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In considering the recommendation of the OncoMed Board to adopt the Merger Agreement and approve the transactions contemplated by the Merger Agreement, OncoMed stockholders should be aware that some of the OncoMed directors and executive officers have interests in the Merger and have arrangements that are different from, or in addition to, those of OncoMed stockholders generally. These interests and arrangements may create potential conflicts of interest. The OncoMed Board was aware of these potential conflicts of interest and considered them, among other matters, in reaching its decision to approve the Merger Agreement and the transactions contemplated by the Merger Agreement.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Transaction Bonus</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connection with the Merger Agreement, OncoMed has agreed to pay a performance bonus of $50,000 to Dr. Lewicki upon achievement of the closing of the Merger and the other transactions contemplated by the Merger Agreement. Such performance bonus will be payable upon the closing of the Merger to the extent that OncoMed’s net cash (as defined in the Merger Agreement) exceeds $37 million.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Control Agreements with Executive Officers</w:t>
      </w:r>
    </w:p>
    <w:p>
      <w:pPr>
        <w:spacing w:after="0" w:line="81"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connection with signing of the Merger Agreement, OncoMed approved the termination of the employment of: (i) Dr. Lewicki, effective immediately prior to the closing of the Merger; (ii) Dr. Gurney, Ph.D., effective as of December 21, 2018; (iii) Dr. Hager, effective immediately prior to the closing of the Merger; (iv) Yvonne Li, OncoMed’s Vice President, Finance, Controller and Administration, effective immediately prior to the closing of the Merger and (v) Robert Stagg, OncoMed’s Senior Vice President, Clinical Research and Development, effective immediately prior to the closing of the Merger.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Upon each executive’s termination of employment, in exchange for providing a general release of claims against OncoMed and its affiliates, he or she is, or, in the case of Drs. Lewicki, Hager and Stagg and Ms. Li, will be, entitled to receive (i) cash severance payments in the amount of 12 months of base salary (24 months in the case of Dr. Lewicki), payable in accordance with OncoMed’s normal payroll procedures, (ii) a one-time cash severance payment equal to 12 months of target bonus (24 months in the case of Dr. Lewicki) payable in a lump sum as soon as practicable following the date the general release becomes effective, (iii) up to 12 months of continued healthcare coverage (24 months in the case of Dr. Lewicki), and (iv) 100% vesting acceleration of outstanding equity awards, including, without limitation, his or her stock options and restricted stock units.</w:t>
      </w:r>
    </w:p>
    <w:p>
      <w:pPr>
        <w:spacing w:after="0" w:line="203"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Pursuant to the terms of the change in control and severance agreements with executive officers, with respect to executive officers who are not terminated prior to or in connection with the closing of the Merger, upon the closing of the Merger, the vesting of any equity awards held by such person will automatically accelerate as to 25% of the total number of shares subject thereto.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Former Named Executive Officers</w:t>
      </w:r>
    </w:p>
    <w:p>
      <w:pPr>
        <w:spacing w:after="0" w:line="95"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Paul Hastings, OncoMed’s former Chairman and Chief Executive Officer &amp; President, resigned on January 1, 2018. In connection with his resignation OncoMed entered into a letter agreement with Mr. Hastings (the “Hastings Severance Agreement”). The Hastings Severance Agreement provides for, among other things, (a) continued payment of Mr. Hastings’ base salary through December 31, 2018,</w:t>
      </w:r>
    </w:p>
    <w:p>
      <w:pPr>
        <w:spacing w:after="0" w:line="2" w:lineRule="exact"/>
        <w:rPr>
          <w:sz w:val="20"/>
          <w:szCs w:val="20"/>
          <w:color w:val="auto"/>
        </w:rPr>
      </w:pPr>
    </w:p>
    <w:p>
      <w:pPr>
        <w:ind w:left="200" w:right="60" w:firstLine="4"/>
        <w:spacing w:after="0" w:line="236" w:lineRule="auto"/>
        <w:tabs>
          <w:tab w:leader="none" w:pos="4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 to 12 months of continued health care coverage, (c) $303,119.85, which represents Mr. Hastings’ target bonus for fiscal year 2018, less required withholding taxes, and (d) accelerated vesting of the portion of Mr. Hastings’ outstanding stock options and restricted stock units that would have otherwise vested through December 31, 2018 had Mr. Hastings’ employment continued. In addition, each vested stock option held by Mr. Hastings (after giving effect to vesting acceleration pursuant to the Hastings Severance Agreement) remained exercisable until the earlier of the original expiration date of such stock option or December 31, 2018. Pursuant to the terms of the Hastings Severance Agreement, Mr. Hastings has provided OncoMed with a general release of claims against OncoMed. The Merger will not affect the terms of the Hastings Separation Agreement. Sunil Patel, OncoMed’s former Executive Vice President and Chief Financial Officer resigned on March 9, 2018. He did not receive any severance payments in connection with his resignation. Neither Mr. Hastings nor Mr. Patel will receive consideration in connection with the Merger that is different from, or in addition to, those of OncoMed stockholders generally.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Indemnification of Directors and Officers; Directors’ and Officers’ Insurance</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provides that Mereo and the surviving corporation honor and fulfill in all respects the obligations of OncoMed in any indemnification agreements of OncoMed with any of its respective directors, officers or employees in effect immediately prior to the effective time of the Merger with respect to claims arising at or prior to the effective time of the Merger. The Merger Agreement also provides that, for a period of six years following the effective time of the Merger, the provisions of the articles of association of Mereo with respect to indemnification, advancement of expenses and exculpation shall not be amended, modified or repealed and that the certificate of incorporation and bylaws of the surviving corporation will include indemnification, advancement of expenses and exculpation provisions at least as favorable as such provisions contained in the organizational documents of OncoMed immediately prior to the effective time of the Merger.</w:t>
      </w:r>
    </w:p>
    <w:p>
      <w:pPr>
        <w:spacing w:after="0" w:line="208"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Merger Agreement further requires that each of Mereo and the surviving corporation, for a period of six years following the effective time of the Merger, indemnify and hold harmless each director or officer of OncoMed against all claims, losses, liabilities, damages, judgments, fines and reasonable fees, costs and expenses, including attorneys’ fees and disbursements incurred in connection with any claim, action, suit, proceeding or investigation, whether civil, criminal,</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57" w:lineRule="auto"/>
        <w:rPr>
          <w:sz w:val="20"/>
          <w:szCs w:val="20"/>
          <w:color w:val="auto"/>
        </w:rPr>
      </w:pPr>
      <w:r>
        <w:rPr>
          <w:rFonts w:ascii="Arial" w:cs="Arial" w:eastAsia="Arial" w:hAnsi="Arial"/>
          <w:sz w:val="17"/>
          <w:szCs w:val="17"/>
          <w:color w:val="auto"/>
        </w:rPr>
        <w:t>administrative or investigative, arising out of or pertaining to the fact that such individual is or was a director or officer of Mereo or OncoMed, whether asserted or claimed prior to, at or after the effective time of the Merger, in each case, to the fullest extent permitted under applicable law. Prior to the effective time of the Merger, OncoMed will purchase a six year “tail” prepaid policy on the existing OncoMed officers’ and directors’ liability insurance policy, with coverage and amounts no less favorable than those currently in effect.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Interests of OncoMed Directors</w:t>
      </w:r>
    </w:p>
    <w:p>
      <w:pPr>
        <w:spacing w:after="0" w:line="9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Under the terms of OncoMed’s non-employee director compensation policy, all equity awards held by directors are subject to accelerated vesting upon a “Change in Control,” as such term is defined in OncoMed’s 2013 Equity Incentive Award Plan, provided that the applicable non-employee director continues to provide service as a non-employee director of OncoMed through the date of such “Change in Control.” The Merger will constitute a “Change in Control” for purposes of this policy.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Quantification of OncoMed Change in Control and Termination Payments and Benefits to OncoMed’s Named Executive Officers</w:t>
      </w:r>
    </w:p>
    <w:p>
      <w:pPr>
        <w:spacing w:after="0" w:line="8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following table sets forth the information required by Item 402(t) of Regulation S-K regarding the estimated amount of compensation and benefits to which each OncoMed named executive officer could become entitled based on or otherwise related to the Merger. The amounts have been calculated assuming that the completion of the Merger occurred on March 15, 2019 (the latest practicable date, determined pursuant to Item 402(t) of Regulation S-K) and OncoMed’s named executive officers experienced a qualifying termination on such date, referred to as a “double-trigger” event, or, in the case of Dr. Gurney and Messrs. Hastings and Patel, prior to such date.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Golden Parachute Compensation</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Equity</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Perquisites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3"/>
              <w:spacing w:after="0" w:line="179" w:lineRule="exact"/>
              <w:rPr>
                <w:sz w:val="20"/>
                <w:szCs w:val="20"/>
                <w:color w:val="auto"/>
              </w:rPr>
            </w:pPr>
            <w:r>
              <w:rPr>
                <w:rFonts w:ascii="Arial" w:cs="Arial" w:eastAsia="Arial" w:hAnsi="Arial"/>
                <w:sz w:val="12"/>
                <w:szCs w:val="12"/>
                <w:b w:val="1"/>
                <w:bCs w:val="1"/>
                <w:color w:val="auto"/>
              </w:rPr>
              <w:t>Cash</w:t>
            </w:r>
            <w:r>
              <w:rPr>
                <w:rFonts w:ascii="Arial" w:cs="Arial" w:eastAsia="Arial" w:hAnsi="Arial"/>
                <w:sz w:val="20"/>
                <w:szCs w:val="20"/>
                <w:b w:val="1"/>
                <w:bCs w:val="1"/>
                <w:color w:val="auto"/>
                <w:vertAlign w:val="superscript"/>
              </w:rPr>
              <w:t>(1)</w:t>
            </w:r>
          </w:p>
        </w:tc>
        <w:tc>
          <w:tcPr>
            <w:tcW w:w="1060" w:type="dxa"/>
            <w:vAlign w:val="bottom"/>
            <w:gridSpan w:val="3"/>
          </w:tcPr>
          <w:p>
            <w:pPr>
              <w:jc w:val="right"/>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(2)</w:t>
            </w:r>
          </w:p>
        </w:tc>
        <w:tc>
          <w:tcPr>
            <w:tcW w:w="380" w:type="dxa"/>
            <w:vAlign w:val="bottom"/>
          </w:tcPr>
          <w:p>
            <w:pPr>
              <w:spacing w:after="0"/>
              <w:rPr>
                <w:sz w:val="15"/>
                <w:szCs w:val="15"/>
                <w:color w:val="auto"/>
              </w:rPr>
            </w:pPr>
          </w:p>
        </w:tc>
        <w:tc>
          <w:tcPr>
            <w:tcW w:w="860" w:type="dxa"/>
            <w:vAlign w:val="bottom"/>
            <w:gridSpan w:val="2"/>
          </w:tcPr>
          <w:p>
            <w:pPr>
              <w:jc w:val="right"/>
              <w:spacing w:after="0" w:line="179"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20"/>
                <w:szCs w:val="20"/>
                <w:b w:val="1"/>
                <w:bCs w:val="1"/>
                <w:color w:val="auto"/>
                <w:vertAlign w:val="superscript"/>
              </w:rPr>
              <w:t>(3)</w:t>
            </w:r>
          </w:p>
        </w:tc>
        <w:tc>
          <w:tcPr>
            <w:tcW w:w="380" w:type="dxa"/>
            <w:vAlign w:val="bottom"/>
          </w:tcPr>
          <w:p>
            <w:pPr>
              <w:spacing w:after="0"/>
              <w:rPr>
                <w:sz w:val="15"/>
                <w:szCs w:val="15"/>
                <w:color w:val="auto"/>
              </w:rPr>
            </w:pPr>
          </w:p>
        </w:tc>
        <w:tc>
          <w:tcPr>
            <w:tcW w:w="1040" w:type="dxa"/>
            <w:vAlign w:val="bottom"/>
            <w:gridSpan w:val="3"/>
          </w:tcPr>
          <w:p>
            <w:pPr>
              <w:ind w:left="60"/>
              <w:spacing w:after="0" w:line="179" w:lineRule="exact"/>
              <w:rPr>
                <w:sz w:val="20"/>
                <w:szCs w:val="20"/>
                <w:color w:val="auto"/>
              </w:rPr>
            </w:pPr>
            <w:r>
              <w:rPr>
                <w:rFonts w:ascii="Arial" w:cs="Arial" w:eastAsia="Arial" w:hAnsi="Arial"/>
                <w:sz w:val="12"/>
                <w:szCs w:val="12"/>
                <w:b w:val="1"/>
                <w:bCs w:val="1"/>
                <w:color w:val="auto"/>
              </w:rPr>
              <w:t>Other</w:t>
            </w:r>
            <w:r>
              <w:rPr>
                <w:rFonts w:ascii="Arial" w:cs="Arial" w:eastAsia="Arial" w:hAnsi="Arial"/>
                <w:sz w:val="20"/>
                <w:szCs w:val="20"/>
                <w:b w:val="1"/>
                <w:bCs w:val="1"/>
                <w:color w:val="auto"/>
                <w:vertAlign w:val="superscript"/>
              </w:rPr>
              <w:t>(4)</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1,387,110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36,412</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61,729</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50,000</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1,535,251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387,319</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26,444</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35,032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448,795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502,727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28,598</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Austin Gurney, Ph.D.</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602,528</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28,610</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11,874</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643,012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Stagg</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570,118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27,410</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628,719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 xml:space="preserve">Paul Hastings </w:t>
            </w:r>
            <w:r>
              <w:rPr>
                <w:rFonts w:ascii="Arial" w:cs="Arial" w:eastAsia="Arial" w:hAnsi="Arial"/>
                <w:sz w:val="15"/>
                <w:szCs w:val="15"/>
                <w:color w:val="auto"/>
              </w:rPr>
              <w:t>(5)</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Sunil Patel </w:t>
            </w:r>
            <w:r>
              <w:rPr>
                <w:rFonts w:ascii="Arial" w:cs="Arial" w:eastAsia="Arial" w:hAnsi="Arial"/>
                <w:sz w:val="15"/>
                <w:szCs w:val="15"/>
                <w:color w:val="auto"/>
              </w:rPr>
              <w:t>(6)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60" w:hanging="316"/>
        <w:spacing w:after="0" w:line="236"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than for Dr. Gurney, reflects the amount of “double-trigger” payments to which each named executive officer would be entitled to receive under the named executive officer’s change in control and severance agreement with OncoMed. For Dr. Gurney, reflects the amount paid to Dr. Gurney as severance pursuant to a separation agreement entered into with OncoMed in connection with his termination of employment on December 21, 2018. Under the change in control and severance agreements, in the event the named executive officer terminates employment with us within twelve months following the closing of the Merger, subject to providing us a release of claims, he or she will become entitled to an amount equal to 12 months of base salary and 12 months target bonus (24 months for each in the case of Dr. Lewicki). The separation agreement OncoMed entered into with Dr. Gurney provided for severance in an amount equal to his pro-rated annual discretionary bonus, 12 months of his base salary and 12 months of his target bonus in exchange for a release of claims. The components of cash severance for each eligible named executive officer are as follows: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Base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3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Prorated</w:t>
            </w:r>
          </w:p>
        </w:tc>
        <w:tc>
          <w:tcPr>
            <w:tcW w:w="0" w:type="dxa"/>
            <w:vAlign w:val="bottom"/>
          </w:tcPr>
          <w:p>
            <w:pPr>
              <w:spacing w:after="0"/>
              <w:rPr>
                <w:sz w:val="1"/>
                <w:szCs w:val="1"/>
                <w:color w:val="auto"/>
              </w:rPr>
            </w:pPr>
          </w:p>
        </w:tc>
      </w:tr>
      <w:tr>
        <w:trPr>
          <w:trHeight w:val="162"/>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$924,740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$462,370</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$286,903</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rPr>
              <w:t>$100,416</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$359,091</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rPr>
              <w:t>$143,636</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line="201" w:lineRule="exact"/>
              <w:rPr>
                <w:sz w:val="20"/>
                <w:szCs w:val="20"/>
                <w:color w:val="auto"/>
              </w:rPr>
            </w:pPr>
            <w:r>
              <w:rPr>
                <w:rFonts w:ascii="Arial" w:cs="Arial" w:eastAsia="Arial" w:hAnsi="Arial"/>
                <w:sz w:val="18"/>
                <w:szCs w:val="18"/>
                <w:color w:val="auto"/>
              </w:rPr>
              <w:t>Austin Gurney, Ph.D.</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$376,580</w:t>
            </w:r>
          </w:p>
        </w:tc>
        <w:tc>
          <w:tcPr>
            <w:tcW w:w="116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rPr>
              <w:t>$150,632</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Robert Stagg</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$407,227</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rPr>
              <w:t>$162,891</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520" w:right="80" w:hanging="316"/>
        <w:spacing w:after="0" w:line="23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than for Dr. Gurney, the amounts in this column represent the “single-trigger” value of outstanding equity awards the vesting of which will be accelerated upon the Closing pursuant to the merger agreement. With respect to Dr. Gurney this column represents the value of the outstanding equity awards the vesting of which was accelerated in connection with his termination of employment on December 21, 2018. The values were determined using the per share price of OncoMed common stock of $0.95 (the average closing market price of OncoMed common stock over the first five business days following the public announcement of the entry into the merger agreement on December 5, 2018). The components of the equity award value for each eligible named executive officer are as follows: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3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rPr>
              <w:t>Restricted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9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3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75"/>
        </w:trPr>
        <w:tc>
          <w:tcPr>
            <w:tcW w:w="90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$ 34,438</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1,974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$ 26,126</w:t>
            </w:r>
          </w:p>
        </w:tc>
        <w:tc>
          <w:tcPr>
            <w:tcW w:w="4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$ 28,501</w:t>
            </w:r>
          </w:p>
        </w:tc>
        <w:tc>
          <w:tcPr>
            <w:tcW w:w="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spacing w:after="0" w:line="201" w:lineRule="exact"/>
              <w:rPr>
                <w:sz w:val="20"/>
                <w:szCs w:val="20"/>
                <w:color w:val="auto"/>
              </w:rPr>
            </w:pPr>
            <w:r>
              <w:rPr>
                <w:rFonts w:ascii="Arial" w:cs="Arial" w:eastAsia="Arial" w:hAnsi="Arial"/>
                <w:sz w:val="18"/>
                <w:szCs w:val="18"/>
                <w:color w:val="auto"/>
              </w:rPr>
              <w:t>Austin Gurney, Ph.D.</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$ 28,501</w:t>
            </w:r>
          </w:p>
        </w:tc>
        <w:tc>
          <w:tcPr>
            <w:tcW w:w="4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gridSpan w:val="2"/>
          </w:tcPr>
          <w:p>
            <w:pPr>
              <w:spacing w:after="0" w:line="202" w:lineRule="exact"/>
              <w:rPr>
                <w:sz w:val="20"/>
                <w:szCs w:val="20"/>
                <w:color w:val="auto"/>
              </w:rPr>
            </w:pPr>
            <w:r>
              <w:rPr>
                <w:rFonts w:ascii="Arial" w:cs="Arial" w:eastAsia="Arial" w:hAnsi="Arial"/>
                <w:sz w:val="18"/>
                <w:szCs w:val="18"/>
                <w:color w:val="auto"/>
              </w:rPr>
              <w:t>Robert Stagg</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$ 27,313</w:t>
            </w:r>
          </w:p>
        </w:tc>
        <w:tc>
          <w:tcPr>
            <w:tcW w:w="4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520" w:right="80" w:hanging="316"/>
        <w:spacing w:after="0" w:line="23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than for Dr. Gurney, the amounts in this column equal the value of the “double-trigger” benefits for continued healthcare coverage that would be paid on behalf of each of the executive officers for up to 12 months (24 months in the case of Dr. Lewicki) as provided under such officer’s change in control and severance agreement. With respect to Dr. Gurney this column represents the value of benefits for continued healthcare coverage payable in connection with his termination of employment on December 21, 2018.</w:t>
      </w:r>
    </w:p>
    <w:p>
      <w:pPr>
        <w:spacing w:after="0" w:line="3" w:lineRule="exact"/>
        <w:rPr>
          <w:rFonts w:ascii="Arial" w:cs="Arial" w:eastAsia="Arial" w:hAnsi="Arial"/>
          <w:sz w:val="18"/>
          <w:szCs w:val="18"/>
          <w:color w:val="auto"/>
        </w:rPr>
      </w:pPr>
    </w:p>
    <w:p>
      <w:pPr>
        <w:ind w:left="520" w:right="220" w:hanging="316"/>
        <w:spacing w:after="0" w:line="248"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a “single-trigger” lump sum cash payment of $50,000 for which Dr. Lewicki is eligible to be paid as a performance bonus upon the closing of the Merger to the extent that OncoMed’s net cash (as defined in the merger agreement) exceeds $37 million.</w:t>
      </w:r>
    </w:p>
    <w:p>
      <w:pPr>
        <w:spacing w:after="0" w:line="1" w:lineRule="exact"/>
        <w:rPr>
          <w:rFonts w:ascii="Arial" w:cs="Arial" w:eastAsia="Arial" w:hAnsi="Arial"/>
          <w:sz w:val="17"/>
          <w:szCs w:val="17"/>
          <w:color w:val="auto"/>
        </w:rPr>
      </w:pPr>
    </w:p>
    <w:p>
      <w:pPr>
        <w:ind w:left="520" w:right="60" w:hanging="316"/>
        <w:spacing w:after="0" w:line="23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Hastings was a named executive officer with respect to fiscal year 2017, and as such is included in the table set forth above. Mr. Hastings’s employment terminated on January 1, 2018, and in connection with his termination, he received certain payments pursuant to a Hastings Separation Agreement. The Merger will not affect the terms of the Hastings Separation Agreement.</w:t>
      </w:r>
    </w:p>
    <w:p>
      <w:pPr>
        <w:spacing w:after="0" w:line="2" w:lineRule="exact"/>
        <w:rPr>
          <w:rFonts w:ascii="Arial" w:cs="Arial" w:eastAsia="Arial" w:hAnsi="Arial"/>
          <w:sz w:val="18"/>
          <w:szCs w:val="18"/>
          <w:color w:val="auto"/>
        </w:rPr>
      </w:pPr>
    </w:p>
    <w:p>
      <w:pPr>
        <w:ind w:left="520" w:right="60" w:hanging="316"/>
        <w:spacing w:after="0" w:line="246"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Patel was a named executive officer with respect to fiscal year 2017, and as such is included in the table set forth above. Mr. Patel resigned on March 9, 2018. He did not receive any severance payments in connection with his resignation.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Narrative to OncoMed’s Golden Parachute Compensation Table</w:t>
      </w:r>
    </w:p>
    <w:p>
      <w:pPr>
        <w:spacing w:after="0" w:line="9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tabular disclosure set forth above assumes that (1) each of the OncoMed named executive officers (other than Mr. Hastings, whose employment terminated January 1, 2018, Mr. Patel, whose employment terminated on March 9, 2018 and Dr. Gurney whose employment terminated December 21, 2018) is entitled to severance payments and benefits under such officer’s change in control and severance agreement due to a termination of employment, as of March 15, 2019 (the latest practicable date, determined pursuant to Item 402(t) of Regulation S-K) and (2) Dr. Lewicki is entitled to his performance bonus under the terms of the Merger Agreement. The tabular disclosure set forth above assumes the completion of the merger occurred on March 15, 2019 and that the per share price of</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OncoMed common stock is $0.95 (the average closing market price of OncoMed common stock over the first five business days following the public announcement of the entry into the merger agreement on December 5,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OncoMed Options and OncoMed Units</w:t>
      </w:r>
    </w:p>
    <w:p>
      <w:pPr>
        <w:spacing w:after="0" w:line="99" w:lineRule="exact"/>
        <w:rPr>
          <w:sz w:val="20"/>
          <w:szCs w:val="20"/>
          <w:color w:val="auto"/>
        </w:rPr>
      </w:pPr>
    </w:p>
    <w:p>
      <w:pPr>
        <w:ind w:left="200" w:right="20" w:firstLine="331"/>
        <w:spacing w:after="0" w:line="253" w:lineRule="auto"/>
        <w:rPr>
          <w:sz w:val="20"/>
          <w:szCs w:val="20"/>
          <w:color w:val="auto"/>
        </w:rPr>
      </w:pPr>
      <w:r>
        <w:rPr>
          <w:rFonts w:ascii="Arial" w:cs="Arial" w:eastAsia="Arial" w:hAnsi="Arial"/>
          <w:sz w:val="17"/>
          <w:szCs w:val="17"/>
          <w:color w:val="auto"/>
        </w:rPr>
        <w:t>The Merger Agreement provides that, immediately prior to the Effective Time, each OncoMed Option that is outstanding and unexercised, whether vested or not,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 As of March 15, 2019, there were approximately 4,047,071 outstanding OncoMed Options, 1,283,348 of which were unvested.</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Units</w:t>
      </w:r>
    </w:p>
    <w:p>
      <w:pPr>
        <w:spacing w:after="0" w:line="12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Merger Agreement provides that, immediately prior to the Effective Time and contingent on the occurrence of the Closing, each outstanding OncoMed Unit will be canceled and the holders thereof will be entitled to receive, immediately prior to the Effective Time, the number of shares of OncoMed common stock that were subject to such OncoMed Units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authority)and such stockholders will thereafter be entitled to receive the Merger Consideration in respect of these shares of OncoMed common stock. No OncoMed Units will remain outstanding following the consummation of the Merger. As of March 15, 2019, there were approximately 238,584 unvested and outstanding OncoMed Units.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Reasons for the Merger</w:t>
      </w:r>
    </w:p>
    <w:p>
      <w:pPr>
        <w:spacing w:after="0" w:line="85"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At its meeting on December 5, 2018, the Mereo Board unanimously (1) determined that the Merger Agreement, the Merger and the other transactions contemplated by the Merger Agreement are advisable and are fair to and in the best interests of Mereo and its shareholders as a whole, (2) approved the Merger Agreement, the Merger and the other transactions contemplated by the Merger Agreement, and (3) resolved to recommend to Mereo’s shareholders that they should approve the transactions contemplated by the Merger Agreement, should such approval be required.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Mereo Board based its recommendation on its belief that (1) the combination of Mereo’s biopharmaceutical portfolio of four assets with OncoMed’s two lead assets will create a diversified combined portfolio, resulting in an increased number of potential near-term catalysts with a core focus remaining on Mereo’s strategy to develop and commercialize products for rare diseases, (2) the cash position of the Combined Company will provide an extended operational runway, with the potential for such runway to be extended significantly through partnering deals with respect to Mereo’s non-Orphan products, OncoMed’s navicixzumab products and the potential Celgene Option Exercise, and (3) a Nasdaq listing, in addition to Mereo’s existing AIM listing, will provide a diversified international shareholder base for the Combined Company.</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also based its recommendation on its belief that the Merger would:</w:t>
      </w:r>
    </w:p>
    <w:p>
      <w:pPr>
        <w:spacing w:after="0" w:line="239" w:lineRule="exact"/>
        <w:rPr>
          <w:sz w:val="20"/>
          <w:szCs w:val="20"/>
          <w:color w:val="auto"/>
        </w:rPr>
      </w:pPr>
    </w:p>
    <w:p>
      <w:pPr>
        <w:ind w:left="5560" w:right="3260" w:hanging="5032"/>
        <w:spacing w:after="0" w:line="365" w:lineRule="auto"/>
        <w:tabs>
          <w:tab w:leader="none" w:pos="956"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combine the skills and expertise of Mereo and a select number of OncoMed employees; 142</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a U.S. operational base for Mereo; and</w:t>
      </w:r>
    </w:p>
    <w:p>
      <w:pPr>
        <w:spacing w:after="0" w:line="26" w:lineRule="exact"/>
        <w:rPr>
          <w:rFonts w:ascii="MS PGothic" w:cs="MS PGothic" w:eastAsia="MS PGothic" w:hAnsi="MS PGothic"/>
          <w:sz w:val="25"/>
          <w:szCs w:val="25"/>
          <w:color w:val="auto"/>
          <w:vertAlign w:val="superscript"/>
        </w:rPr>
      </w:pPr>
    </w:p>
    <w:p>
      <w:pPr>
        <w:ind w:left="960" w:right="600" w:hanging="432"/>
        <w:spacing w:after="0" w:line="218"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diversify and expand the Mereo Board through the addition of two new biopharmaceutical industry-experienced OncoMed independent non-executive directors.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also considered:</w:t>
      </w:r>
    </w:p>
    <w:p>
      <w:pPr>
        <w:spacing w:after="0" w:line="239" w:lineRule="exact"/>
        <w:rPr>
          <w:sz w:val="20"/>
          <w:szCs w:val="20"/>
          <w:color w:val="auto"/>
        </w:rPr>
      </w:pPr>
    </w:p>
    <w:p>
      <w:pPr>
        <w:ind w:left="960" w:right="76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and costs associated with the Merger not being completed in a timely manner or at all, even if approved by the OncoMed Board, OncoMed’s stockholders, the Mereo Board and, if necessary, Mereo’s shareholders;</w:t>
      </w:r>
    </w:p>
    <w:p>
      <w:pPr>
        <w:spacing w:after="0" w:line="27" w:lineRule="exact"/>
        <w:rPr>
          <w:rFonts w:ascii="MS PGothic" w:cs="MS PGothic" w:eastAsia="MS PGothic" w:hAnsi="MS PGothic"/>
          <w:sz w:val="25"/>
          <w:szCs w:val="25"/>
          <w:color w:val="auto"/>
          <w:vertAlign w:val="superscript"/>
        </w:rPr>
      </w:pPr>
    </w:p>
    <w:p>
      <w:pPr>
        <w:ind w:left="960" w:right="94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and costs associated with diverting management and employee attention and resources from other strategic opportunities and operational matters while working to implement the Merger;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litigation arising from the Merger Agreement, the Merger or the CVR Agreement;</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the value of the consideration payable to OncoMed’s shareholders would increase in the event that the value of Mereo Shares increased prior to the Effective Time, as the Exchange Ratio is fixed (subject only to adjustment for the net cash held by OncoMed at the time of the closing of the Merger and the Share Consideration Cap);</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challenges of completing the Merger and combining the businesses of the two companies, and the risks of not achieving the expected operating efficiencies, growth or cash cost savings from the Merger taking into account the different locations of the two companies;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transactional costs and expenses expected to be incurred by Mereo, as well as by OncoMed, in connection with the Merger; and</w:t>
      </w:r>
    </w:p>
    <w:p>
      <w:pPr>
        <w:spacing w:after="0" w:line="27"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under the Merger Agreement on the conduct of Mereo’s business and its ability to pursue other strategic opportunities prior to the completion of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Diversified Combined Portfolio</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Merger would produce a diversified combined portfolio of six assets, resulting in an increased number of potential near-term catalysts both in terms of clinical data and partnering opportunities. The Mereo Board considered its belief that, in addition to Mereo’s existing portfolio, potential partnership opportunities for OncoMed’s navicixizumab program, which is currently in a Phase 1b clinical study and has shown encouraging data in heavily pre-treated ovarian cancer patients to date, and OncoMed’s ongoing collaboration with Celgene (with an option for Celgene to license OncoMed’s etigilimab (anti-TIGIT, OMP-313M32) program outstanding), would provide the Combined Company with a broadened asset base and diversification of risk across additional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Strengthened Cash Position</w:t>
      </w:r>
    </w:p>
    <w:p>
      <w:pPr>
        <w:spacing w:after="0" w:line="8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Mereo Board also considered its belief that the Merger would provide a strong position for the Combined Company, extending its operational runway into 2020 with cash resources (defined as cash, cash equivalents and short-term investments), on a pro forma combined basis, of US$115.5 million as of September 30, 2018, incorporating OncoMed’s cash resources of US$70.9 million as of September 30, 2018. The Mereo Board further considered the potential for such cash runway to be extended significantly, both through partnership deals and through the possible Celgene Option Exercise by Celgene for OncoMed’s etigilimab (anti-TIGIT, OMP-313M32) product.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Listing</w:t>
      </w:r>
    </w:p>
    <w:p>
      <w:pPr>
        <w:spacing w:after="0" w:line="8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Merger also provides an opportunity for Mereo to establish a Nasdaq listing of Mereo ADSs, in addition to Mereo’s existing AIM listing and, with such listing, a diversified international shareholder base including a number of US institutional specialist healthcare investors, supplementing Mereo’s existing strong U.K. institutional and corporate investor base. Mereo has previously taken steps towards listing on Nasdaq and the Mereo Board considered its continued belief that such a listing would be beneficial to Mereo and its shareholders.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None of the statements above is intended as a profit forecast or estimate for any period and no statement should be interpreted to mean that earnings or earnings per share for Mereo for its current or future financial years would necessarily match or exceed historical published earnings or earnings per share. See “Risk Factors” and “Cautionary Statements Regarding Forward-Looking Statements.”</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Mereo Board also considered a variety of other factors and risks concerning the Merger, including the risks described in “Risk Factors” elsewhere in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99"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Holders of shares of OncoMed common stock who (1) do not vote in favor of the adoption of the Merger Agreement, (2) properly demand appraisal of their shares and (3) otherwise comply exactly with the requirements of Section 262 of the DGCL (“Section 262”) will be entitled to appraisal rights in connection with the Merger under Section 262.</w:t>
      </w:r>
    </w:p>
    <w:p>
      <w:pPr>
        <w:spacing w:after="0" w:line="203"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The following discussion is not a complete statement of the law pertaining to appraisal rights under the DGCL and is qualified in its entirety by the full text of Section 262 which is attached to this proxy statement/prospectus as Annex D. The following summary does not constitute any legal or other advice nor does it constitute a recommendation that stockholders exercise their appraisal rights under Section 262.</w:t>
      </w:r>
    </w:p>
    <w:p>
      <w:pPr>
        <w:spacing w:after="0" w:line="180" w:lineRule="exact"/>
        <w:rPr>
          <w:sz w:val="20"/>
          <w:szCs w:val="20"/>
          <w:color w:val="auto"/>
        </w:rPr>
      </w:pPr>
    </w:p>
    <w:p>
      <w:pPr>
        <w:ind w:left="200" w:right="640" w:firstLine="331"/>
        <w:spacing w:after="0" w:line="271" w:lineRule="auto"/>
        <w:rPr>
          <w:sz w:val="20"/>
          <w:szCs w:val="20"/>
          <w:color w:val="auto"/>
        </w:rPr>
      </w:pPr>
      <w:r>
        <w:rPr>
          <w:rFonts w:ascii="Arial" w:cs="Arial" w:eastAsia="Arial" w:hAnsi="Arial"/>
          <w:sz w:val="18"/>
          <w:szCs w:val="18"/>
          <w:b w:val="1"/>
          <w:bCs w:val="1"/>
          <w:color w:val="auto"/>
        </w:rPr>
        <w:t>FAILURE TO FOLLOW EXACTLY ANY OF THE STATUTORY REQUIREMENTS COULD RESULT IN THE LOSS OF YOUR APPRAISAL RIGHTS.</w:t>
      </w:r>
    </w:p>
    <w:p>
      <w:pPr>
        <w:spacing w:after="0" w:line="176"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Under Section 262, holders of shares of OncoMed common stock who do not vote in favor of the proposal to approve and adopt the Merger Agreement and who otherwise follow the procedures set forth in Section 262 will be entitled to have the “fair value” (as defined pursuant to Section 262) of their shares appraised by the Court of Chancery and to receive payment in cash of the “fair value” of such shares, exclusive of any element of value arising from the accomplishment or expectation of the Merger, as determined by the Court of Chancery, together with interest, if any, to be paid upon the amount determined to be the fair value.</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Under Section 262, where a merger agreement is to be submitted for adoption at a meeting of stockholders, the corporation, not less than 20 days prior to the meeting, must notify each of its stockholders as of the record date that are entitled to appraisal rights that appraisal rights are available for any or all of the shares of the constituent corporations to which the merger relates and include in the notice a copy of Section 262. This proxy statement/prospectus constitutes that notice, and the full text of Section 262 is attached to this proxy statement/prospectus as Annex 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ANY HOLDER OF ONCOMED COMMON STOCK WHO WISHES TO EXERCISE APPRAISAL RIGHTS, OR WHO WISHES TO PRESERVE SUCH HOLDER’S RIGHT TO DO SO, SHOULD REVIEW THE FOLLOWING DISCUSSION AND ANNEX D CAREFULLY BECAUSE FAILURE TO TIMELY AND PROPERLY COMPLY WITH THE PROCEDURES SPECIFIED COULD RESULT IN THE LOSS OF APPRAISAL RIGHTS. MOREOVER, BECAUSE OF THE COMPLEXITY OF THE PROCEDURES FOR EXERCISING THE RIGHT TO SEEK APPRAISAL OF SHARES OF COMMON STOCK, ONCOMED BELIEVES THAT IF A STOCKHOLDER CONSIDERS EXERCISING SUCH RIGHTS, THE STOCKHOLDER SHOULD SEEK THE ADVICE OF SUCH STOCKHOLDER’S OWN LEGAL AND FINANCIAL ADVISORS.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Filing Written Demand</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Any holder of OncoMed common stock wishing to exercise appraisal rights must deliver to OncoMed, before the vote on the adoption of the Merger Agreement at the OncoMed Special Meeting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at which the proposal to adopt the Merger Agreement will be submitted to the OncoMed stockholders, a written demand for the appraisal of the stockholder’s shares, and that stockholder must not vote in favor of the adoption of the Merger Agreement. A holder of shares of OncoMed common stock wishing to exercise appraisal rights must hold of record the shares on the date the written demand for appraisal is made and must continue to hold the shares of record through the effective date of the Merger, since appraisal rights will be lost if the shares are transferred prior to the effective date of the Merger. The holder must not vote in favor of the adoption of the Merger Agreement. A proxy that is submitted and does not contain voting instructions will, unless revoked, be voted in favor of the adoption of the Merger Agreement, and such proxy will constitute a waiver of the stockholder’s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against or abstention from the proposal to approve and adopt the Merger Agreement. The demand for appraisal will be sufficient if it reasonably informs OncoMed of the identity of the holder as well as the intention of the holder to demand an appraisal of the “fair value” of the shares held by the holder. A stockholder’s failure to make the written demand prior to the taking of the vote on the approval and adoption of the Merger Agreement at the OncoMed Special Meeting will constitute a waiver of such stockholder’s appraisal rights.</w:t>
      </w:r>
    </w:p>
    <w:p>
      <w:pPr>
        <w:spacing w:after="0" w:line="21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Only a holder of record of shares of OncoMed common stock, or a person duly authorized and explicitly purporting to act on such holder’s behalf, will be entitled to demand an appraisal of the shares registered in that holder’s name. A demand for appraisal in respect of shares of OncoMed common stock should be executed by or on behalf of the holder of record, fully and correctly, as the holder’s name appears on the holder’s stock certificates, should specify the holder’s name and mailing address and the number of shares registered in the holder’s name and must state that the person intends thereby to demand appraisal of the holder’s shares in connection with the Merger. If the shares are owned of record by a person other than the beneficial owners, such as by a bank, brokerage firm or other nominee, or in a fiduciary capacity, such as by a trustee, guardian or custodian, execution of the demand should be made in that capacity and must identify the record owner or owners, and if the shares are owned of record by more than one person, as in a joint tenancy and tenancy in common, the demand should be executed by or on behalf of all joint owners. An authorized agent, including an agent for two or more joint owners, may execute a demand for appraisal on behalf of a holder of record; however, the agent must identify the record owner or owners and expressly disclose that, in executing the demand, the agent is acting as an agent for the record owner or owners. If a stockholder holds shares of OncoMed common stock through a brokerage firm that in turn holds the shares through a central securities depository nominee such as Cede &amp; Co., a demand for appraisal of such shares must be made by or on behalf of the depository nominee and must identify the depository nominee as record holder. If the shares are held in “street name” by a broker, bank or nominee, the broker, bank or nominee may exercise appraisal rights with respect to the shares held for one or more beneficial owners while not exercising the rights with respect to the shares held for other beneficial owners; in such case, however, the written demand should set forth the number of shares as to which appraisal is sought and where no number of shares is expressly mentioned the demand will be presumed to cover all shares of OncoMed common stock held in the name of the record owner. Stockholders who hold their shares in brokerage accounts or other nominee forms and who wish to exercise appraisal rights are urged to consult with their brokers to determine the appropriate procedures for the making of a demand for appraisal by such a nominee.</w:t>
      </w:r>
    </w:p>
    <w:p>
      <w:pPr>
        <w:spacing w:after="0" w:line="214"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All written demands for appraisal pursuant to Section 262 should be sent or delivered to OncoMed Pharmaceuticals, Inc., 800 Chesapeake Drive, Redwood City, California 94063, Attn: Alicia Hager.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At any time within 60 days after the Effective Time, any stockholder who has not commenced an appraisal proceeding or joined that proceeding as a named party may withdraw his, her or its demand for appraisal and accept the Merger Consideration by delivering to OncoMed, as the surviving corporation, a written withdrawal of the demand for appraisal. Any such attempt to withdraw the demand made more than 60 days after the Effective Time will require the written approval of OncoMed, as the surviving corporation. No appraisal proceeding in the Court of Chancery will be dismissed as to any stockholder without the approval of the Court of Chancery, and such approval may be conditioned upon such terms as the Court of Chancery deems just; provided, however, that any stockholder who has not commenced an appraisal proceeding or joined that proceeding as a named party may withdraw his, her or its demand for appraisal and accept the Merger Consideration within 60 days after the effective date of the Merger. If the surviving corporation does not approve a request to withdraw a demand for appraisal when that approval is required, or if the Court of Chancery does not approve the dismissal of an appraisal proceeding, the stockholder will be entitled to receive only the appraised value determined in any such appraisal proceeding, which value could be less than, equal to or more than the consideration being offered pursuant to the Merger Agreement.</w:t>
      </w:r>
    </w:p>
    <w:p>
      <w:pPr>
        <w:spacing w:after="0" w:line="188"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8"/>
          <w:szCs w:val="18"/>
          <w:i w:val="1"/>
          <w:iCs w:val="1"/>
          <w:color w:val="auto"/>
        </w:rPr>
        <w:t>Notice by the Surviving Corporation</w:t>
      </w:r>
      <w:r>
        <w:rPr>
          <w:rFonts w:ascii="Arial" w:cs="Arial" w:eastAsia="Arial" w:hAnsi="Arial"/>
          <w:sz w:val="18"/>
          <w:szCs w:val="18"/>
          <w:color w:val="auto"/>
        </w:rPr>
        <w:t>. Within ten days after the Effective Time, the surviving corporation must notify each former</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OncoMed common stock who has made a written demand for appraisal pursuant to Section 262, and who has not voted in favor of the adoption of the Merger Agreement, of the date on which the Merger became effective.</w:t>
      </w:r>
    </w:p>
    <w:p>
      <w:pPr>
        <w:spacing w:after="0" w:line="17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i w:val="1"/>
          <w:iCs w:val="1"/>
          <w:color w:val="auto"/>
        </w:rPr>
        <w:t>Filing a Petition for Appraisal</w:t>
      </w:r>
      <w:r>
        <w:rPr>
          <w:rFonts w:ascii="Arial" w:cs="Arial" w:eastAsia="Arial" w:hAnsi="Arial"/>
          <w:sz w:val="18"/>
          <w:szCs w:val="18"/>
          <w:color w:val="auto"/>
        </w:rPr>
        <w:t>. Within 120 days after the Effective Time, but not thereafter, the surviving corporation or any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OncoMed common stock who has complied with Section 262 and is entitled to appraisal rights under Section 262 may commence an appraisal proceeding by filing a petition in the Court of Chancery demanding a determination of the fair value of the shares held by all dissenting holders. If no such petition is filed within that 120-day period, appraisal rights will be lost for all holders of OncoMed common stock who had previously demanded appraisal of their shares. The surviving corporation is under no obligation to file, and has no present intention to file, a petition and holders should not assume that OncoMed, as the surviving corporation, will file a petition or that OncoMed will initiate any negotiations with respect to the fair value of the shares. Accordingly, it is the obligation of holders of OncoMed common stock that desire to have their shares appraised to initiate all necessary action to perfect their appraisal rights in respect of shares of OncoMed common stock within the time period prescribed in Section 262. Within 120 days after the Effective Time, any holder of OncoMed common stock who has complied with the requirements for exercise of appraisal rights will be entitled, upon written request, to receive from OncoMed, as the surviving corporation, a statement setting forth the aggregate number of shares not voted in favor of the proposal to approve and adopt the merger agreement and with respect to which demands for appraisal have been received and the aggregate number of holders of such shares. Such statement must be mailed within ten days after a written request therefor has been received by OncoMed, as the surviving corporation, or within ten days after the expiration of the period for delivery of demands for appraisal, whichever is later. Notwithstanding the foregoing requirement that a demand for appraisal must be made by or on behalf of the record owner of the shares, a person who is the beneficial owner of shares of OncoMed common stock held either in a voting trust or by a nominee on behalf of such person, and as to which demand has been properly made and not effectively withdrawn, may, in such person’s own name, file a petition for appraisal or request from OncoMed the statement described in this paragraph.</w:t>
      </w:r>
    </w:p>
    <w:p>
      <w:pPr>
        <w:spacing w:after="0" w:line="21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 petition for an appraisal is timely filed by a holder of shares of OncoMed common stock and a copy thereof is duly served upon OncoMed, as the surviving corporation, the surviving corporation will then be obligated within 20 days to file with the Delaware Register in Chancery a duly verified list (the “Verified List”) containing the names and addresses of all stockholders who have demanded an appraisal of their shares and with whom agreements as to the value of their shares have not been reached. Upon the filing of any such petition, the Court of Chancery may order that notice of the time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60"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and place fixed for the hearing on the petition be mailed to OncoMed and all of the holders of OncoMed common stock shown on the Verified List. Such notice shall also be published at least one week before the day of the hearing in a newspaper of general circulation published in the City of Wilmington, Delaware, or in another publication determined by the Court of Chancery. The costs of such notices are borne by the OncoMed. After notice to the stockholders as required by the Court of Chancery, the Court of Chancery is empowered to conduct a hearing on the petition to determine those stockholders who have complied with Section 262 and who have become entitled to appraisal rights thereunder. The Court of Chancery may require the stockholders who demanded payment for their shares to submit their stock certificates to the Register in Chancery for notation thereon of the pendency of the appraisal proceeding; and if any stockholder fails to comply with the direction, the Court of Chancery may dismiss the proceedings as to that stockholder.</w:t>
      </w:r>
    </w:p>
    <w:p>
      <w:pPr>
        <w:spacing w:after="0" w:line="190"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Determination of Fair Value</w:t>
      </w:r>
      <w:r>
        <w:rPr>
          <w:rFonts w:ascii="Arial" w:cs="Arial" w:eastAsia="Arial" w:hAnsi="Arial"/>
          <w:sz w:val="18"/>
          <w:szCs w:val="18"/>
          <w:color w:val="auto"/>
        </w:rPr>
        <w:t>. After the Court of Chancery determines the former holders of OncoMed common stock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the appraisal proceeding shall be conducted in accordance with the rules of the Court of Chancery, including any rules specifically governing appraisal proceedings. Through such proceeding, the Court of Chancery shall determine the “fair value” of the shares, exclusive of any element of value arising from the accomplishment or expectation of the Merger, together with interest, if any, to be paid upon the amount determined to be the fair value. Unless the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w:t>
      </w:r>
    </w:p>
    <w:p>
      <w:pPr>
        <w:spacing w:after="0" w:line="20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determining fair value, the Court of Chancery will take into account all relevant factors. In Weinberger v. UOP, Inc.,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of Chancery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w:t>
      </w:r>
    </w:p>
    <w:p>
      <w:pPr>
        <w:spacing w:after="0" w:line="205"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Stockholders considering seeking appraisal should be aware that the fair value of their shares as so determined (which does not include any element of value arising from the merger) could be more than, the same as or less than the value of the shares you would own after the Merger if you did not exercise your appraisal rights (which would include any element of value arising from the merger) or the trading price of such shares following the Merger and that an investment banking opinion as to the fairness, from a financial point of view, of the Merger Consideration payable in a transaction is not an opinion as to, and does not otherwise address, “fair value” under</w:t>
      </w:r>
    </w:p>
    <w:p>
      <w:pPr>
        <w:spacing w:after="0" w:line="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Section 262. Although OncoMed believes that the Merger Consideration is fair, no representation is made as to the outcome of the appraisal of fair value as determined by the Court of Chancery. In addition, the Delaware courts have decided that the statutory appraisal remedy, depending on factual circumstances, may or may not be a dissenting stockholder’s exclusive remedy. Stockholders should recognize that such an appraisal could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result in a determination of a value lower or higher than, or the same as, the Merger Consideration. Neither Mereo nor OncoMed anticipate offering more than the Merger Consideration to any stockholder of OncoMed exercising appraisal rights, and reserve the right to assert, in any appraisal proceeding, that for purposes of Section 262, the “fair value” of a share of OncoMed common stock is less than the Merger Consideration.</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Upon application by OncoMed, or by any stockholder entitled to participate in the appraisal proceeding, the Court of Chancery may, in its discretion, proceed to trial upon the appraisal prior to the final determination of the stockholders entitled to an appraisal. Any stockholder whose name appears on the Verified List and that has submitted such stockholder’s certificates of stock to the Delaware Register in Chancery, if such action is required, may participate fully in all proceedings until it is finally determined that such stockholder is not entitled to appraisal rights. The Court of Chancery shall direct the payment of the fair value of the shares, together with interest, if any, by OncoMed to the stockholders entitled thereto. Payment shall be so made to each such stockholder upon the surrender to OncoMed of such holder’s certificates. The Court of Chancery’s decree may be enforced as other decrees in such Court may be enforced.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 petition for appraisal is not timely filed, then the right to an appraisal will cease. The costs of the action (which do not include attorney’s fees or the fees and expenses of experts) may be determined by the Court of Chancery and taxed upon the parties as the Court of Chancery deems equitable under the circumstances. Upon application of a stockholder, the Court of Chancery may order all or a portion of the expenses incurred by a stockholder in connection with an appraisal proceeding, including, without limitation, reasonable attorneys’ fees and the fees and expenses of experts utilized in the appraisal proceeding, to be charged pro rata against the value of all the shares entitled to be appraised. In the absence of such determination or assessment, each party bears its own expenses.</w:t>
      </w:r>
    </w:p>
    <w:p>
      <w:pPr>
        <w:spacing w:after="0" w:line="205"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any stockholder who demands appraisal of shares of OncoMed common stock under Section 262 fails to perfect, successfully withdraws or loses such holder’s right to appraisal, the stockholder’s shares of OncoMed common stock will be deemed to have been converted at the Effective Time into the right to receive the Merger Consideration. A stockholder will fail to perfect, or effectively lose, the holder’s right to appraisal if no petition for appraisal is filed within 120 days after the Effective Time.</w:t>
      </w:r>
    </w:p>
    <w:p>
      <w:pPr>
        <w:spacing w:after="0" w:line="180"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b w:val="1"/>
          <w:bCs w:val="1"/>
          <w:color w:val="auto"/>
        </w:rPr>
        <w:t>FAILURE TO COMPLY EXACTLY WITH THE PROCEDURES SET FORTH IN SECTION 262 MAY RESULT IN THE LOSS OF A STOCKHOLDER’S STATUTORY APPRAISAL RIGHTS. CONSEQUENTLY, ANY STOCKHOLDER WISHING TO EXERCISE APPRAISAL RIGHTS IS URGED TO CONSULT WITH SUCH STOCKHOLDER’S OWN LEGAL AND FINANCIAL ADVISORS BEFORE ATTEMPTING TO EXERCISE THOSE RIGHTS.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the Mereo ADSs and Mereo Shares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the Merger Agreement, Mereo has agreed, among other things, to take all reasonable steps within its power to ensure that (1) the Mereo ADSs to be issued in the Merger are approved for listing on Nasdaq and (2) the Mereo Shares underlying the Mereo ADSs to be issued in the Merger are approved for admission to trading on AIM and satisfy any other requirements of London Stock Exchange plc in respect of the Merger Agreement and the transactions contemplated thereby, in each case prior to the Effective Time. The approval for listing of the Mereo ADSs on Nasdaq and of the Mereo Shares for admission to trading on AIM, in each case subject only to official notice of issuance, are each a condition to the obligations of Mereo and OncoMed to complete the Merger. Mereo has applied to list the Mereo ADSs on Nasdaq and intends to apply to list the Mereo Shares underlying the Mereo ADSs on AIM. Mereo expects that the Mereo ADSs will trade on Nasdaq under the symbol “MREO.” Mereo ADSs will trade, and be quoted, in U.S. dollars.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Delisting and Deregistration of OncoMed Common Stock</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If the Merger is completed, there will no longer be any publicly held shares of OncoMed common stock. Accordingly, OncoMed common stock will be delisted from Nasdaq and will be deregistered under the Exchange Act as soon as practicable following the completion of the Merger, and OncoMed will no longer be required to file periodic reports with the SEC in respect of OncoMed common stock.</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Sales of Mereo ADSs Received in the Merger</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Mereo ADSs to be issued in connection with the Merger will be freely transferable under the Securities Act and the Exchange Act, except for Mereo ADSs issued to any holder who may be deemed to be an “affiliate” of Mereo for purposes of Rule 144 under the Securities Act. Persons who may be deemed to be affiliates include individuals or entities that control, are controlled by, or are under common control with Mereo and may include the senior management, directors and significant stockholders of Mereo. Securities held by an affiliate of Mereo may be resold or otherwise transferred without registration in compliance with the volume limitations, manner of sale requirements, notice requirements and other requirements of Rule 144 under the Securities Act or as otherwise permitted under the Securities Act. This proxy statement/prospectus does not cover resales of Mereo ADSs, or the underlying Mereo Shares, received upon completion of the Merger by any person, and no person is authorized to make any use of this proxy statement/prospectus in connection with any resale.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Related to the Merger</w:t>
      </w:r>
    </w:p>
    <w:p>
      <w:pPr>
        <w:spacing w:after="0" w:line="8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 AGREEMENT</w:t>
      </w:r>
    </w:p>
    <w:p>
      <w:pPr>
        <w:spacing w:after="0" w:line="324"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The following discussion summarizes material provisions of the Merger Agreement entered into by Mereo, HoldCo, Merger Sub and OncoMed. This summary does not propose to be complete and is qualified in its entirety by reference to the complete copy of the Merger Agreement which is attached as Annex A to this proxy statement/prospectus. The rights and obligations of the parties are governed by the express terms and conditions of the Merger Agreement and not by this summary. The Merger Agreement should not be read alone, but should instead be read in conjunction with the other information provided elsewhere in this proxy statement/prospectus, including the annexes and the documents incorporated by reference into this proxy statement/prospectus, before making any decisions regarding the Merger.</w:t>
      </w:r>
    </w:p>
    <w:p>
      <w:pPr>
        <w:spacing w:after="0" w:line="1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i w:val="1"/>
          <w:iCs w:val="1"/>
          <w:color w:val="auto"/>
        </w:rPr>
        <w:t>The Merger Agreement is described in this proxy statement/prospectus only to provide you with information regarding its terms and conditions and this summary is not intended to provide any factual information about Mereo, OncoMed or their respective businesses. The representations, warranties and covenants contained in the Merger Agreement have been made solely for the benefit of the parties to the Merger Agreement. In addition, such representations, warranties and covenants: (1) have been made only for purposes of the Merger Agreement; (2) have been qualified by certain disclosures made by the parties to one another not reflected in the text of the Merger Agreement; (3) may be subject to materiality qualifications contained in the Merger Agreement which may differ from what may be viewed as material by you; (4) were made only as of December 5, 2018 or other specific dates; and (5) have been included in the Merger Agreement for the purpose of allocating risk between the contracting parties rather than establishing matters as facts. Accordingly, the summary of the Merger Agreement is included in this proxy statement/prospectus only to provide you with information regarding the terms of the Merger and not to provide you with any other factual information regarding Mereo, OncoMed or their respective businesses. You should not rely on the representations, warranties and covenants or any descriptions thereof as characterizations of the actual state of facts or condition of Mereo, OncoMed or any of their respective subsidiaries or affiliates. Moreover, information concerning the subject matter of the representations, warranties and covenants may have changed since December 5, 2018, or may in the future change, which subsequent information may or may not be fully reflected in Mereo’s or OncoMed’s public disclosures.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9"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On December 5, 2018, Mereo, HoldCo, Merger Sub and OncoMed entered into the Merger Agreement, providing for the Merger of Merger Sub with and into OncoMed, with OncoMed being the surviving corporation in the Merger and a wholly-owned indirect subsidiary of HoldCo and an indirect wholly-owned subsidiary of Mereo, upon the terms and subject to the conditions set forth in the Merger Agreement. Each of the Mereo Board and OncoMed Board has unanimously approved the Merger Agreement.</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After completion of the Merger, the certificate of incorporation set forth as Exhibit A to the Certificate of Merger, which is in the form attached to the Merger Agreement as Exhibit E, and the bylaws of Merger Sub in effect immediately prior to completion of the Merger will be the certificate of incorporation and bylaws, respectively, of OncoMed, as the surviving corporation in the Merger, in each case, until amended in accordance with applicable law and the certificate of incorporation and bylaws, as applicable. The directors and officers of the surviving corporation immediately following completion of the Merger will be the directors and officers, respectively, of Mereo, and will also include two OncoMed directors designated to serve on the Mereo Board as of the Effective Time, in each case, until their successors are duly elected or appointed and qualified in accordance with applicable law.</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Consideration</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At the Effective Time, each share of OncoMed common stock that is issued and outstanding immediately prior to the Effective Time (excluding any dissenting shares) will be converted (and shall cease to exist) solely into the right to receive: (1) a number of Mereo ADSs representing a number of Mereo Shares equal to the Exchange Ratio,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 If, prior to the Effective Time, the outstanding shares of OncoMed common stock or Mereo Shares underlying the Mereo ADSs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OncoMed common stock, OncoMed Options, OncoMed Units and Mereo ADSs with the same economic effect as contemplated by the Merger Agreement prior to such event.</w:t>
      </w:r>
    </w:p>
    <w:p>
      <w:pPr>
        <w:spacing w:after="0" w:line="206"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Under the Exchange Ratio set forth in the Merger Agreement, as of immediately following the Effective Time, former security holders of OncoMed are expected to own approximately 25% of the then-outstanding equity interests in the Combined Company on an undiluted basis (or approximately 21% of the then-outstanding equity interests in the Combined Company on a fully-diluted basis), subject to adjustments for net cash held by OncoMed at the time of the closing of the Merger.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Exchange Ratio Formula</w:t>
      </w:r>
    </w:p>
    <w:p>
      <w:pPr>
        <w:spacing w:after="0" w:line="81"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Exchange Ratio is the quotient obtained (rounded to four decimal places) by dividing (a) the OncoMed Adjusted Merger Shares (as defined below) by (b) the OncoMed Outstanding Shares (as defined below), in which:</w:t>
      </w:r>
    </w:p>
    <w:p>
      <w:pPr>
        <w:spacing w:after="0" w:line="188" w:lineRule="exact"/>
        <w:rPr>
          <w:sz w:val="20"/>
          <w:szCs w:val="20"/>
          <w:color w:val="auto"/>
        </w:rPr>
      </w:pPr>
    </w:p>
    <w:p>
      <w:pPr>
        <w:ind w:left="960" w:hanging="432"/>
        <w:spacing w:after="0"/>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Adjusted Merger Shares” means the sum of an amount equal to the number of OncoMed Unadjusted Merger Shares:</w:t>
      </w:r>
    </w:p>
    <w:p>
      <w:pPr>
        <w:spacing w:after="0" w:line="26" w:lineRule="exact"/>
        <w:rPr>
          <w:rFonts w:ascii="MS PGothic" w:cs="MS PGothic" w:eastAsia="MS PGothic" w:hAnsi="MS PGothic"/>
          <w:sz w:val="25"/>
          <w:szCs w:val="25"/>
          <w:color w:val="auto"/>
          <w:vertAlign w:val="superscript"/>
        </w:rPr>
      </w:pPr>
    </w:p>
    <w:p>
      <w:pPr>
        <w:ind w:left="1400" w:right="140" w:hanging="426"/>
        <w:spacing w:after="0" w:line="218" w:lineRule="auto"/>
        <w:tabs>
          <w:tab w:leader="none" w:pos="1400" w:val="left"/>
        </w:tabs>
        <w:numPr>
          <w:ilvl w:val="1"/>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if Final Net Cash is equal to or greater than OncoMed Target Net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that is the quotient determined by dividing the OncoMed Closing Cash Variance by the Mereo Dollar VWAP;</w:t>
      </w:r>
    </w:p>
    <w:p>
      <w:pPr>
        <w:spacing w:after="0" w:line="27" w:lineRule="exact"/>
        <w:rPr>
          <w:rFonts w:ascii="MS PGothic" w:cs="MS PGothic" w:eastAsia="MS PGothic" w:hAnsi="MS PGothic"/>
          <w:sz w:val="25"/>
          <w:szCs w:val="25"/>
          <w:color w:val="auto"/>
          <w:vertAlign w:val="superscript"/>
        </w:rPr>
      </w:pPr>
    </w:p>
    <w:p>
      <w:pPr>
        <w:ind w:left="1400" w:right="20" w:hanging="426"/>
        <w:spacing w:after="0" w:line="223" w:lineRule="auto"/>
        <w:tabs>
          <w:tab w:leader="none" w:pos="1400" w:val="left"/>
        </w:tabs>
        <w:numPr>
          <w:ilvl w:val="1"/>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if Final Net Cash is less than OncoMed Target Net Cash, but equal to or greater than the OncoMed Target Net Cash Collar, </w:t>
      </w:r>
      <w:r>
        <w:rPr>
          <w:rFonts w:ascii="Arial" w:cs="Arial" w:eastAsia="Arial" w:hAnsi="Arial"/>
          <w:sz w:val="18"/>
          <w:szCs w:val="18"/>
          <w:i w:val="1"/>
          <w:iCs w:val="1"/>
          <w:color w:val="auto"/>
        </w:rPr>
        <w:t xml:space="preserve">minus </w:t>
      </w:r>
      <w:r>
        <w:rPr>
          <w:rFonts w:ascii="Arial" w:cs="Arial" w:eastAsia="Arial" w:hAnsi="Arial"/>
          <w:sz w:val="18"/>
          <w:szCs w:val="18"/>
          <w:color w:val="auto"/>
        </w:rPr>
        <w:t>an amount that is the quotient determined by dividing the OncoMed Closing Cash Variance by the Mereo Dollar</w:t>
      </w:r>
      <w:r>
        <w:rPr>
          <w:rFonts w:ascii="Arial" w:cs="Arial" w:eastAsia="Arial" w:hAnsi="Arial"/>
          <w:sz w:val="18"/>
          <w:szCs w:val="18"/>
          <w:i w:val="1"/>
          <w:iCs w:val="1"/>
          <w:color w:val="auto"/>
        </w:rPr>
        <w:t xml:space="preserve"> </w:t>
      </w:r>
      <w:r>
        <w:rPr>
          <w:rFonts w:ascii="Arial" w:cs="Arial" w:eastAsia="Arial" w:hAnsi="Arial"/>
          <w:sz w:val="18"/>
          <w:szCs w:val="18"/>
          <w:color w:val="auto"/>
        </w:rPr>
        <w:t>VWAP; or</w:t>
      </w:r>
    </w:p>
    <w:p>
      <w:pPr>
        <w:spacing w:after="0" w:line="10" w:lineRule="exact"/>
        <w:rPr>
          <w:rFonts w:ascii="MS PGothic" w:cs="MS PGothic" w:eastAsia="MS PGothic" w:hAnsi="MS PGothic"/>
          <w:sz w:val="25"/>
          <w:szCs w:val="25"/>
          <w:color w:val="auto"/>
          <w:vertAlign w:val="superscript"/>
        </w:rPr>
      </w:pPr>
    </w:p>
    <w:p>
      <w:pPr>
        <w:ind w:left="1400" w:right="20" w:hanging="426"/>
        <w:spacing w:after="0" w:line="232" w:lineRule="auto"/>
        <w:tabs>
          <w:tab w:leader="none" w:pos="1400" w:val="left"/>
        </w:tabs>
        <w:numPr>
          <w:ilvl w:val="1"/>
          <w:numId w:val="85"/>
        </w:numPr>
        <w:rPr>
          <w:rFonts w:ascii="MS PGothic" w:cs="MS PGothic" w:eastAsia="MS PGothic" w:hAnsi="MS PGothic"/>
          <w:sz w:val="24"/>
          <w:szCs w:val="24"/>
          <w:color w:val="auto"/>
          <w:vertAlign w:val="superscript"/>
        </w:rPr>
      </w:pPr>
      <w:r>
        <w:rPr>
          <w:rFonts w:ascii="Arial" w:cs="Arial" w:eastAsia="Arial" w:hAnsi="Arial"/>
          <w:sz w:val="17"/>
          <w:szCs w:val="17"/>
          <w:color w:val="auto"/>
        </w:rPr>
        <w:t xml:space="preserve">if Final Net Cash is less than the OncoMed Target Net Cash Collar,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sum of (1) 455,928 and (2) an amount that is the quotient determined by dividing (a) the OncoMed Missed Target Variance by (b) the product determined by multiplying</w:t>
      </w:r>
    </w:p>
    <w:p>
      <w:pPr>
        <w:ind w:left="140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(x) the Mereo Dollar VWAP by (y) the OncoMed Missed Target Percentage.</w:t>
      </w:r>
    </w:p>
    <w:p>
      <w:pPr>
        <w:spacing w:after="0" w:line="9"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Allocation Percentage” means 0.25.</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Closing Cash Variance” means the absolute sum of (i) Final Net Cash minus (ii) OncoMed Target Net Cash.</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Missed Target Percentage” means 0.50.</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Missed Target Variance” means the absolute sum of (i) Final Net Cash minus (ii) OncoMed Target Net Cash Collar.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Outstanding Shares” means the total number of shares of OncoMed capital stock outstanding immediately prior to the Effective Time expressed on a fully-diluted and as-converted to OncoMed common stock basis (excluding each underwater OncoMed Option) and assuming, without limitation or duplication, (i) the settlement in shares of each OncoMed Option (other than each underwater OncoMed Option) and OncoMed Unit outstanding as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60"/>
        <w:spacing w:after="0"/>
        <w:rPr>
          <w:sz w:val="20"/>
          <w:szCs w:val="20"/>
          <w:color w:val="auto"/>
        </w:rPr>
      </w:pPr>
      <w:r>
        <w:rPr>
          <w:rFonts w:ascii="Arial" w:cs="Arial" w:eastAsia="Arial" w:hAnsi="Arial"/>
          <w:sz w:val="18"/>
          <w:szCs w:val="18"/>
          <w:color w:val="auto"/>
        </w:rPr>
        <w:t>the Effective Time, solely to the extent that such OncoMed Options are not exercised prior thereto and (ii) the issuance of OncoMed common stock in respect of all other options (other than each underwater OncoMed Option), warrants or rights to receive such shares that will be outstanding immediately prior to the Effective Time.</w:t>
      </w:r>
    </w:p>
    <w:p>
      <w:pPr>
        <w:ind w:left="960" w:hanging="432"/>
        <w:spacing w:after="0" w:line="231"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Target Net Cash” means $38,000,000.</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Target Net Cash Collar” means $36,500,000.</w:t>
      </w:r>
    </w:p>
    <w:p>
      <w:pPr>
        <w:spacing w:after="0" w:line="26" w:lineRule="exact"/>
        <w:rPr>
          <w:rFonts w:ascii="MS PGothic" w:cs="MS PGothic" w:eastAsia="MS PGothic" w:hAnsi="MS PGothic"/>
          <w:sz w:val="25"/>
          <w:szCs w:val="25"/>
          <w:color w:val="auto"/>
          <w:vertAlign w:val="superscript"/>
        </w:rPr>
      </w:pPr>
    </w:p>
    <w:p>
      <w:pPr>
        <w:jc w:val="both"/>
        <w:ind w:left="960" w:right="60" w:hanging="432"/>
        <w:spacing w:after="0" w:line="223"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Unadjusted Merger Shares” means the sum of (i) an amount that is the quotient determined by dividing the number of Mereo Outstanding Shares by the Mereo Allocation Percentage minus (ii) an amount equal to the number of Mereo Outstanding Shares.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Allocation Percentage” means 1.00 minus the OncoMed Allocation Percentage.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Dollar VWAP” means $3.29.</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Outstanding Shares” means the total number of Mereo Shares issued and outstanding immediately prior to the Effective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Examples</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For illustrative purposes only, the examples presented below calculate the Exchange Ratio under various OncoMed net cash scenarios. These examples assume: (i) the Effective Time occurred on December 5, 2018, (ii) 38,630,145 OncoMed outstanding shares at the Effective Time (on a fully-diluted, as-converted basis), and (iii) 71,240,272 Mereo Shares outstanding at the Effective Time.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62"/>
              <w:spacing w:after="0"/>
              <w:rPr>
                <w:sz w:val="20"/>
                <w:szCs w:val="20"/>
                <w:color w:val="auto"/>
              </w:rPr>
            </w:pPr>
            <w:r>
              <w:rPr>
                <w:rFonts w:ascii="Arial" w:cs="Arial" w:eastAsia="Arial" w:hAnsi="Arial"/>
                <w:sz w:val="14"/>
                <w:szCs w:val="14"/>
                <w:b w:val="1"/>
                <w:bCs w:val="1"/>
                <w:color w:val="auto"/>
              </w:rPr>
              <w:t>Implied Exchange Ratio</w:t>
            </w:r>
          </w:p>
        </w:tc>
        <w:tc>
          <w:tcPr>
            <w:tcW w:w="1000" w:type="dxa"/>
            <w:vAlign w:val="bottom"/>
          </w:tcPr>
          <w:p>
            <w:pPr>
              <w:spacing w:after="0"/>
              <w:rPr>
                <w:sz w:val="14"/>
                <w:szCs w:val="14"/>
                <w:color w:val="auto"/>
              </w:rPr>
            </w:pPr>
          </w:p>
        </w:tc>
        <w:tc>
          <w:tcPr>
            <w:tcW w:w="2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Pro Forma Ownership of the</w:t>
            </w:r>
          </w:p>
        </w:tc>
        <w:tc>
          <w:tcPr>
            <w:tcW w:w="500" w:type="dxa"/>
            <w:vAlign w:val="bottom"/>
          </w:tcPr>
          <w:p>
            <w:pPr>
              <w:spacing w:after="0"/>
              <w:rPr>
                <w:sz w:val="14"/>
                <w:szCs w:val="14"/>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 Ownership of the</w:t>
            </w:r>
          </w:p>
        </w:tc>
        <w:tc>
          <w:tcPr>
            <w:tcW w:w="0" w:type="dxa"/>
            <w:vAlign w:val="bottom"/>
          </w:tcPr>
          <w:p>
            <w:pPr>
              <w:spacing w:after="0"/>
              <w:rPr>
                <w:sz w:val="1"/>
                <w:szCs w:val="1"/>
                <w:color w:val="auto"/>
              </w:rPr>
            </w:pPr>
          </w:p>
        </w:tc>
      </w:tr>
      <w:tr>
        <w:trPr>
          <w:trHeight w:val="162"/>
        </w:trPr>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w:t>
            </w: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(Mereo Shares per share of</w:t>
            </w:r>
          </w:p>
        </w:tc>
        <w:tc>
          <w:tcPr>
            <w:tcW w:w="374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rPr>
              <w:t>Combined Company by former</w:t>
            </w:r>
          </w:p>
        </w:tc>
        <w:tc>
          <w:tcPr>
            <w:tcW w:w="292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rPr>
              <w:t>Combined Company by existing</w:t>
            </w:r>
          </w:p>
        </w:tc>
        <w:tc>
          <w:tcPr>
            <w:tcW w:w="0" w:type="dxa"/>
            <w:vAlign w:val="bottom"/>
          </w:tcPr>
          <w:p>
            <w:pPr>
              <w:spacing w:after="0"/>
              <w:rPr>
                <w:sz w:val="1"/>
                <w:szCs w:val="1"/>
                <w:color w:val="auto"/>
              </w:rPr>
            </w:pPr>
          </w:p>
        </w:tc>
      </w:tr>
      <w:tr>
        <w:trPr>
          <w:trHeight w:val="175"/>
        </w:trPr>
        <w:tc>
          <w:tcPr>
            <w:tcW w:w="160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OncoMed common stock)</w:t>
            </w:r>
          </w:p>
        </w:tc>
        <w:tc>
          <w:tcPr>
            <w:tcW w:w="1000" w:type="dxa"/>
            <w:vAlign w:val="bottom"/>
          </w:tcPr>
          <w:p>
            <w:pPr>
              <w:spacing w:after="0"/>
              <w:rPr>
                <w:sz w:val="15"/>
                <w:szCs w:val="15"/>
                <w:color w:val="auto"/>
              </w:rPr>
            </w:pPr>
          </w:p>
        </w:tc>
        <w:tc>
          <w:tcPr>
            <w:tcW w:w="2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OncoMed securityholders</w:t>
            </w:r>
          </w:p>
        </w:tc>
        <w:tc>
          <w:tcPr>
            <w:tcW w:w="500" w:type="dxa"/>
            <w:vAlign w:val="bottom"/>
          </w:tcPr>
          <w:p>
            <w:pPr>
              <w:spacing w:after="0"/>
              <w:rPr>
                <w:sz w:val="15"/>
                <w:szCs w:val="15"/>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Mereo securityholders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$30.0 million</w:t>
            </w:r>
          </w:p>
        </w:tc>
        <w:tc>
          <w:tcPr>
            <w:tcW w:w="900" w:type="dxa"/>
            <w:vAlign w:val="bottom"/>
            <w:vMerge w:val="continue"/>
            <w:shd w:val="clear" w:color="auto" w:fill="CCEEFF"/>
          </w:tcPr>
          <w:p>
            <w:pPr>
              <w:spacing w:after="0"/>
              <w:rPr>
                <w:sz w:val="17"/>
                <w:szCs w:val="17"/>
                <w:color w:val="auto"/>
              </w:rPr>
            </w:pPr>
          </w:p>
        </w:tc>
        <w:tc>
          <w:tcPr>
            <w:tcW w:w="1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1000" w:type="dxa"/>
            <w:vAlign w:val="bottom"/>
            <w:vMerge w:val="continue"/>
            <w:shd w:val="clear" w:color="auto" w:fill="CCEEFF"/>
          </w:tcPr>
          <w:p>
            <w:pPr>
              <w:spacing w:after="0"/>
              <w:rPr>
                <w:sz w:val="17"/>
                <w:szCs w:val="17"/>
                <w:color w:val="auto"/>
              </w:rPr>
            </w:pPr>
          </w:p>
        </w:tc>
        <w:tc>
          <w:tcPr>
            <w:tcW w:w="274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19.9%</w:t>
            </w:r>
          </w:p>
        </w:tc>
        <w:tc>
          <w:tcPr>
            <w:tcW w:w="500" w:type="dxa"/>
            <w:vAlign w:val="bottom"/>
            <w:vMerge w:val="continue"/>
            <w:shd w:val="clear" w:color="auto" w:fill="CCEEFF"/>
          </w:tcPr>
          <w:p>
            <w:pPr>
              <w:spacing w:after="0"/>
              <w:rPr>
                <w:sz w:val="17"/>
                <w:szCs w:val="17"/>
                <w:color w:val="auto"/>
              </w:rPr>
            </w:pPr>
          </w:p>
        </w:tc>
        <w:tc>
          <w:tcPr>
            <w:tcW w:w="2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$32.0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0.50</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21.4%</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0.55</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22.8%</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$35.0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23.5%</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$36.0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0.59</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24.2%</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$38.0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0.61</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25.0%</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25.6%</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OncoMed stockholders should note that,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OncoMed’s Final Net Cash</w:t>
      </w:r>
    </w:p>
    <w:p>
      <w:pPr>
        <w:spacing w:after="0" w:line="81"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Pursuant to the terms of the Merger Agreement, OncoMed’s “Final Net Cash” means, as of the cash determination time (which is the last business day prior to the anticipated date of the closing of the Merger) (the “Cash Determination Time”), the sum of (without duplication) the following:</w:t>
      </w:r>
    </w:p>
    <w:p>
      <w:pPr>
        <w:spacing w:after="0" w:line="230" w:lineRule="exact"/>
        <w:rPr>
          <w:sz w:val="20"/>
          <w:szCs w:val="20"/>
          <w:color w:val="auto"/>
        </w:rPr>
      </w:pPr>
    </w:p>
    <w:p>
      <w:pPr>
        <w:ind w:left="960" w:right="280" w:hanging="432"/>
        <w:spacing w:after="0" w:line="223"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unrestricted cash and cash equivalents, marketable securities and other short term investments (including any accrued cash interest thereon), accounts receivable, interest and other receivables (including tax receivables), deposits (short term and long term), prepaid expenses and other prepaid assets, in each case, as determined in a manner consistent with</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rPr>
          <w:sz w:val="20"/>
          <w:szCs w:val="20"/>
          <w:color w:val="auto"/>
        </w:rPr>
      </w:pPr>
      <w:r>
        <w:rPr>
          <w:rFonts w:ascii="Arial" w:cs="Arial" w:eastAsia="Arial" w:hAnsi="Arial"/>
          <w:sz w:val="18"/>
          <w:szCs w:val="18"/>
          <w:color w:val="auto"/>
        </w:rPr>
        <w:t xml:space="preserve">the manner in which such items were historically determined and in accordance with U.S. GAAP and OncoMed’s preparation of the most recent audited financial statements and unaudited interim balance sheet included in OncoMed’s disclosures with the SEC filed prior to December 5, 2018, but </w:t>
      </w:r>
      <w:r>
        <w:rPr>
          <w:rFonts w:ascii="Arial" w:cs="Arial" w:eastAsia="Arial" w:hAnsi="Arial"/>
          <w:sz w:val="18"/>
          <w:szCs w:val="18"/>
          <w:i w:val="1"/>
          <w:iCs w:val="1"/>
          <w:color w:val="auto"/>
        </w:rPr>
        <w:t>excluding</w:t>
      </w:r>
      <w:r>
        <w:rPr>
          <w:rFonts w:ascii="Arial" w:cs="Arial" w:eastAsia="Arial" w:hAnsi="Arial"/>
          <w:sz w:val="18"/>
          <w:szCs w:val="18"/>
          <w:color w:val="auto"/>
        </w:rPr>
        <w:t>:</w:t>
      </w:r>
    </w:p>
    <w:p>
      <w:pPr>
        <w:ind w:left="1400" w:hanging="426"/>
        <w:spacing w:after="0" w:line="231" w:lineRule="auto"/>
        <w:tabs>
          <w:tab w:leader="none" w:pos="1400" w:val="left"/>
        </w:tabs>
        <w:numPr>
          <w:ilvl w:val="1"/>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assets held for resale,</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directors’ and officers’ insurance tail policy purchased by OncoMed,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outstanding letters of credit, and</w:t>
      </w:r>
    </w:p>
    <w:p>
      <w:pPr>
        <w:spacing w:after="0" w:line="26" w:lineRule="exact"/>
        <w:rPr>
          <w:rFonts w:ascii="MS PGothic" w:cs="MS PGothic" w:eastAsia="MS PGothic" w:hAnsi="MS PGothic"/>
          <w:sz w:val="25"/>
          <w:szCs w:val="25"/>
          <w:color w:val="auto"/>
          <w:vertAlign w:val="superscript"/>
        </w:rPr>
      </w:pPr>
    </w:p>
    <w:p>
      <w:pPr>
        <w:ind w:left="1400" w:right="140" w:hanging="426"/>
        <w:spacing w:after="0" w:line="226" w:lineRule="auto"/>
        <w:tabs>
          <w:tab w:leader="none" w:pos="1400" w:val="left"/>
        </w:tabs>
        <w:numPr>
          <w:ilvl w:val="1"/>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prepaid asset in respect of severance, termination, bonus, change in control, dependent care, medical care, or other similar expenses relating to any current or former director, officer or employee of, or independent contractor or consultant to, OncoMed who is not specifically identified as an employee or consultant to be retained by the Combined Company following completion (a “Retained Employee”);</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expenses paid, or liabilities incurred, prior to Closing, that are approved in writing (without conditions) to be paid to OncoMed pursuant to any directors’ and officers’ insurance policy;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aggregate amount of expenditures made by OncoMed between December 5, 2018 and the Cash Determination Time that are contemplated in the operating budget provided to Mereo in a disclosure schedule at the time of the execution of the Merger Agreement;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sum of (without duplication) the following:</w:t>
      </w:r>
    </w:p>
    <w:p>
      <w:pPr>
        <w:spacing w:after="0" w:line="257" w:lineRule="exact"/>
        <w:rPr>
          <w:sz w:val="20"/>
          <w:szCs w:val="20"/>
          <w:color w:val="auto"/>
        </w:rPr>
      </w:pPr>
    </w:p>
    <w:p>
      <w:pPr>
        <w:ind w:left="960" w:hanging="432"/>
        <w:spacing w:after="0" w:line="22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OncoMed’s accounts payable and accrued liabilities and expenses, including accrued clinical liabilities and expenses solely with respect to services rendered prior to the Effective Time, and OncoMed’s other liabilities (short term and long term), in each case, as determined and in accordance with U.S. GAAP and OncoMed’s preparation of the most recent audited financial statements and unaudited interim balance sheet included in OncoMed’s disclosures with the SEC filed prior to December 5, 2018, but </w:t>
      </w:r>
      <w:r>
        <w:rPr>
          <w:rFonts w:ascii="Arial" w:cs="Arial" w:eastAsia="Arial" w:hAnsi="Arial"/>
          <w:sz w:val="18"/>
          <w:szCs w:val="18"/>
          <w:i w:val="1"/>
          <w:iCs w:val="1"/>
          <w:color w:val="auto"/>
        </w:rPr>
        <w:t>excluding:</w:t>
      </w:r>
    </w:p>
    <w:p>
      <w:pPr>
        <w:spacing w:after="0" w:line="26" w:lineRule="exact"/>
        <w:rPr>
          <w:rFonts w:ascii="MS PGothic" w:cs="MS PGothic" w:eastAsia="MS PGothic" w:hAnsi="MS PGothic"/>
          <w:sz w:val="25"/>
          <w:szCs w:val="25"/>
          <w:color w:val="auto"/>
          <w:vertAlign w:val="superscript"/>
        </w:rPr>
      </w:pPr>
    </w:p>
    <w:p>
      <w:pPr>
        <w:ind w:left="1400" w:hanging="426"/>
        <w:spacing w:after="0" w:line="218" w:lineRule="auto"/>
        <w:tabs>
          <w:tab w:leader="none" w:pos="1400" w:val="left"/>
        </w:tabs>
        <w:numPr>
          <w:ilvl w:val="1"/>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liabilities in respect of current and long term deferred revenue or deferred rent, any accrued liabilities in respect of paid time off or vacation for any Retained Employee, and</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clinical liabilities or expenses in respect of services to be rendered following the Effective Time;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amounts that are owed by OncoMed to current or former employees, officers or directors pursuant to any indemnification, contribution or similar obligations (whether under an indemnification agreement or otherwise);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outstanding indebtedness of OncoMed;</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notice, termination or consent payments, fines or other payments to be made by OncoMed in order to terminate any existing contract to which OncoMed is a party and which termination is expressly required by the terms of the Merger Agreement or to effect the transactions contemplated by the Merger Agreement;</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brokerage fee, finder’s fee, opinion fee, success fee, transaction fee, service fee or other fee, commission or expense owed to any broker, finder, investment bank, auditor, accountant, counsel, advisor or other third party in connection with the transactions contemplated by the Merger Agreement based upon arrangements made by or on behalf of OncoMed;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accrued and unpaid taxes of OncoMed (estimated with respect to current tax liabilities);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unpaid amounts payable by OncoMed to purchase the directors’ and officers’ insurance tail policy; and</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severance, termination, bonus, change in control, dependent care, medical care, or other similar expenses relating to any current or former director, officer or employee of, or independent contractor or consultant to, OncoMed who is not a Retained Employee;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60"/>
          </w:cols>
          <w:pgMar w:left="240" w:top="460"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the aggregate amount of expenditures made by OncoMed between the date of the Merger Agreement and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Time that are contemplated in the corresponding budget set forth in a confidential disclosure schedule provided to Mereo at the time of the execution of the Merger Agreement.</w:t>
      </w:r>
    </w:p>
    <w:p>
      <w:pPr>
        <w:spacing w:after="0" w:line="19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Not more than ten nor less than five calendar days prior to the anticipated date for closing of the Merger, OncoMed will deliver to Mereo a schedule setting forth its good faith estimated calculation of net cash as of the Cash Determination Time (the date of delivery of such schedule, the “Delivery Date”). If Mereo objects to the net cash calculation, the parties shall attempt in good faith to resolve the disputed items and negotiate an agreed-upon determination of net cash. If the parties are unable to negotiate an agreed-upon determination of net cash or any component thereof, any remaining disagreements will be referred to an independent auditor jointly selected by Mereo and OncoMed. The determination of the amount of net cash made by such accounting firm shall be final and binding on Mereo and OncoMed.</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OncoMed’s net cash balance is subject to numerous factors, some of which are outside of OncoMed’s control. The actual amount of net cash will depend significantly on the timing of the closing of the Merger. In addition, the closing of the Merger could be delayed if Mereo and OncoMed are not able to agree upon the amount of OncoMed’s net cash as of the Cash Determination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Consideration Cap</w:t>
      </w:r>
    </w:p>
    <w:p>
      <w:pPr>
        <w:spacing w:after="0" w:line="95" w:lineRule="exact"/>
        <w:rPr>
          <w:sz w:val="20"/>
          <w:szCs w:val="20"/>
          <w:color w:val="auto"/>
        </w:rPr>
      </w:pPr>
    </w:p>
    <w:p>
      <w:pPr>
        <w:ind w:left="200" w:right="160" w:firstLine="331"/>
        <w:spacing w:after="0" w:line="234" w:lineRule="auto"/>
        <w:rPr>
          <w:sz w:val="20"/>
          <w:szCs w:val="20"/>
          <w:color w:val="auto"/>
        </w:rPr>
      </w:pPr>
      <w:r>
        <w:rPr>
          <w:rFonts w:ascii="Arial" w:cs="Arial" w:eastAsia="Arial" w:hAnsi="Arial"/>
          <w:sz w:val="18"/>
          <w:szCs w:val="18"/>
          <w:color w:val="auto"/>
        </w:rPr>
        <w:t>The number of Mereo Shares underlying Mereo ADSs issuable to former OncoMed stockholders in the Merger is also subject to the Share Consideration Cap. Pursuant to the terms of the Merger Agreement, the number of Mereo Shares to be allotted and issued by Mereo to the depositary (and the corresponding number of Mereo ADSs to be issued by the depositary to holders of OncoMed common stock) as Share Consideration or pursuant to the CVR Agreement will not, in the aggregate, exceed 66.67% of the Mereo Shares issued and outstanding immediately prior to the Effective Time (approximately 40% of the share capital of the Combined Company) and (i) if the aggregate number of Mereo Shares underlying the Mereo ADSs to be issued at the closing of the Merger would otherwise exceed the Share Consideration Cap, the Exchange Ratio shall be appropriately adjusted so that the Share Consideration Cap is not exceeded, and</w:t>
      </w:r>
    </w:p>
    <w:p>
      <w:pPr>
        <w:spacing w:after="0" w:line="5" w:lineRule="exact"/>
        <w:rPr>
          <w:sz w:val="20"/>
          <w:szCs w:val="20"/>
          <w:color w:val="auto"/>
        </w:rPr>
      </w:pPr>
    </w:p>
    <w:p>
      <w:pPr>
        <w:ind w:left="200" w:right="100" w:firstLine="4"/>
        <w:spacing w:after="0" w:line="237" w:lineRule="auto"/>
        <w:tabs>
          <w:tab w:leader="none" w:pos="4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at any time following the closing of the Merger, the aggregate number of Mereo ADSs to be issued pursuant to the CVR Agreement would require the allotment and issuance of an aggregate number of Mereo Shares (underlying such Mereo ADSs) that, together with the aggregate number of Mereo Shares underlying the Mereo ADSs issued at Closing pursuant to the Merger Agreement (collectively, the “Total Share Consideration”), would otherwise exceed the Share Consideration Cap, then the number of Mereo ADSs to be issued pursuant to the CVR Agreement shall be appropriately reduced so that the Total Share Consideration does not exceed the Share Consideration Cap. For the avoidance of doubt, the Share Consideration Cap shall have no effect on any contingent cash payment which is or becomes payable pursuant to the CVR Agreement.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Fractional Shares</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No fractional Mereo ADSs or CVRs will be issued in the Merger. Any fractional Mereo ADSs or CVRs resulting from the application of the Exchange Ratio or the settlement of the OncoMed Options will be rounded down to the nearest whole Mereo ADS or CVR, as applicable, with no cash being paid to compensate for any fractional Mereo ADSs or CVRs eliminated by such rounding.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OncoMed Options and OncoMed Units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The Merger Agreement provides that each OncoMed Option, whether vested or unvested, outstanding immediately prior to the Effective Time will be automatically canceled in exchange for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right to receive (i) the excess, if any, of the Merger Consideration over the applicable exercise price of such canceled OncoMed Option, multiplied by (ii) the number of shares of OncoMed common stock subject to such OncoMed Option immediately prior to the Effective Time, where such excess will be determined by subtracting from the Share Consideration a number of Mereo Shares equal to the quotient of the aggregate exercise price applicable to the relevant OncoMed Option, divided by $3.29.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Units</w:t>
      </w:r>
    </w:p>
    <w:p>
      <w:pPr>
        <w:spacing w:after="0" w:line="9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Merger Agreement further provides that, as of immediately prior to the Effective Time and contingent on the occurrence of the Closing, each OncoMed Unit will be canceled and the holders thereof will be entitled to receive the number of shares of OncoMed common stock that were subject to such OncoMed Units and such stockholders will thereafter be entitled to receive the Merger Consideration in respect of these shares of OncoMed common stock. The tax withholding obligations for each holder receiving shares of OncoMed common stock in connection with the cancellation of such holder’s OncoMed Units will be satisfied by OncoMed withholding from issuance that number of shares of OncoMed common stock calculated by multiplying the maximum statutory withholding rate for such holder in connection with such issuance by the number of shares of OncoMed common stock to be issued (rounded up to the nearest whole share) and remitting such withholding in cash to the appropriate tax authority. No OncoMed Units will remain outstanding following the consummation of the Merger.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ESPP</w:t>
      </w:r>
    </w:p>
    <w:p>
      <w:pPr>
        <w:spacing w:after="0" w:line="12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Merger Agreement provides that the OncoMed 2013 Employee Stock Purchase Plan (the “OncoMed ESPP”) will be terminated immediately prior to the Effective Time. The offering period in progress as of December 5, 2018 will be the final offering period under the OncoMed ESPP. Any options under the OncoMed ESPP are required to be exercised on the earlier of (1) the scheduled purchase date for such offering period and (2) the tenth business day prior to the Closing. No individuals who were not participating in the OncoMed ESPP as of December 5, 2018 have been or will be permitted to commence participation since such date, and no participants in the OncoMed ESPP have been or will be permitted to increase their payroll deductions from those in effect as of such date.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Closing and Effective Time</w:t>
      </w:r>
    </w:p>
    <w:p>
      <w:pPr>
        <w:spacing w:after="0" w:line="126"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parties are obligated to effect the Merger only if all of the conditions to the closing of the Merger under the Merger Agreement are either satisfied or waived at or prior to the Effective Time.</w:t>
      </w:r>
    </w:p>
    <w:p>
      <w:pPr>
        <w:spacing w:after="0" w:line="197" w:lineRule="exact"/>
        <w:rPr>
          <w:sz w:val="20"/>
          <w:szCs w:val="20"/>
          <w:color w:val="auto"/>
        </w:rPr>
      </w:pPr>
    </w:p>
    <w:p>
      <w:pPr>
        <w:ind w:left="200" w:right="500" w:firstLine="331"/>
        <w:spacing w:after="0"/>
        <w:rPr>
          <w:sz w:val="20"/>
          <w:szCs w:val="20"/>
          <w:color w:val="auto"/>
        </w:rPr>
      </w:pPr>
      <w:r>
        <w:rPr>
          <w:rFonts w:ascii="Arial" w:cs="Arial" w:eastAsia="Arial" w:hAnsi="Arial"/>
          <w:sz w:val="18"/>
          <w:szCs w:val="18"/>
          <w:color w:val="auto"/>
        </w:rPr>
        <w:t>The Merger will become effective at such time as the Certificate of Merger is duly filed with the Secretary of State of the State of Delaware on the date of the closing of the Merger, or at such subsequent date or time as OncoMed and Mereo and specify in the Certificate of Merger.</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In the Merger Agreement, Mereo and OncoMed have agreed that the date of the closing of the Merger shall be no later than the second business day following the satisfaction or waiver of the last of the conditions to the closing of the Merger (other than those conditions that by their nature are to be satisfied at the closing of the Merger, but subject to the satisfaction or waiver of those conditions), or at such other date and time as OncoMed and Mereo agree in writing.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currently anticipated that the Effective Time will occur during the first half of 2019.</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Shares</w:t>
      </w:r>
    </w:p>
    <w:p>
      <w:pPr>
        <w:spacing w:after="0" w:line="126"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conversion of each share of OncoMed common stock into the right to receive the Merger Consideration will occur automatically at the Effective Time. Mereo has engaged Citibank, N.A. to act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as exchange agent (the “Exchange Agent”) to distribute the Share Consideration and to perform other duties pursuant to the Merger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 Letter of Transmittal</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At the Effective Time, Mereo shall (1) allot, issue and deposit with the depositary (or its designee), or any successor depositary thereto, for the benefit of the holders of shares of OncoMed common stock, a number of Mereo Shares equal to the aggregate number of Mereo ADSs to be issued as Share Consideration and (2) the depositary shall issue the Mereo ADSs representing such Mereo Shares in accordance with the Merger Agreement and the deposit agreement.</w:t>
      </w:r>
    </w:p>
    <w:p>
      <w:pPr>
        <w:spacing w:after="0" w:line="202"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Promptly after the Effective Time, the parties to the Merger Agreement shall cause the Exchange Agent to send a letter of transmittal to each record holder of shares of OncoMed common stock. This mailing will contain instructions on how to surrender such holder’s stock certificates representing such shares of OncoMed common stock in exchange for the Merger Consideration. Upon surrender of such holder’s stock certificates, together with a duly executed letter of transmittal and any other documents as may reasonably be required by the Exchange Agent or Mereo, the holder of shares of OncoMed common stock will be entitled to receive the Merger Consideration in the form of (1) the number of whole book-entry Mereo ADSs and (2) the number of CVRs, in each case that such holder is entitled to receive as a result of the Merger. Until surrendered, each stock certificate representing shares of OncoMed common stock shall be deemed, from and after the Effective Time, to represent only the right to receive the Merger Consideration.</w:t>
      </w:r>
    </w:p>
    <w:p>
      <w:pPr>
        <w:spacing w:after="0" w:line="208"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any stock certificate representing shares of OncoMed common stock has been lost, stolen or destroyed, Mereo may, in its discretion and as a condition precedent to the delivery of any Mereo ADSs or CVRs, require the owner of such lost, stolen or destroyed stock certificate to provide an affidavit with respect to such stock certificate and post a bond indemnifying Mereo against any claim suffered by Mereo related to the lost, stolen or destroyed stock certificate or any Mereo ADSs or CVRs issued in exchange therefor as Mereo may reasonably request.</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No dividends or other distributions declared or made with respect to Mereo ADSs, or Mereo Shares underlying such Mereo ADSs, with a record date after the Effective Time shall be paid to the holder of any unsurrendered stock certificate representing shares of OncoMed common stock until such holder surrenders such stock certificate or provides an affidavit of loss or destruction in lieu thereof (at which time such holder shall be entitled, subject to the effect of applicable abandoned property, escheat or similar laws, to receive all such dividends and distributions, without interest).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OncoMed common stock held by a record holder or beneficial owner who does not vote in favor of adoption of the Merger Agreement or consent in writing to adoption of the Merger Agreement, who is statutorily entitled to exercise appraisal rights and who duly complies exactly with all provisions of Section 262 of the DGCL concerning the right of holders of OncoMed common stock to seek appraisal of their shares of OncoMed common stock will not be converted into a right to receive the Merger Consideration, but instead will be entitled only to such rights as are granted by Section 262 of the DGCL.</w:t>
      </w:r>
    </w:p>
    <w:p>
      <w:pPr>
        <w:spacing w:after="0" w:line="203"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If a holder of shares of OncoMed common stock does not vote in favor of, nor consent in writing to, the Merger Proposal, properly demands appraisal and otherwise complies with applicable Delaware law and does not effectively withdraw his, her or its demand for, or lose the right to, appraisal of such OncoMed common stock in compliance with Section 262 of the DGCL, such shares will not be converted into the right to receive the Merger Consideration as described under “—Merger Consideration,” but instead, at the effective time of the Merger, will become entitled only to payment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fair value of such shares determined in accordance with applicable Delaware law. However, if any such holder votes in favor of, or consents in writing to, the Merger Proposal, fails to properly demand appraisal, fails to comply with applicable Delaware law, or otherwise waives, withdraws or loses the right to payment of the fair value of such dissenting shares under applicable Delaware law, then the right of such holder to be paid the fair value of such holder’s dissenting shares will cease and such dissenting shares will be deemed to have been converted as of the effective time of the Merger into, and to have become exchangeable solely for the right to receive, without interest or duplication, the Merger Consideration with respect to such shares.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additional information about appraisal rights upon completion of the Merger, see “The Merger—Appraisal Rights.”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w:t>
      </w:r>
    </w:p>
    <w:p>
      <w:pPr>
        <w:spacing w:after="0" w:line="99"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Each of the Exchange Agent, Mereo and OncoMed, as the surviving corporation, will be entitled to deduct and withhold from any consideration payable pursuant to the Merger Agreement such amounts as are required to be deducted or withheld from such consideration under applicable law. To the extent such amounts are so deducted or withheld, and remitted to the appropriate tax authority, such amounts shall be treated for all purposes under the Merger Agreement as having been paid to the person to whom such amounts would otherwise have been paid.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Distributions</w:t>
      </w:r>
    </w:p>
    <w:p>
      <w:pPr>
        <w:spacing w:after="0" w:line="85"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The Merger Agreement provides during the period commencing on December 5, 2018 and continuing until the earlier to occur of the termination of the Merger Agreement and the Effective Time, neither OncoMed nor Mereo may declare, accrue, set aside or pay any dividends or make any other distribution in respect of any shares of their respective capital stock, or repurchase, redeem or otherwise reacquire any shares of their respective capital stock or other securities (except for (1) any shares of terminated employees, directors or consultants, or (2) in connection with the vesting or exercise of any outstanding option, to cover the applicable exercise price or taxes thereon). Neither OncoMed nor Mereo currently pays regular dividends.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 of Mereo, Merger Sub and OncoMed</w:t>
      </w:r>
    </w:p>
    <w:p>
      <w:pPr>
        <w:spacing w:after="0" w:line="85" w:lineRule="exact"/>
        <w:rPr>
          <w:sz w:val="20"/>
          <w:szCs w:val="20"/>
          <w:color w:val="auto"/>
        </w:rPr>
      </w:pPr>
    </w:p>
    <w:p>
      <w:pPr>
        <w:ind w:left="200" w:right="400" w:firstLine="331"/>
        <w:spacing w:after="0" w:line="238" w:lineRule="auto"/>
        <w:rPr>
          <w:sz w:val="20"/>
          <w:szCs w:val="20"/>
          <w:color w:val="auto"/>
        </w:rPr>
      </w:pPr>
      <w:r>
        <w:rPr>
          <w:rFonts w:ascii="Arial" w:cs="Arial" w:eastAsia="Arial" w:hAnsi="Arial"/>
          <w:sz w:val="18"/>
          <w:szCs w:val="18"/>
          <w:color w:val="auto"/>
        </w:rPr>
        <w:t>The Merger Agreement contains representations and warranties made by Mereo, Merger Sub and OncoMed to, and solely for the benefit of, each other. You should not rely on the representations and warranties in the Merger Agreement as characterizations of the actual state of facts relating to Mereo or OncoMed and should instead read the information provided elsewhere in this proxy statement/prospectus and in the documents that are incorporated by reference into this proxy statement/prospectus for information regarding Mereo and OncoMed and their respective businesses.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Merger Agreement contains customary representations and warranties made by Mereo, Merger Sub and OncoMed relating to their respective businesses regarding, among other things:</w:t>
      </w:r>
    </w:p>
    <w:p>
      <w:pPr>
        <w:spacing w:after="0" w:line="188" w:lineRule="exact"/>
        <w:rPr>
          <w:sz w:val="20"/>
          <w:szCs w:val="20"/>
          <w:color w:val="auto"/>
        </w:rPr>
      </w:pPr>
    </w:p>
    <w:p>
      <w:pPr>
        <w:ind w:left="960" w:hanging="432"/>
        <w:spacing w:after="0"/>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corporate matters, including organization and power to conduct business, good standing and qualifications and subsidiaries;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organizational documents;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corporate authorizations and approvals relative to execution, delivery and performance of the Merger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requisite vote of stockholders and shareholders;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contraventions or conflicts with organizational documents as a result of the Merger;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capitalization;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6"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reports and financial statements, including their preparation in accordance with U.S. GAAP or IFRS, as the case may be, filing or furnishing with the relevant governmental entities or regulatory authorities, and compliance with the relevant laws and regulations, and that such reports and financial statements fairly present, in all material respects, the relevant financial position and results of operations;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maintenance of disclosure controls and procedures and internal control over financial reporting;</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certain changes since September 19, 2018, with respect to OncoMed and its subsidiaries, and June 30, 2018 with respect to Mereo and its subsidiaries, that have had or would reasonably be expected to have, individually or in the aggregate, a material adverse effect;</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undisclosed liabilities;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title to assets;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title and rights to real property;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ownership of or right to intellectual property, and absence of infringement;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and compliance with material contracts;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laws and government regulations, including drug regulatory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possession of material permits and compliance with their terms;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certain material litigation, claims and 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preparation and timely filing of taxes and the accuracy and completeness of certain tax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applicable laws related to employee benefits and the Employment Retirement Income Security Act;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employee benefit plans;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collective bargaining agreements and other employment and labor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applicable environmental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and maintenance of insurance;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undisclosed investment banker, broker or finder fees payable in connection with the Merger;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related party transactions; and</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Mereo, the valid allotment and issuance of the Mereo Shares underlying the Mereo ADSs to be allotted and issued at Closing.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representations and warranties in the Merger Agreement do not survive the Effective Time.</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Each of Mereo’s, Merger Sub’s and OncoMed’s representations and warranties are qualified by the information included in confidential disclosure schedules delivered concurrently with the execution of the Merger Agreement on December 5, 2018.</w:t>
      </w:r>
    </w:p>
    <w:p>
      <w:pPr>
        <w:spacing w:after="0" w:line="19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Many of the representations and warranties made by each of Mereo, Merger Sub and OncoMed are qualified by a “material adverse effect” standard (that is, they will not be deemed untrue or incorrect unless their failure to be true or correct, individually or in the aggregate, has had or would reasonably be expected to have a material adverse effect). Certain of the representations and warranties are qualified by a general materiality standard or by a knowledge standard. For the purpose of the Merger Agreement, a “material adverse effect” has the meaning set forth below under “—Material Adverse Effect.”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Adverse Effect</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Merger Agreement provides that a “material adverse effect” means any effect, change, event, circumstance or development that, considered together with all other effects, changes, events, circumstances or developments that have occurred prior to the date of determining the occurrence of such a material adverse effect, has or would or would reasonably be expected to have a material adverse effect on the business, financial condition, assets, liabilities or results of operations of Mereo and its subsidiaries, taken as a whole, or OncoMed, as the case may be. When determining whether a material adverse effect has occurred, none of the following may be taken into account:</w:t>
      </w:r>
    </w:p>
    <w:p>
      <w:pPr>
        <w:spacing w:after="0" w:line="232" w:lineRule="exact"/>
        <w:rPr>
          <w:sz w:val="20"/>
          <w:szCs w:val="20"/>
          <w:color w:val="auto"/>
        </w:rPr>
      </w:pPr>
    </w:p>
    <w:p>
      <w:pPr>
        <w:ind w:left="960" w:right="18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rejection or non-acceptance by a governmental authority of a registration statement or filing by Mereo or OncoMed, as the case may be, relating to intellectual property rights;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announcement of the Merger Agreement or the pendency of the transactions contemplated thereby;</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change in the share price or trading volume of Mereo Shares or shares of OncoMed common stock, as the case may be (it being understood, however, that any effect, change, event, circumstance or development causing or contributing to any change in the share price or trading volume of shares may be taken into account in determining whether a material adverse effect has occurred, unless such effect, change, event, circumstance or development is otherwise excepted from this definition of material adverse effect);</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taking of any action, or the failure to take any action, by Mereo or OncoMed, as the case may be, that is required to comply with the terms of the Merger Agreement or the taking of any action expressly permitted pursuant to the relevant disclosure schedule provided by each of Mereo and OncoMed to the other concurrently with the execution of the Merger Agreement;</w:t>
      </w:r>
    </w:p>
    <w:p>
      <w:pPr>
        <w:spacing w:after="0" w:line="28"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28"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change in IFRS (in the case of Mereo) or U.S. GAAP (in the case of OncoMed) or applicable law or the interpretation thereof;</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economic or political conditions or conditions generally affecting the industries in which Mereo and its subsidiaries, or OncoMed, as the case may be, operate; or</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Mereo only, any change in the cash position of Mereo and its subsidiaries which results from operations in the ordinary course of business;</w:t>
      </w:r>
    </w:p>
    <w:p>
      <w:pPr>
        <w:spacing w:after="0" w:line="20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except, in the case of the effects, changes, events, circumstances or developments referred to in the fifth, sixth and seventh bullets in the immediately preceding list, to the extent disproportionately affecting Mereo and its subsidiaries, taken as a whole, or OncoMed, as the case may be, relative to other similarly situated companies in the industries in which Mereo and its subsidiaries, or OncoMed, as applicable, operate.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OncoMed’s Business Pending the Closing</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OncoMed has agreed that, except as (i) expressly contemplated or permitted by the Merger Agreement, (ii) required by applicable law or (iii) consented to by Mereo in writing (which consent shall not be unreasonably withheld, delayed or conditioned), it will, in the period prior to Closing, (1) conduct its business and operations in the ordinary course of business consistent with past practices and with all applicable law and the requirements of its material contracts and (2) take certain actions, and refrain from taking certain actions, as set forth in a confidential disclosure schedule provided to Mereo at the time of the execution of the Merger Agreement.</w:t>
      </w:r>
    </w:p>
    <w:p>
      <w:pPr>
        <w:spacing w:after="0" w:line="203"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In particular, and except (i) as expressly contemplated or permitted by the Merger Agreement, (ii) as set forth in a confidential disclosure schedule provided to Mereo at the time of the execution of</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80"/>
        <w:spacing w:after="0" w:line="275" w:lineRule="auto"/>
        <w:rPr>
          <w:sz w:val="20"/>
          <w:szCs w:val="20"/>
          <w:color w:val="auto"/>
        </w:rPr>
      </w:pPr>
      <w:r>
        <w:rPr>
          <w:rFonts w:ascii="Arial" w:cs="Arial" w:eastAsia="Arial" w:hAnsi="Arial"/>
          <w:sz w:val="17"/>
          <w:szCs w:val="17"/>
          <w:color w:val="auto"/>
        </w:rPr>
        <w:t>the Merger Agreement, (iii) as required by applicable law or (iv) with the prior written consent of Mereo (which consent shall not be unreasonably withheld, delayed or conditioned), OncoMed has agreed to certain restrictions on its ability to, among other things:</w:t>
      </w:r>
    </w:p>
    <w:p>
      <w:pPr>
        <w:spacing w:after="0" w:line="200" w:lineRule="exact"/>
        <w:rPr>
          <w:sz w:val="20"/>
          <w:szCs w:val="20"/>
          <w:color w:val="auto"/>
        </w:rPr>
      </w:pPr>
    </w:p>
    <w:p>
      <w:pPr>
        <w:ind w:left="960" w:hanging="432"/>
        <w:spacing w:after="0" w:line="226"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declare, accrue, set aside or pay any dividends or make any other distribution in respect of any shares of OncoMed capital stock, or repurchase, redeem or otherwise reacquire any shares of such stock or other securities (except for (1) any shares of terminated employees, directors or consultants, or (2) in connection with the vesting or exercise of any outstanding option, to cover the applicable exercise price or taxes thereon);</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 its organizational documents, or effect or be a party to any merger, consolidation, share exchange, business combination, recapitalization, reclassification of shares, stock split, reverse stock split or similar transaction except, for the avoidance of doubt, in connection with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issue, grant, pledge or otherwise dispose of or encumber or authorize any of the foregoing actions with respect to (1) any share of capital stock or other security of OncoMed (except for shares issued upon the valid exercise of OncoMed Options), (2) any option, warrant or right to acquire any capital stock or any other security, or (3) any instrument convertible into or exchangeable for any capital stock or other security of OncoMed;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27" w:lineRule="exact"/>
        <w:rPr>
          <w:rFonts w:ascii="MS PGothic" w:cs="MS PGothic" w:eastAsia="MS PGothic" w:hAnsi="MS PGothic"/>
          <w:sz w:val="25"/>
          <w:szCs w:val="25"/>
          <w:color w:val="auto"/>
          <w:vertAlign w:val="superscript"/>
        </w:rPr>
      </w:pPr>
    </w:p>
    <w:p>
      <w:pPr>
        <w:jc w:val="both"/>
        <w:ind w:left="960" w:right="600" w:hanging="432"/>
        <w:spacing w:after="0" w:line="229" w:lineRule="auto"/>
        <w:tabs>
          <w:tab w:leader="none" w:pos="960" w:val="left"/>
        </w:tabs>
        <w:numPr>
          <w:ilvl w:val="0"/>
          <w:numId w:val="94"/>
        </w:numPr>
        <w:rPr>
          <w:rFonts w:ascii="MS PGothic" w:cs="MS PGothic" w:eastAsia="MS PGothic" w:hAnsi="MS PGothic"/>
          <w:sz w:val="24"/>
          <w:szCs w:val="24"/>
          <w:color w:val="auto"/>
          <w:vertAlign w:val="superscript"/>
        </w:rPr>
      </w:pPr>
      <w:r>
        <w:rPr>
          <w:rFonts w:ascii="Arial" w:cs="Arial" w:eastAsia="Arial" w:hAnsi="Arial"/>
          <w:sz w:val="17"/>
          <w:szCs w:val="17"/>
          <w:color w:val="auto"/>
        </w:rPr>
        <w:t>lend money to any person, incur or guarantee any indebtedness for borrowed money, other than in the ordinary course of business, guarantee any debt securities of others, or make any capital expenditure or commitment in excess of $200,000;</w:t>
      </w:r>
    </w:p>
    <w:p>
      <w:pPr>
        <w:spacing w:after="0" w:line="27" w:lineRule="exact"/>
        <w:rPr>
          <w:rFonts w:ascii="MS PGothic" w:cs="MS PGothic" w:eastAsia="MS PGothic" w:hAnsi="MS PGothic"/>
          <w:sz w:val="24"/>
          <w:szCs w:val="24"/>
          <w:color w:val="auto"/>
          <w:vertAlign w:val="superscript"/>
        </w:rPr>
      </w:pPr>
    </w:p>
    <w:p>
      <w:pPr>
        <w:ind w:left="960" w:right="60" w:hanging="432"/>
        <w:spacing w:after="0" w:line="241" w:lineRule="auto"/>
        <w:tabs>
          <w:tab w:leader="none" w:pos="960" w:val="left"/>
        </w:tabs>
        <w:numPr>
          <w:ilvl w:val="0"/>
          <w:numId w:val="94"/>
        </w:numPr>
        <w:rPr>
          <w:rFonts w:ascii="MS PGothic" w:cs="MS PGothic" w:eastAsia="MS PGothic" w:hAnsi="MS PGothic"/>
          <w:sz w:val="24"/>
          <w:szCs w:val="24"/>
          <w:color w:val="auto"/>
          <w:vertAlign w:val="superscript"/>
        </w:rPr>
      </w:pPr>
      <w:r>
        <w:rPr>
          <w:rFonts w:ascii="Arial" w:cs="Arial" w:eastAsia="Arial" w:hAnsi="Arial"/>
          <w:sz w:val="17"/>
          <w:szCs w:val="17"/>
          <w:color w:val="auto"/>
        </w:rPr>
        <w:t>except as required by an OncoMed employee benefit plan as in effect on the date of the Merger Agreement, (1) adopt, establish or enter into any OncoMed employee benefit plan, collective bargaining agreement or other contract with a labor organization representing any director, officer, employee or consultant of OncoMed, (2) cause or permit any OncoMed employee benefit plan to be amended or terminated, (3) increase the compensation or benefits provided to any director, officer, employee or consultant of OncoMed, (4) grant any severance, retention or termination pay to, enter into or amend any severance, retention, termination, employment, consulting, bonus, change in control or severance agreement with, or pay any bonus, incentive or similar payment to, any director, officer, employee or consultant of OncoMed, (5) grant any equity or equity-based awards to, or discretionarily accelerate the vesting or payment of any such awards held by, any director, officer, employee or consultant of OncoMed, or</w:t>
      </w:r>
    </w:p>
    <w:p>
      <w:pPr>
        <w:spacing w:after="0" w:line="3" w:lineRule="exact"/>
        <w:rPr>
          <w:rFonts w:ascii="MS PGothic" w:cs="MS PGothic" w:eastAsia="MS PGothic" w:hAnsi="MS PGothic"/>
          <w:sz w:val="24"/>
          <w:szCs w:val="24"/>
          <w:color w:val="auto"/>
          <w:vertAlign w:val="superscript"/>
        </w:rPr>
      </w:pPr>
    </w:p>
    <w:p>
      <w:pPr>
        <w:ind w:left="96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(6) hire any director, officer, employee or consultant;</w:t>
      </w:r>
    </w:p>
    <w:p>
      <w:pPr>
        <w:spacing w:after="0" w:line="9"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any material transaction outside the ordinary course of business;</w:t>
      </w:r>
    </w:p>
    <w:p>
      <w:pPr>
        <w:spacing w:after="0" w:line="26"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assign, transfer, license, sublicense or otherwise dispose of, abandon or permit to lapse, fail to take any action to maintain, enforce or protect, or create any encumbrance (other than permitted encumbrances) on, any material OncoMed intellectual property rights (other than pursuant to non-exclusive licenses in the ordinary course of business);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OncoMed, take or omit to take any action outside the ordinary course of business;</w:t>
      </w:r>
    </w:p>
    <w:p>
      <w:pPr>
        <w:ind w:left="960" w:hanging="432"/>
        <w:spacing w:after="0" w:line="230"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amend or terminate any material contract;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23"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materially change pricing or royalties or other payments set or charged by OncoMed to its customers or licensees, or agree to materially change pricing or royalties or other payments set or charged by persons who have licensed intellectual property to OncoMed; or</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agree, resolve or commit to do any of the foregoing.</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Without limiting the generality of the foregoing, except (i) as required by applicable law or (ii) with the prior written consent of Mereo (which consent may be withheld in Mereo’s sole discretion), from the Delivery Date to the Effective Time, OncoMed is not permitted to take or omit to take any action resulting in, or reasonably likely to result in, OncoMed’s actual net cash balance deviating by more than $100,000 from the projections detailed in the net cash calculation as of the Effective Time.</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These restrictions, which are subject to various exceptions and qualifications agreed by Mereo and OncoMed, are described in more detail in the Merger Agreement. In addition, some of the restrictions on OncoMed’s business are qualified by confidential disclosures made by OncoMed to Mereo.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Mereo’s Business Pending the Closing</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has agreed that, except as (i) expressly contemplated or permitted by the Merger Agreement, (ii) required by applicable law or</w:t>
      </w:r>
    </w:p>
    <w:p>
      <w:pPr>
        <w:ind w:left="200" w:right="260" w:firstLine="4"/>
        <w:spacing w:after="0"/>
        <w:tabs>
          <w:tab w:leader="none" w:pos="4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consented to by OncoMed in writing (which consent shall not be unreasonably withheld, delayed or conditioned), it will, in the period prior to Closing, conduct its business and operations in the ordinary course of business consistent with past practices and with all applicable law and the requirements of its material contracts.</w:t>
      </w:r>
    </w:p>
    <w:p>
      <w:pPr>
        <w:spacing w:after="0" w:line="203" w:lineRule="exact"/>
        <w:rPr>
          <w:sz w:val="20"/>
          <w:szCs w:val="20"/>
          <w:color w:val="auto"/>
        </w:rPr>
      </w:pPr>
    </w:p>
    <w:p>
      <w:pPr>
        <w:ind w:left="200" w:right="480" w:firstLine="331"/>
        <w:spacing w:after="0" w:line="234" w:lineRule="auto"/>
        <w:rPr>
          <w:sz w:val="20"/>
          <w:szCs w:val="20"/>
          <w:color w:val="auto"/>
        </w:rPr>
      </w:pPr>
      <w:r>
        <w:rPr>
          <w:rFonts w:ascii="Arial" w:cs="Arial" w:eastAsia="Arial" w:hAnsi="Arial"/>
          <w:sz w:val="18"/>
          <w:szCs w:val="18"/>
          <w:color w:val="auto"/>
        </w:rPr>
        <w:t>In particular, and except (i) as expressly contemplated or permitted by the Merger Agreement, (ii) as set forth in a confidential disclosure schedule provided to OncoMed at the time of the execution of the Merger Agreement, (iii) as required by applicable law or</w:t>
      </w:r>
    </w:p>
    <w:p>
      <w:pPr>
        <w:spacing w:after="0" w:line="2" w:lineRule="exact"/>
        <w:rPr>
          <w:sz w:val="20"/>
          <w:szCs w:val="20"/>
          <w:color w:val="auto"/>
        </w:rPr>
      </w:pPr>
    </w:p>
    <w:p>
      <w:pPr>
        <w:ind w:left="200" w:right="420" w:firstLine="4"/>
        <w:spacing w:after="0" w:line="246"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the prior written consent of OncoMed (which consent shall not be unreasonably withheld, delayed or conditioned), Mereo has agreed to certain restrictions on its ability to, among other things:</w:t>
      </w:r>
    </w:p>
    <w:p>
      <w:pPr>
        <w:spacing w:after="0" w:line="223" w:lineRule="exact"/>
        <w:rPr>
          <w:rFonts w:ascii="Arial" w:cs="Arial" w:eastAsia="Arial" w:hAnsi="Arial"/>
          <w:sz w:val="18"/>
          <w:szCs w:val="18"/>
          <w:color w:val="auto"/>
        </w:rPr>
      </w:pPr>
    </w:p>
    <w:p>
      <w:pPr>
        <w:ind w:left="960" w:right="60" w:hanging="432"/>
        <w:spacing w:after="0" w:line="226"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declare, accrue, set aside or pay any dividends or make any other distribution in respect of any shares of Mereo capital stock, or repurchase, redeem or otherwise reacquire any shares of such stock or other securities (except for (1) any shares of terminated employees, directors or consultants, or (2) in connection with the vesting or exercise of any outstanding option, to cover the applicable exercise price or taxes thereon);</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26"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issue, grant, pledge or otherwise dispose of or encumber or authorize the issuance of (1) any share or other security of Mereo (except for Mereo Shares issued upon the valid exercise of outstanding options), (2) any option, warrant or right to acquire any share capital or any other security, or (3) any instrument convertible into or exchangeable for any share capital or other security;</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 its organizational documents, or effect or be a party to any merger, consolidation, share exchange, business combination, recapitalization, reclassification of shares, stock split, reverse stock split or similar transaction except, for the avoidance of doubt, in connection with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lend money to any person, incur or guarantee any indebtedness for borrowed money, other than in the ordinary course of business, guarantee any debt securities of others, or make any capital expenditure or commitment other than in the ordinary course of business;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any material transaction outside the ordinary course of business;</w:t>
      </w:r>
    </w:p>
    <w:p>
      <w:pPr>
        <w:spacing w:after="0" w:line="26"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1"/>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8"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OncoMed, take or omit to take any action outside the ordinary course of business;</w:t>
      </w:r>
    </w:p>
    <w:p>
      <w:pPr>
        <w:ind w:left="960" w:hanging="432"/>
        <w:spacing w:after="0" w:line="230"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enter into any material amendment to or terminate any material contract;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agree, resolve or commit to do any of the foregoing.</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These restrictions, which are subject to various exceptions and qualifications agreed by Mereo and OncoMed, are described in more detail in the Merger Agreement. In addition, some of the restrictions on Mereo’s business are qualified by confidential disclosures made by Mereo to OncoMed.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Not to Solicit Other Offers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Subject to the exceptions described below and in the Merger Agreement, each of Mereo and OncoMed has agreed, among other things, that it will not, directly or indirectly:</w:t>
      </w:r>
    </w:p>
    <w:p>
      <w:pPr>
        <w:spacing w:after="0" w:line="224" w:lineRule="exact"/>
        <w:rPr>
          <w:sz w:val="20"/>
          <w:szCs w:val="20"/>
          <w:color w:val="auto"/>
        </w:rPr>
      </w:pPr>
    </w:p>
    <w:p>
      <w:pPr>
        <w:ind w:left="960" w:hanging="432"/>
        <w:spacing w:after="0" w:line="223"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initiate or knowingly encourage, induce or facilitate the communication, making, submission or announcement of any proposal or offer that constitutes, or would reasonably be expected to result in, an acquisition proposal or acquisition inquiry from any third party;</w:t>
      </w:r>
    </w:p>
    <w:p>
      <w:pPr>
        <w:spacing w:after="0" w:line="28"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furnish any non-public information regarding the other party to any person in connection with or in response to, or engage in discussions or negotiations with any person with respect to, any proposal or offer that constitutes, or would reasonably be expected to result in, any acquisition proposal or acquisition inquiry;</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approve, endorse or recommend any acquisition proposal; or</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6"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execute or enter into any letter of intent or any acquisition agreement, merger agreement or similar definitive agreement (other than a confidentiality agreement containing provisions (including nondisclosure provisions, use restrictions, non-solicitation provisions and no hire provisions) at least as favorable to such party as those contained in the existing confidentiality agreement between OncoMed and Mereo) relating to an acquisition proposal.</w:t>
      </w:r>
    </w:p>
    <w:p>
      <w:pPr>
        <w:spacing w:after="0" w:line="203"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Each of Mereo and OncoMed has further agreed (1) subject to any regulatory obligations of such party under applicable law, to promptly advise the other party orally and in writing upon receipt of any acquisition proposal or acquisition inquiry, and (2) to cease any discussions, negotiations or communications with any person with respect to any acquisition proposal as of the date of the Merger Agreement.</w:t>
      </w:r>
    </w:p>
    <w:p>
      <w:pPr>
        <w:spacing w:after="0" w:line="20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However, at any time prior to the approval and adoption of the Merger Agreement by OncoMed stockholders, in the case of OncoMed, or Mereo shareholders, in the case of Mereo, each party may furnish non-public information regarding such party and its subsidiaries to, and enter into discussions or negotiations with, any person in response to a bona fide written acquisition proposal which such party’s board of directors determines in good faith, after consultation with such party’s financial advisors and outside legal counsel, constitutes or is reasonably likely to result in a superior offer, provided that:</w:t>
      </w:r>
    </w:p>
    <w:p>
      <w:pPr>
        <w:spacing w:after="0" w:line="194" w:lineRule="exact"/>
        <w:rPr>
          <w:sz w:val="20"/>
          <w:szCs w:val="20"/>
          <w:color w:val="auto"/>
        </w:rPr>
      </w:pPr>
    </w:p>
    <w:p>
      <w:pPr>
        <w:ind w:left="960" w:hanging="432"/>
        <w:spacing w:after="0"/>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neither party nor any representative of such party has breached the obligations outlined above;</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board of directors of such party concludes in good faith having consulted with its outside legal counsel that the failure to take such action is reasonably likely to be inconsistent with the duties or obligations of the board of directors of such party under applicable law; and</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party receives from such third party an executed confidentiality agreement containing provisions (including nondisclosure provisions, use restrictions, non-solicitation provisions 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40"/>
        <w:spacing w:after="0" w:line="246" w:lineRule="auto"/>
        <w:rPr>
          <w:sz w:val="20"/>
          <w:szCs w:val="20"/>
          <w:color w:val="auto"/>
        </w:rPr>
      </w:pPr>
      <w:r>
        <w:rPr>
          <w:rFonts w:ascii="Arial" w:cs="Arial" w:eastAsia="Arial" w:hAnsi="Arial"/>
          <w:sz w:val="18"/>
          <w:szCs w:val="18"/>
          <w:color w:val="auto"/>
        </w:rPr>
        <w:t>no hire provisions) at least as favorable to such party as those contained in the existing confidentiality agreement between OncoMed and Mereo.</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In addition, (1) Mereo’s obligation not to solicit offers shall not require Mereo to take any action, or prevent Mereo from taking any action, which Mereo reasonably determines, having consulted with its outside legal counsel, would be inconsistent with or in breach of the U.K. City Code on Takeovers and Mergers (the “U.K. City Code”), and (2) OncoMed’s obligation not to solicit offers shall not require OncoMed to take any action, or prevent OncoMed from taking any action, which OncoMed reasonably determines, having consulted with its outside legal counsel, would be inconsistent with or in breach of OncoMed’s obligations under the DGCL.</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Merger Agreement provides that the term “acquisition proposal” means, with respect to any party to the Merger Agreement, an offer or proposal, whether written or oral (other than an offer or proposal made or submitted by or on behalf of OncoMed or any of its affiliates, on the one hand, or by or on behalf of Mereo or any of its affiliates, on the other hand, to the other party) contemplating or otherwise relating to any acquisition any transaction or series of related transactions involving: (a)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(b) any sale, lease, exchange, transfer, acquisition or disposition of any business or businesses or assets that constitute or account for 20% or more of the consolidated book value or the fair market value of the assets of a party and its subsidiaries, taken as a whole. For the avoidance of doubt, a licensing transaction will not be considered an “acquisition transaction.”</w:t>
      </w:r>
    </w:p>
    <w:p>
      <w:pPr>
        <w:spacing w:after="0" w:line="20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Merger Agreement provides that the term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Mereo Board or the OncoMed Board, as applicable, determines in good faith, based on such matters that it deems relevant (including the likelihood of consummation thereof and the financing terms thereof), as well as any written offer by the other party to the M Merger Agreement to amend the terms of the Merger Agreement, and following consultation with its outside legal counsel and financial advisors, if any, are more favorable, from a financial point of view, to Mereo’s shareholders or OncoMed’s stockholders, as applicable, than the terms of the transactions contemplated by the Merger Agreement and is not subject to any financing conditions (and if financing is required, such financing is then fully committed to the third party).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Board Recommendation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exceptions described below and in the Merger Agreement, OncoMed has agreed:</w:t>
      </w:r>
    </w:p>
    <w:p>
      <w:pPr>
        <w:spacing w:after="0" w:line="239" w:lineRule="exact"/>
        <w:rPr>
          <w:sz w:val="20"/>
          <w:szCs w:val="20"/>
          <w:color w:val="auto"/>
        </w:rPr>
      </w:pPr>
    </w:p>
    <w:p>
      <w:pPr>
        <w:ind w:left="960" w:right="280" w:hanging="432"/>
        <w:spacing w:after="0" w:line="218"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recommend that OncoMed’s stockholders vote to approve and adopt the Merger Agreement and the transactions contemplated thereby;</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not withdraw or modify the OncoMed Board Recommendation in any manner adverse to Mereo; and</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OncoMed Board or any committee thereof to withdraw or modify the OncoMed Board Recommendation in any manner adverse to Mereo or to adopt, approve 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recommend (or publicly propose to adopt, approve or recommend) any acquisition proposal shall be adopted or proposed.</w:t>
      </w:r>
    </w:p>
    <w:p>
      <w:pPr>
        <w:spacing w:after="0" w:line="212"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Notwithstanding the above, the OncoMed Board may make an OncoMed Adverse Recommendation Change (so long as OncoMed has provided prior written notice to Mereo of the OncoMed Board’s intention to make an OncoMed Adverse Recommendation Change within the Notice Period) if, and only if, following receipt of a superior offer:</w:t>
      </w:r>
    </w:p>
    <w:p>
      <w:pPr>
        <w:spacing w:after="0" w:line="230" w:lineRule="exact"/>
        <w:rPr>
          <w:sz w:val="20"/>
          <w:szCs w:val="20"/>
          <w:color w:val="auto"/>
        </w:rPr>
      </w:pPr>
    </w:p>
    <w:p>
      <w:pPr>
        <w:ind w:left="960" w:hanging="432"/>
        <w:spacing w:after="0" w:line="223"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and has caused its financial advisors and outside legal counsel to, during the Notice Period, negotiate with Mereo in good faith to make such adjustments to the terms and conditions of the Merger Agreement so that such acquisition proposal ceases to constitute a superior offer; and</w:t>
      </w:r>
    </w:p>
    <w:p>
      <w:pPr>
        <w:spacing w:after="0" w:line="69"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shall have determined in good faith, having consulted with its outside legal counsel, that the failure to withhold, amend, withdraw or modify the OncoMed Board Recommendation would result in a breach of its fiduciary duties under applicable law.</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Board Recommendation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exceptions described below and in the Merger Agreement, Mereo has agreed:</w:t>
      </w:r>
    </w:p>
    <w:p>
      <w:pPr>
        <w:spacing w:after="0" w:line="239" w:lineRule="exact"/>
        <w:rPr>
          <w:sz w:val="20"/>
          <w:szCs w:val="20"/>
          <w:color w:val="auto"/>
        </w:rPr>
      </w:pPr>
    </w:p>
    <w:p>
      <w:pPr>
        <w:ind w:left="960" w:right="18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if a vote of Mereo’s shareholders is required, the Mereo Board will recommend that Mereo’s shareholders vote to approve and adopt the Merger Agreement and the transactions contemplated thereby;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Mereo Board will not withdraw or modify the Mereo Board Recommendation in any manner adverse to OncoMed;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Mereo Board or any committee thereof to withdraw or modify the Mereo Board Recommendation in any manner adverse to OncoMed or to adopt, approve or recommend (or publicly propose to adopt, approve or recommend) any acquisition proposal shall be adopted or proposed.</w:t>
      </w:r>
    </w:p>
    <w:p>
      <w:pPr>
        <w:spacing w:after="0" w:line="204"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Notwithstanding the above, the Mereo Board may make a Mereo Adverse Recommendation Change (so long as Mereo has provided prior written notice to OncoMed of the Mereo Board’s intention to make a Mereo Adverse Recommendation Change at least four business days in advance of taking such action) if, and only if, following receipt of a superior offer:</w:t>
      </w:r>
    </w:p>
    <w:p>
      <w:pPr>
        <w:spacing w:after="0" w:line="230" w:lineRule="exact"/>
        <w:rPr>
          <w:sz w:val="20"/>
          <w:szCs w:val="20"/>
          <w:color w:val="auto"/>
        </w:rPr>
      </w:pPr>
    </w:p>
    <w:p>
      <w:pPr>
        <w:ind w:left="960" w:right="10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has, and has requested its financial advisors and outside legal counsel to, during the Notice Period, negotiate with OncoMed in good faith to make such adjustments to the terms and conditions of the Merger Agreement so that such acquisition proposal ceases to constitute a superior offer; and</w:t>
      </w:r>
    </w:p>
    <w:p>
      <w:pPr>
        <w:spacing w:after="0" w:line="69"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Board shall have determined in good faith, having consulted with its outside legal counsel, that the failure to withhold, amend, withdraw or modify the Mereo Board Recommendation would result in a breach of its fiduciary duties under applicable law.</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Preparation of the Form F-4 and the Proxy Statement/Prospectus; OncoMed Special Meeting</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and OncoMed have agreed to jointly prepare and file with the SEC this proxy statement/prospectus (as part of the Form F-4) that includes (1) a prospectus for the allotment and issuance of the Mereo Shares in connection with the Merger and (2) a proxy statement of OncoMed for use in the solicitation of proxies for the OncoMed Special Meeting.</w:t>
      </w:r>
    </w:p>
    <w:p>
      <w:pPr>
        <w:spacing w:after="0" w:line="203"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OncoMed has agreed to use commercially reasonable efforts to cause this proxy statement/prospectus to be mailed to OncoMed’s stockholders as promptly as practicable following the date this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proxy statement/prospectus is declared effective under the Securities Act. OncoMed has agreed to call, give notice of, and hold the OncoMed Special Meeting for the purpose of obtaining the OncoMed Stockholder Approval as promptly as practicable following the date this proxy statement/prospectus is declared effective, and in any event no later than 45 days after the effective date of this proxy statement/prospectus.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has agreed to use commercially reasonable efforts to solicit the approval by its stockholders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Shareholder Meeting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agreed, should a meeting of its shareholders be considered by the Mereo Board to be necessary in connection with the Merger Agreement or the transactions contemplated thereby or otherwise required by applicable law, the depositary, or otherwise required in connection with the issuance or trading of the Mereo ADSs including (i) the issuance of the Mereo ADSs and the allotment and issuance of the Mereo Shares underlying the Mereo ADSs to be issued in the Merger, and (ii) the grant of the CVRs to OncoMed’s stockholders pursuant to the terms of the Merger Agreement, to take all action necessary under applicable law to call, give notice of and hold a meeting of the holders of Mereo Shares for the purpose of obtaining the Mereo Shareholder Approval. Mereo has agreed to hold such a meeting of its shareholders, if required, as promptly as practicable after this proxy statement/prospectus is declared effective, and in any event no later than 45 days after the effective date of this proxy statement/prospectus.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has agreed to use commercially reasonable efforts to solicit the approval by its shareholders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of Combined Company</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and Insurance</w:t>
      </w:r>
    </w:p>
    <w:p>
      <w:pPr>
        <w:spacing w:after="0" w:line="8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Mereo has agreed to, and has agreed to cause the surviving corporation to, indemnify and hold harmless, all present or former directors or officers of Mereo or OncoMed, respectively, or any person who becomes a director or officer of Mereo or OncoMed, respectively, prior to the Effective Time,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Mereo or of OncoMed, whether asserted or claimed prior to, at or after the Effective Time, in each case, to the fullest extent permitted under applicable law. Each indemnified director or officer will be entitled to advancement of expenses incurred in the defense of any such claim, action, suit, proceeding or investigation from each of Mereo and the surviving corporation, jointly and severally, upon receipt by Mereo or the surviving corporation from the indemnified director or officer of a request therefor; provided that any such person to whom expenses are advanced provides an undertaking to Mereo, to the extent then required by applicable law, to repay such advances if it is ultimately determined that such person is not entitled to indemnification.</w:t>
      </w:r>
    </w:p>
    <w:p>
      <w:pPr>
        <w:spacing w:after="0" w:line="206"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Merger Agreement provides that, from and after the Effective Time, Mereo shall maintain directors’ and officers’ liability insurance policies, with an effective date as of the date of the closing of the Merger, on commercially available terms and conditions and with coverage limits customary for public limited companies similarly situated to Mereo. In addition, OncoMed is required to purchase,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prior to the Effective Time, a six-year prepaid “D&amp;O tail policy” for the non-cancellable extension of the directors’ and officers’ liability coverage of OncoMed’s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OncoMed’s existing policies as of the date of the Merger Agreement with respect to any actual or alleged error, misstatement, misleading statement, act, omission, neglect, breach of duty or any matter claimed against a director or officer of OncoMed by reason of him or her serving in such capacity that existed or occurred at or prior to the Effective Time (including in connection with the Merger Agreement or the transactions contemplated thereby, or in connection with OncoMed’s initial public offering of shares of OncoMed common stock).</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also provides that the provisions of the articles of association of Mereo with respect to indemnification, advancement of expenses and exculpation of present and former directors and officers of Mereo that were set forth in the articles of association of Mereo as of December 5, 2018 shall not be amended, modified or repealed for a period of six years from the Effective Time in a manner that would adversely affect the rights thereunder of individuals who, at or prior to the Effective Time, were officers or directors of Mereo, unless such modification is required by applicable law. The certificate of incorporation and bylaws of the surviving corporation shall contain, and Mereo shall cause the certificate of incorporation and bylaws of the surviving corporation to so contain, provisions no less favorable with respect to indemnification, advancement of expenses and exculpation of present and former directors and officers as those set forth in the certificate of incorporation and bylaws of OncoMed as of December 5, 2018.</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Filings</w:t>
      </w:r>
    </w:p>
    <w:p>
      <w:pPr>
        <w:spacing w:after="0" w:line="99" w:lineRule="exact"/>
        <w:rPr>
          <w:sz w:val="20"/>
          <w:szCs w:val="20"/>
          <w:color w:val="auto"/>
        </w:rPr>
      </w:pPr>
    </w:p>
    <w:p>
      <w:pPr>
        <w:ind w:left="200" w:right="40" w:firstLine="331"/>
        <w:spacing w:after="0" w:line="252" w:lineRule="auto"/>
        <w:rPr>
          <w:sz w:val="20"/>
          <w:szCs w:val="20"/>
          <w:color w:val="auto"/>
        </w:rPr>
      </w:pPr>
      <w:r>
        <w:rPr>
          <w:rFonts w:ascii="Arial" w:cs="Arial" w:eastAsia="Arial" w:hAnsi="Arial"/>
          <w:sz w:val="17"/>
          <w:szCs w:val="17"/>
          <w:color w:val="auto"/>
        </w:rPr>
        <w:t>The Merger Agreement requires each party to use commercially reasonable efforts to file or otherwise submit, as soon as practicable,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Without limiting the generality of the foregoing, the parties have agreed to promptly prepare and file, if applicable, any notification or other document required to be filed in connection with the Merger under any applicable foreign law relating to antitrust or competition matters. Each of OncoMed and Mereo shall respond as promptly as is practicable to respond in compliance with: (i) any inquiries or requests received from the U.S. Federal Trade Commission or the U.S. Department of Justice for additional information or documentation; and (ii) any inquiries or requests received from any state attorney general, foreign antitrust or competition authority or other governmental authority in connection with antitrust or competition matters.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Establishment of ADS Facility; Nasdaq Listing</w:t>
      </w:r>
    </w:p>
    <w:p>
      <w:pPr>
        <w:spacing w:after="0" w:line="85"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Merger Agreement provides that Mereo will cause a facility to be established with a depositary for the purpose of issuing the Mereo ADSs, and that Mereo will enter into a customary deposit agreement with such depositary. Mereo has appointed Citibank, N.A. to act as depositary.</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has agreed to (1) cause the depositary to prepare and file with the SEC, no later than the date prescribed by the rules and regulations under the Securities Act, a registration statement, or pre-effective or post-effective amendment thereto, as applicable, on Form F-6 with respect to the registration under the Securities Act of the Mereo ADSs to be issued by virtue of the Merger and the change in Mereo’s SEC reporting status, and (2) in cooperation with OncoMed, prepare and file with the SEC a registration statement on Form 8-A relating to the registration under the Exchange Act of the Mereo ADSs to be issued by virtue of the Merger.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The Merger Agreement also provides that Mereo will take all reasonable steps within its power to ensure that (1) the Mereo ADSs to be issued in the Merger are approved for listing on Nasdaq and (2) the Mereo Shares underlying the Mereo ADSs to be issued in the Merger are approved for admission to trading on AIM and satisfy any other requirements of London Stock Exchange plc in respect of the Merger Agreement and the transactions contemplated thereby, in each case prior to the Effective Time.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and Management Accounts</w:t>
      </w:r>
    </w:p>
    <w:p>
      <w:pPr>
        <w:spacing w:after="0" w:line="99"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 Merger Agreement provides that OncoMed will, within 15 calendar days of the end of each calendar month following the execution of the Merger Agreement, provide to Mereo in writing (i) management accounts, in a form consistent with the monthly management accounts prepared by OncoMed and delivered to Mereo prior to the date of the Merger Agreement, and (ii) a detailed calculation and accounting of net cash, calculated in accordance with the definition described above in “—Merger Consideration.” OncoMed will, from time to time upon request by Mereo, promptly make available its principal financial and accounting officer to discuss any such calculation and accounting with representatives of Mereo.</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Agreements</w:t>
      </w:r>
    </w:p>
    <w:p>
      <w:pPr>
        <w:spacing w:after="0" w:line="85"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Merger Agreement also contains other covenants and agreements, including with respect to access to information of the other company, public announcements with respect to the transactions contemplated by the Merger Agreement, compliance by OncoMed with its employment, change of control and similar agreements, and obtaining third party consents under each Mereo’s and OncoMed’s business contracts.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Closing</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Each party’s obligation to effect the Merger is subject to satisfaction or, to the extent permitted by applicable law, mutual written waiver by each of the parties of the following conditions:</w:t>
      </w:r>
    </w:p>
    <w:p>
      <w:pPr>
        <w:spacing w:after="0" w:line="188" w:lineRule="exact"/>
        <w:rPr>
          <w:sz w:val="20"/>
          <w:szCs w:val="20"/>
          <w:color w:val="auto"/>
        </w:rPr>
      </w:pPr>
    </w:p>
    <w:p>
      <w:pPr>
        <w:ind w:left="960" w:hanging="432"/>
        <w:spacing w:after="0"/>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and, if necessary, the Mereo Shareholder Approval shall have been obtained;</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26"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and there shall not be any law which has the effect of making the consummation of the Merger Agreement or the transactions contemplated thereby illegal;</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Form F-4 shall have become effective under the Securities Act and shall not be the subject of any stop order or proceeding (or threatened proceeding by the SEC);</w:t>
      </w:r>
    </w:p>
    <w:p>
      <w:pPr>
        <w:spacing w:after="0" w:line="27"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ADSs issuable to the OncoMed stockholders as contemplated by the Merger Agreement shall have been approved for listing on Nasdaq, subject to official notice of issuance, and the Mereo Shares underlying the Mereo ADSs issuable to the OncoMed stockholders pursuant to the Merger Agreement shall have been approved for admission to trading on AIM and any other requirements of London Stock Exchange plc in respect of the Merger Agreement or the transactions contemplated thereby shall have been satisfied.</w:t>
      </w:r>
    </w:p>
    <w:p>
      <w:pPr>
        <w:spacing w:after="0" w:line="20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obligations of Mereo, HoldCo and Merger Sub to effect the Merger is further subject to the satisfaction or waiver of the following conditions:</w:t>
      </w:r>
    </w:p>
    <w:p>
      <w:pPr>
        <w:spacing w:after="0" w:line="224" w:lineRule="exact"/>
        <w:rPr>
          <w:sz w:val="20"/>
          <w:szCs w:val="20"/>
          <w:color w:val="auto"/>
        </w:rPr>
      </w:pPr>
    </w:p>
    <w:p>
      <w:pPr>
        <w:ind w:left="960" w:right="860" w:hanging="432"/>
        <w:spacing w:after="0" w:line="218"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relating to corporate organization, subsidiaries, organizational documents, corporate authority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39" w:lineRule="auto"/>
        <w:rPr>
          <w:sz w:val="20"/>
          <w:szCs w:val="20"/>
          <w:color w:val="auto"/>
        </w:rPr>
      </w:pPr>
      <w:r>
        <w:rPr>
          <w:rFonts w:ascii="Arial" w:cs="Arial" w:eastAsia="Arial" w:hAnsi="Arial"/>
          <w:sz w:val="18"/>
          <w:szCs w:val="18"/>
          <w:color w:val="auto"/>
        </w:rPr>
        <w:t>approvals, required vote, and brokers and finders (the “OncoMed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sz w:val="20"/>
          <w:szCs w:val="20"/>
          <w:color w:val="auto"/>
        </w:rPr>
      </w:pPr>
    </w:p>
    <w:p>
      <w:pPr>
        <w:ind w:left="960" w:right="60" w:hanging="432"/>
        <w:spacing w:after="0" w:line="234" w:lineRule="auto"/>
        <w:tabs>
          <w:tab w:leader="none" w:pos="960" w:val="left"/>
        </w:tabs>
        <w:numPr>
          <w:ilvl w:val="0"/>
          <w:numId w:val="107"/>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representations and warranties of OncoMed relating to capital structure will be true and correct on and as of the closing date of the Merger,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w:t>
      </w:r>
    </w:p>
    <w:p>
      <w:pPr>
        <w:spacing w:after="0" w:line="2" w:lineRule="exact"/>
        <w:rPr>
          <w:rFonts w:ascii="MS PGothic" w:cs="MS PGothic" w:eastAsia="MS PGothic" w:hAnsi="MS PGothic"/>
          <w:sz w:val="24"/>
          <w:szCs w:val="24"/>
          <w:color w:val="auto"/>
          <w:vertAlign w:val="superscript"/>
        </w:rPr>
      </w:pPr>
    </w:p>
    <w:p>
      <w:pPr>
        <w:ind w:left="96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(z) as expressly required or permitted by the Merger Agreement;</w:t>
      </w:r>
    </w:p>
    <w:p>
      <w:pPr>
        <w:spacing w:after="0" w:line="36" w:lineRule="exact"/>
        <w:rPr>
          <w:rFonts w:ascii="MS PGothic" w:cs="MS PGothic" w:eastAsia="MS PGothic" w:hAnsi="MS PGothic"/>
          <w:sz w:val="24"/>
          <w:szCs w:val="24"/>
          <w:color w:val="auto"/>
          <w:vertAlign w:val="superscript"/>
        </w:rPr>
      </w:pPr>
    </w:p>
    <w:p>
      <w:pPr>
        <w:ind w:left="960" w:right="80" w:hanging="432"/>
        <w:spacing w:after="0" w:line="229"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(other than with respect to capital structure and the OncoMed Specified Representations) will be true and correct on and as of the closing date of the Merger except (a) in each case, or in the aggregate, where the failure to be so true and correct would not reasonably be expected to have a material adverse effect on OncoMed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performed in all material respects its covenants required to be performed by it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a certificate signed on behalf of OncoMed by the chief executive officer and chief financial officer (or if there is no chief financial officer at such time, the principal financial and accounting officer) of OncoMed to the effect that the conditions related to OncoMed’s representations, warranties and covenants described above have been satisfied;</w:t>
      </w:r>
    </w:p>
    <w:p>
      <w:pPr>
        <w:spacing w:after="0" w:line="28" w:lineRule="exact"/>
        <w:rPr>
          <w:rFonts w:ascii="MS PGothic" w:cs="MS PGothic" w:eastAsia="MS PGothic" w:hAnsi="MS PGothic"/>
          <w:sz w:val="25"/>
          <w:szCs w:val="25"/>
          <w:color w:val="auto"/>
          <w:vertAlign w:val="superscript"/>
        </w:rPr>
      </w:pPr>
    </w:p>
    <w:p>
      <w:pPr>
        <w:ind w:left="960" w:right="860" w:hanging="432"/>
        <w:spacing w:after="0" w:line="21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from OncoMed a form of notice to the IRS in accordance with the requirements of Treasury Regulation Section 1.897-2(h) and in form and substance reasonably acceptable to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OncoMed shall not have occurred;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calculation of OncoMed’s net cash as of the closing date of the Merger shall have been finally determined.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OncoMed’s obligation to effect the Merger is further subject to the satisfaction or waiver of the following conditions:</w:t>
      </w:r>
    </w:p>
    <w:p>
      <w:pPr>
        <w:spacing w:after="0" w:line="239" w:lineRule="exact"/>
        <w:rPr>
          <w:sz w:val="20"/>
          <w:szCs w:val="20"/>
          <w:color w:val="auto"/>
        </w:rPr>
      </w:pPr>
    </w:p>
    <w:p>
      <w:pPr>
        <w:ind w:left="960" w:right="40" w:hanging="432"/>
        <w:spacing w:after="0" w:line="228"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relating to corporate organization, subsidiaries, organizational documents, corporate authority and approvals, required vote, and brokers and finders (the “Mereo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rFonts w:ascii="MS PGothic" w:cs="MS PGothic" w:eastAsia="MS PGothic" w:hAnsi="MS PGothic"/>
          <w:sz w:val="25"/>
          <w:szCs w:val="25"/>
          <w:color w:val="auto"/>
          <w:vertAlign w:val="superscript"/>
        </w:rPr>
      </w:pPr>
    </w:p>
    <w:p>
      <w:pPr>
        <w:jc w:val="both"/>
        <w:ind w:left="960" w:hanging="432"/>
        <w:spacing w:after="0" w:line="211"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relating to capital structure will be true and correct on and as of the closing date of the Merger, except, in each case, (x) for such inaccuracies which are de minimis, individually or in the aggregate,</w:t>
      </w:r>
    </w:p>
    <w:p>
      <w:pPr>
        <w:ind w:left="960" w:right="540"/>
        <w:spacing w:after="0" w:line="24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(y) for those representations and warranties which address matters only as of a particular date (which representations and warranties shall have been true and correct, subject to the qualifications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as set forth in the preceding clause (x), as of such particular date) or (z) as expressly required or permitted by the Merger Agreement;</w:t>
      </w:r>
    </w:p>
    <w:p>
      <w:pPr>
        <w:spacing w:after="0" w:line="25" w:lineRule="exact"/>
        <w:rPr>
          <w:sz w:val="20"/>
          <w:szCs w:val="20"/>
          <w:color w:val="auto"/>
        </w:rPr>
      </w:pPr>
    </w:p>
    <w:p>
      <w:pPr>
        <w:ind w:left="960" w:right="140" w:hanging="432"/>
        <w:spacing w:after="0" w:line="229"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(other than with respect to capital structure and the Mereo Specified Representations) will be true and correct on and as of the closing date of the Merger except (a) in each case, or in the aggregate, where the failure to be so true and correct would not reasonably be expected to have a material adverse effect on Mereo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Mereo and Merger Sub shall have performed in all material respects its respective covenants required to be performed by each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received a certificate signed on behalf of Mereo by the chief executive office and chief financial officer of Mereo to the effect that the conditions related to Mereo’s and Merger Sub’s representations, warranties and covenants described above have been satisfied;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Mereo shall not have occurred.</w:t>
      </w:r>
    </w:p>
    <w:p>
      <w:pPr>
        <w:spacing w:after="0" w:line="202"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Any or all of the conditions described above may be waived in writing, in whole or in part, by Mereo or OncoMed, to the extent permitted by applicable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Events</w:t>
      </w:r>
    </w:p>
    <w:p>
      <w:pPr>
        <w:spacing w:after="0" w:line="99"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The Merger Agreement may be terminated at any time prior to the Effective Time by mutual written consent of Mereo and OncoMed, and either party may terminate the Merger Agreement in the following circumstances:</w:t>
      </w:r>
    </w:p>
    <w:p>
      <w:pPr>
        <w:spacing w:after="0" w:line="224" w:lineRule="exact"/>
        <w:rPr>
          <w:sz w:val="20"/>
          <w:szCs w:val="20"/>
          <w:color w:val="auto"/>
        </w:rPr>
      </w:pPr>
    </w:p>
    <w:p>
      <w:pPr>
        <w:ind w:left="960" w:right="20" w:hanging="432"/>
        <w:spacing w:after="0" w:line="229"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Merger shall not have been consummated by September 4, 2019 (the “End Date”), except that the right to terminate the Merger Agreement on this basis shall not be available to OncoMed or Mereo if such party’s action or failure to act has been a principal cause of the failure of the Merger to occur on or before the End Date and such action or failure to act constitutes a breach of the Merger Agreement and except that, in the event that the SEC has not declared this Form F-4 effective under the Securities Act by the date which is sixty days prior to the End Date, then either OncoMed or Mereo shall be entitled to extend the End Date for an additional sixty days;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3"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court of competent jurisdiction or other governmental authority shall have issued a final and nonappealable order, or shall have taken any other action, having the effect of permanently restraining, enjoining or otherwise prohibiting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28"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Special Meeting shall have been held and completed and OncoMed’s stockholders shall have taken a final vote on the Merger Agreement and (ii) the Merger Agreement shall not have been adopted and approved at the OncoMed Special Meeting, except that the right to terminate the Merger Agreement on this basis shall not be available to OncoMed where the failure to obtain the approval of OncoMed’s stockholders shall have been caused by the action or failure to act of OncoMed and such action or failure to act constitutes a material breach by OncoMed of the Merger Agreement;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Shareholder Meeting, if necessary, shall have been held and completed and Mereo’s shareholders shall have taken a final vote on the matters requiring such shareholders’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39" w:lineRule="auto"/>
        <w:rPr>
          <w:sz w:val="20"/>
          <w:szCs w:val="20"/>
          <w:color w:val="auto"/>
        </w:rPr>
      </w:pPr>
      <w:r>
        <w:rPr>
          <w:rFonts w:ascii="Arial" w:cs="Arial" w:eastAsia="Arial" w:hAnsi="Arial"/>
          <w:sz w:val="18"/>
          <w:szCs w:val="18"/>
          <w:color w:val="auto"/>
        </w:rPr>
        <w:t>approval and (ii) such matters shall not have been approved at the Mereo Shareholder Meeting, except that the right to terminate the Merger Agreement on this basis shall not be available to Mereo where the failure to obtain the approval of Mereo’s shareholders shall have been caused by the action or failure to act of Mereo and such action or failure to act constitutes a material breach by Mereo of the Merger Agreement.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may terminate the Merger Agreement at any time prior to the Effective Time as follows:</w:t>
      </w:r>
    </w:p>
    <w:p>
      <w:pPr>
        <w:spacing w:after="0" w:line="239" w:lineRule="exact"/>
        <w:rPr>
          <w:sz w:val="20"/>
          <w:szCs w:val="20"/>
          <w:color w:val="auto"/>
        </w:rPr>
      </w:pPr>
    </w:p>
    <w:p>
      <w:pPr>
        <w:ind w:left="960" w:right="22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Board or any committee thereof shall have made a Mereo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29"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Mereo as those contained in the existing confidentiality agreement between OncoMed and Mereo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may terminate the Merger Agreement at any time prior to the Effective Time as follows:</w:t>
      </w:r>
    </w:p>
    <w:p>
      <w:pPr>
        <w:spacing w:after="0" w:line="239" w:lineRule="exact"/>
        <w:rPr>
          <w:sz w:val="20"/>
          <w:szCs w:val="20"/>
          <w:color w:val="auto"/>
        </w:rPr>
      </w:pPr>
    </w:p>
    <w:p>
      <w:pPr>
        <w:ind w:left="960" w:right="440" w:hanging="432"/>
        <w:spacing w:after="0" w:line="21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Board or any committee thereof shall have made an OncoMed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38" w:lineRule="auto"/>
        <w:rPr>
          <w:sz w:val="20"/>
          <w:szCs w:val="20"/>
          <w:color w:val="auto"/>
        </w:rPr>
      </w:pPr>
      <w:r>
        <w:rPr>
          <w:rFonts w:ascii="Arial" w:cs="Arial" w:eastAsia="Arial" w:hAnsi="Arial"/>
          <w:sz w:val="18"/>
          <w:szCs w:val="18"/>
          <w:color w:val="auto"/>
        </w:rPr>
        <w:t>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w:t>
      </w:r>
    </w:p>
    <w:p>
      <w:pPr>
        <w:spacing w:after="0" w:line="99"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will be required to pay to Mereo a termination fee of $1,721,193 (subject to any adjustments for VAT) in cash if the Merger Agreement is terminated by Mereo in the event that:</w:t>
      </w:r>
    </w:p>
    <w:p>
      <w:pPr>
        <w:spacing w:after="0" w:line="224" w:lineRule="exact"/>
        <w:rPr>
          <w:sz w:val="20"/>
          <w:szCs w:val="20"/>
          <w:color w:val="auto"/>
        </w:rPr>
      </w:pPr>
    </w:p>
    <w:p>
      <w:pPr>
        <w:ind w:left="960" w:hanging="432"/>
        <w:spacing w:after="0" w:line="228"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was not obtained after OncoMed stockholders voted at the OncoMed Special Meeting, where the failure to obtain the OncoMed Stockholder Approval was not caused by the action or failure to act of OncoMed and such action or failure to act did not constitute a material breach by OncoMed of the Merger Agreement, and within twelve months after the date of such termination, OncoMed enters into a definitive agreement with respect to a subsequent transaction or consummates a subsequent transaction;</w:t>
      </w:r>
    </w:p>
    <w:p>
      <w:pPr>
        <w:spacing w:after="0" w:line="26" w:lineRule="exact"/>
        <w:rPr>
          <w:rFonts w:ascii="MS PGothic" w:cs="MS PGothic" w:eastAsia="MS PGothic" w:hAnsi="MS PGothic"/>
          <w:sz w:val="25"/>
          <w:szCs w:val="25"/>
          <w:color w:val="auto"/>
          <w:vertAlign w:val="superscript"/>
        </w:rPr>
      </w:pPr>
    </w:p>
    <w:p>
      <w:pPr>
        <w:ind w:left="960" w:right="600" w:hanging="432"/>
        <w:spacing w:after="0" w:line="211"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OncoMed Stockholder Approval, an acquisition proposal with respect to OncoMed has been publicly announced, disclosed or otherwise communicated to the OncoMed Board (and has not been withdrawn), and if</w:t>
      </w:r>
    </w:p>
    <w:p>
      <w:pPr>
        <w:ind w:left="960"/>
        <w:spacing w:after="0" w:line="238"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permitted by the Merger Agreement or any action required to be taken by OncoMed pursuant to the DGCL); or</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31"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to the payment of the termination fee, OncoMed shall reimburse Mereo for all reasonable out-of-pocket fees and expenses incurred by Mereo in connection with the Merger Agreement and the transactions contemplated by the Merger Agreement up to a maximum of $750,000 (subject to any adjustments for VAT) if the Merger Agreement is terminated by Mereo in the event that:</w:t>
      </w:r>
    </w:p>
    <w:p>
      <w:pPr>
        <w:spacing w:after="0" w:line="230" w:lineRule="exact"/>
        <w:rPr>
          <w:sz w:val="20"/>
          <w:szCs w:val="20"/>
          <w:color w:val="auto"/>
        </w:rPr>
      </w:pPr>
    </w:p>
    <w:p>
      <w:pPr>
        <w:ind w:left="960" w:right="100" w:hanging="432"/>
        <w:spacing w:after="0" w:line="228"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have failed to include in this proxy statement/prospectus the OncoMed Board Recommendation, (b) the OncoMed Board or any committee thereof has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rPr>
          <w:sz w:val="20"/>
          <w:szCs w:val="20"/>
          <w:color w:val="auto"/>
        </w:rPr>
      </w:pPr>
      <w:r>
        <w:rPr>
          <w:rFonts w:ascii="Arial" w:cs="Arial" w:eastAsia="Arial" w:hAnsi="Arial"/>
          <w:sz w:val="18"/>
          <w:szCs w:val="18"/>
          <w:color w:val="auto"/>
        </w:rPr>
        <w:t>non-solicitation provisions and no hire provisions) at least as favorable to OncoMed as those contained in the existing confidentiality agreement between OncoMed and Mereo or any action required to be taken by OncoMed pursuant to the DGCL); or</w:t>
      </w:r>
    </w:p>
    <w:p>
      <w:pPr>
        <w:spacing w:after="0" w:line="27" w:lineRule="exact"/>
        <w:rPr>
          <w:sz w:val="20"/>
          <w:szCs w:val="20"/>
          <w:color w:val="auto"/>
        </w:rPr>
      </w:pPr>
    </w:p>
    <w:p>
      <w:pPr>
        <w:ind w:left="960" w:right="80" w:hanging="432"/>
        <w:spacing w:after="0" w:line="231"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 Merger Agreement is terminated by Mereo or OncoMed in the event that:</w:t>
      </w:r>
    </w:p>
    <w:p>
      <w:pPr>
        <w:spacing w:after="0" w:line="224" w:lineRule="exact"/>
        <w:rPr>
          <w:sz w:val="20"/>
          <w:szCs w:val="20"/>
          <w:color w:val="auto"/>
        </w:rPr>
      </w:pPr>
    </w:p>
    <w:p>
      <w:pPr>
        <w:ind w:left="960" w:right="80" w:hanging="432"/>
        <w:spacing w:after="0" w:line="228"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Shareholder Approval, if necessary, was not obtained after Mereo shareholders voted at the Mereo Shareholder Meeting, where the failure to obtain the Mereo Shareholder Approval was not caused by the action or failure to act of Mereo and such action or failure to act did not constitute a material breach by Mereo of the Merger Agreement, and within twelve months after the date of such termination, Mereo enters into a definitive agreement with respect to a subsequent transaction or consummates a subsequent transaction.</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 Merger Agreement is terminated by OncoMed in the event that:</w:t>
      </w:r>
    </w:p>
    <w:p>
      <w:pPr>
        <w:spacing w:after="0" w:line="224" w:lineRule="exact"/>
        <w:rPr>
          <w:sz w:val="20"/>
          <w:szCs w:val="20"/>
          <w:color w:val="auto"/>
        </w:rPr>
      </w:pPr>
    </w:p>
    <w:p>
      <w:pPr>
        <w:ind w:left="960" w:right="20" w:hanging="432"/>
        <w:spacing w:after="0" w:line="229"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Mereo Shareholder Approval, an acquisition proposal with respect to Mereo has been publicly announced, disclosed or otherwise communicated to the Mereo Board (and has not been withdrawn), and 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addition to the payment of the termination fee, Mereo shall reimburse OncoMed for all reasonable out-of-pocket fees and expenses incurred by OncoMed in connection with the Merger Agreement and the transactions contemplated by the Merger Agreement up to a maximum of $750,000 (subject to any adjustments for VAT) if the Merger Agreement is terminated by OncoMed in the event that:</w:t>
      </w:r>
    </w:p>
    <w:p>
      <w:pPr>
        <w:spacing w:after="0" w:line="230" w:lineRule="exact"/>
        <w:rPr>
          <w:sz w:val="20"/>
          <w:szCs w:val="20"/>
          <w:color w:val="auto"/>
        </w:rPr>
      </w:pPr>
    </w:p>
    <w:p>
      <w:pPr>
        <w:ind w:left="960" w:right="220" w:hanging="432"/>
        <w:spacing w:after="0" w:line="22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Termination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event of a termination as described above under “—Termination Events,” the Merger Agreement will be of no further force or effect except for certain sections of the Merger Agreement, including provisions regarding termination, termination fees and expenses, and miscellaneous provisions including governing law, jurisdiction, no third party beneficiaries and remedies (including specific performance). Such termination will not relieve any party to the Merger Agreement of any liability for fraud or for any willful and material breach of any representation, warranty, covenant, obligation or other provision contained in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Other than as described above, whether or not the Merger is consummated, all fees and expenses incurred in connection with the Merger Agreement, the Merger, and the other transactions contemplated by the Merger Agreement will be paid by the party incurring such fees and expenses, except that Mereo and OncoMed will share equally all fees and expenses incurred in relation to the printing and filing with the SEC of this proxy statement/prospectus (including any financial statements and exhibits hereto) and any amendments or supplements hereto and paid to a financial printer or the SEC.</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Merger Agreement may be amended with the approval of the respective boards of directors of OncoMed, HoldCo, Merger Sub, and Mereo at any time except that, after any such approval and adoption of the Merger Agreement by a party’s equityholders, no amendment shall be made which by law requires further approval of such equityholders without the further approval of such equityholders. The Merger Agreement may not be amended except by an instrument in writing signed on behalf of each of OncoMed, HoldCo, Merger Sub and Mereo.</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 Jurisdiction; Waiver of Trial by Jury</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The Merger Agreement will be governed by, and construed in accordance with, the laws of the State of New York, regardless of the laws that might otherwise govern under applicable principles of conflicts of laws. The Merger Agreement further provides that exclusive jurisdiction over any action or proceeding between the parties is vested in the Supreme Court of the State of New York, County of New York, or, if under applicable law exclusive jurisdiction is vested in the Federal courts, the United States District Court for the Southern District of New York (and appellate courts thereof), and includes a waiver of trial by jury.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parties to the Merger Agreement have agreed that irreparable damage would occur in the event that any of the provisions of the Merger Agreement were not performed in accordance with its specific terms or were otherwise breached. The parties have accordingly agreed that each party shall be entitled to an injunction or injunctions to prevent breaches of the Merger Agreement and to enforce specifically the terms and provisions hereof in any court of the United States or any state having jurisdiction, this being in addition to any other remedy to which they are entitled at law or in equity, and each of the parties has waived any bond, surety or other security that might be required of any other party to the Merger Agreement with respect thereto.</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80"/>
          </w:cols>
          <w:pgMar w:left="240" w:top="460"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CVR AGREEMENT</w:t>
      </w:r>
    </w:p>
    <w:p>
      <w:pPr>
        <w:spacing w:after="0" w:line="32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The following discussion summarizes material provisions of the CVR Agreement, which will be entered into at or prior to the Effective Time by Mereo and Computershare, Inc., as rights agent, substantially in the form attached as Annex B. This summary does not propose to be complete and is qualified in its entirety by reference to the complete copy of the form of the CVR Agreement which is attached as Annex B to this proxy statement/prospectus. The rights and obligations of the parties and of holders of CVRs are governed by the express terms and conditions of the CVR Agreement and not by this summary. The CVR Agreement should not be read alone, but should instead be read in conjunction with the other information provided elsewhere in this proxy statement/prospectus, including the annexes and the documents incorporated by reference into this proxy statement/prospectus. The CVR Agreement is described in this proxy statement/prospectus only to provide you with information regarding its terms and conditions and this summary is not intended to provide any factual information about Mereo, OncoMed or their respective businesses.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CVR Agreement</w:t>
      </w:r>
    </w:p>
    <w:p>
      <w:pPr>
        <w:spacing w:after="0" w:line="99"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The CVRs will be governed by the terms of the CVR Agreement, which will be entered into at or prior to the effective time by Mereo and Computershare, Inc., as rights agent.</w:t>
      </w:r>
    </w:p>
    <w:p>
      <w:pPr>
        <w:spacing w:after="0" w:line="197"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As provided in the Merger Agreement, each share of OncoMed common stock outstanding immediately prior to the Effective Time (except for any dissenting shares) will be converted automatically into the right to receive, in addition to the Share Consideration, one CVR. The CVRs represent the non-transferable contractual right to receive certain stock and cash payments from Mereo if specified milestones are achieved within agreed time periods.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Characteristics of the CVRs; Restrictions on Transfer</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CVRs may not be transferred, pledged, hypothecated, encumbered, assigned or otherwise disposed of (whether by sale, merger, consolidation, liquidation, dissolution, dividend, distribution or otherwise), in whole or in part, other than pursuant to any of the following permitted transfers: (i) upon death, by will or intestacy; (ii) by instrument to an inter vivos or testamentary trust in which the CVRs are to be passed to beneficiaries upon the death of the trustee; (iii) pursuant to a court order of a court of competent jurisdiction (such as in connection with divorce, bankruptcy or liquidation); (iv) by operation of law (including a consolidation or merger) or without consideration in connection with the dissolution, liquidation or termination of any corporation, limited liability company, partnership or other entity; (v) if the CVR is held by a partnership, a distribution from the transferring partnership to its partners or former partners in accordance with their partnership interests; (vi) in the case of CVRs payable to a nominee, from a nominee to a beneficial owner (and, if applicable, through an intermediary) or from such nominee to another nominee for the same beneficial owner, in each case as permitted by The Depository Trust Company (“DTC”); (vii) to Mereo or its affiliates; or (viii) upon abandonment of a CVR by the holder thereof in accordance with the CVR Agreement.</w:t>
      </w:r>
    </w:p>
    <w:p>
      <w:pPr>
        <w:spacing w:after="0" w:line="20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CVRs will not be evidenced by a certificate or any other instrument. The CVRs will not have any voting or dividend rights, and interest will not accrue on any amounts payable in respect of the CVRs. The CVRs will not represent any equity or ownership interest in Mereo, any constituent company to the Merger, or any of its respective affiliates. The rights agent will maintain an up-to-date register (the “CVR Register”) for the purposes of (i) identifying the holders of CVRs, (ii) determining holders’ entitlement to CVRs and (iii) registering the CVRs and permitted transfers thereof. Mereo’s obligation to make the CVR payment, if any becomes due, is neither secured nor guaranteed. Mereo’s obligation to make the CVR payment, if any becomes due, is an unsecured general obligation of Mereo and is not guaranteed by Mereo or any of its affiliates.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 Events and Payments</w:t>
      </w:r>
    </w:p>
    <w:p>
      <w:pPr>
        <w:spacing w:after="0" w:line="99"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TIGIT Milestone</w:t>
      </w:r>
    </w:p>
    <w:p>
      <w:pPr>
        <w:spacing w:after="0" w:line="8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is achieved:</w:t>
      </w:r>
    </w:p>
    <w:p>
      <w:pPr>
        <w:spacing w:after="0" w:line="224" w:lineRule="exact"/>
        <w:rPr>
          <w:sz w:val="20"/>
          <w:szCs w:val="20"/>
          <w:color w:val="auto"/>
        </w:rPr>
      </w:pPr>
    </w:p>
    <w:p>
      <w:pPr>
        <w:ind w:left="960" w:right="100" w:hanging="432"/>
        <w:spacing w:after="0" w:line="218"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exercises the exclusive option granted by OncoMed to Celgene in relation to OncoMed’s etigilimab product pursuant to the Master Research and Collaboration Agreement by and among Celgene and OncoMed, dated December 2, 2013;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 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 No fractional Mereo Shares or Mereo ADSs shall be issued in connection with the TIGIT Milestone payment, and no certificates or scrip for any such fractional shares shall be issued. Any fractional share resulting from the application of the ratio described in this paragraph shall be rounded down to the nearest whole share, with no cash being paid for any fractional share eliminated by such rounding.</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the TIGIT Milestone occurs at any time following the Effective Time but prior to December 31, 2019, then, thirty days following the achievement thereof, (i) Mereo, or a person nominated by Mereo (with written notice thereof from Mereo to the rights agent), as the case may be, will (A) deliver to the rights agent, a certificate certifying the date of satisfaction of the TIGIT Milestone and that the holders of CVRs are entitled to receive the TIGIT Milestone payment, (B) allot and issue to the depositary, or as the depositary directs, the Mereo Shares underlying the Mereo ADSs comprising the TIGIT Milestone payment, (C) deliver to the depositary, for the benefit of the holders of CVRs, evidence of book-entry shares representing Mereo Shares underlying the Mereo ADSs comprising the TIGIT Milestone payment and (D) take all steps necessary to ensure that the Mereo Shares underlying the Mereo ADSs comprising the TIGIT Milestone payment are admitted to trading on AIM and (ii) Mereo shall procure that the depositary shall promptly (and in any event, within 10 business days) issue and deliver to the holders of CVRs, by first-class postage prepaid mail, to the address of each holder set forth in the CVR Register at such time or by other method of delivery as specified by the applicable holder in writing to the rights agent, the number of whole Mereo ADSs equal to the product determined by multiplying (A) the quotient determined by dividing (x) the TIGIT Milestone payment by (y) the total number of CVRs registered in the CVR Register at such time, by (B) the number of CVRs registered to such holder in the CVR Register at such time.</w:t>
      </w:r>
    </w:p>
    <w:p>
      <w:pPr>
        <w:spacing w:after="0" w:line="20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application of the Exchange Ratio set forth in the Merger Agreement. In such event, the CVR Agreement will be amended to delete the TIGIT Milestone and all related payment mechanics.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NAVI Milestones</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Mereo or any of its subsidiaries enters into a definitive partnership agreement, collaboration agreement, joint venture agreement, profit sharing agreement, license or sublicense agreement, asset sale agreement, stock sale agreement, investment agreement or similar agreement duly approved by the Mereo Board with one or more third parties regarding the navicixizumab products and (2) within five years of the closing of the Merger, Mereo or any of its subsidiaries actually receives certain eligible cash milestone payments.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It is anticipated that, prior to the Effective Time, OncoMed will establish a wholly-owned subsidiary to hold all of right, title and interest in and to the navicixizumab products (such subsidiary, “NAVI Sub”). For a period of 18 months following the closing of the Merger, Mereo will permit certain individuals associated with NAVI Sub and identified on a confidential schedule to the CVR Agreement (the “NAVI Team”) to (i) solicit third party interest with respect to a NAVI Agreement, such that the NAVI Sub or a third party, as applicable, will advance the navicixizumab products, and (ii) recommend, by written notice to the chief executive officer of Mereo, that Mereo enter into discussions with one or more such third parties that have expressed interest with respect to a NAVI Agreement; provided that, notwithstanding anything to the contrary in the CVR Agreement, Mereo will have no obligation or liability to fund or otherwise support or incur any cost or expense relating to NAVI Sub or the navicixizumab products in excess of the commitments provided for on a confidential schedule to the CVR Agreement (except in respect of clinical trials commenced prior to the date hereof).</w:t>
      </w:r>
    </w:p>
    <w:p>
      <w:pPr>
        <w:spacing w:after="0" w:line="207"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entry into a NAVI Agreement by Mereo or any of its subsidiaries (including NAVI Sub) shall be subject to, and contingent upon, a determination by the Mereo Board, having consulted with outside counsel, that the NAVI Agreement is fair to, advisable and in the best interests of Mereo and its shareholders. Without limiting the foregoing, neither Mereo nor any of its subsidiaries (including NAVI Sub) shall be compelled to enter into any investment agreement, stock sale agreement, or similar agreement with respect to NAVI Sub or the navicixizumab products if, immediately following the execution of such agreement, Mereo or one or more of its subsidiaries (other than NAVI Sub) would hold less than 19.5% of the issued and outstanding equity interests of NAVI Sub on a fully-diluted basis.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Eligible cash milestone payments will include each cash milestone payment payable to Mereo or one or more of its subsidiaries pursuant to a NAVI Agreement (or any agreement contemplated by such NAVI Agreement), except for any (i) royalty or similar sales-based payment that is measured, in whole or in part, by reference to the quantity of navicixizumab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205"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aggregate principal amount actually received by Mereo or one or more of its subsidiaries (other than NAVI Sub), net of (A) any tax (including any applicable value added or sales taxes and including any tax which would be payable but for the utilization of a relief), (B) 50% of any expenditure by Mereo or its subsidiaries pursuant to the budget set forth on a confidential schedule to the CVR Agreement, and (C) any other reasonable cost or expense attributable to the receipt of such payment (which, for the avoidance of doubt, shall include (x) any costs, reasonable out-of-pocket fees, expenses or charges incurred by Mereo or its subsidiaries in excess of the commitments provided for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in the budget set forth on a confidential schedule to the CVR Agreement, (y) any costs, reasonable out-of-pocket fees, expenses or charges incurred by Mereo or its subsidiaries under the NAVI Agreement, and (z) any costs, reasonable out-of-pocket fees, expenses or charges incurred by Mereo or its subsidiaries, or for which Mereo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Mereo shall in no case exceed $79.7 million. If the aggregate principal amount to be paid to holders of CVRs by Mereo pursuant to the CVR Agreement would, together with the aggregate principal amount of any prior such cash payments, otherwise exceed $79.7 million, then the applicable NAVI Milestone payment will be appropriately reduced.</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NAVI Milestone occurs at any time prior to the fifth anniversary of the closing of the Merger, and on each such occurrence, then, thirty days following the achievement thereof, Mereo, or a person nominated by Mereo (with written notice thereof from Mereo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Withholding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and the rights agent will be entitled to deduct and withhold, or cause to be deducted and withheld, from any milestone payment otherwise payable pursuant to the CVR Agreement, such amounts as each is required to deduct and withhold with respect to the making of such payment under any provision of applicable law relating to taxes. To the extent that amounts are so deducted and withheld, such deducted and withheld amounts will be treated for all purposes of the CVR Agreement as having been paid to the holder of CVRs in respect of which such deduction and withholding was made.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provided, that in no event will the time period for payment of any amount payable to such holder be extended for more than 10 business days, unless otherwise (1) requested by the holder for the purpose of delivering such forms and (2) agreed to by the rights agent.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 Non-Achievement</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If a milestone is not attained at any time prior to the expiration of the applicable milestone period then, on or before the date that is 10 business days after the end of such milestone period, Mereo will deliver to the rights agent an officer’s certificate certifying that the applicable milestone has not occurred and that Mereo has complied in all material respects with its obligations under the CVR Agreement. The rights agent will promptly (and in any event, within 10 business days after receipt) deliver a copy of such certificate to the holders of CVRs. If the rights agent does not receive from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holders of not less than a majority of the outstanding CVRs a written objection to such certificate within 30 business days after the date of delivery, the holders will be deemed to have accepted such certificate, and Mereo and its subsidiaries will have no further obligation or liability with respect to the determination of the applicable milestone payment.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Efforts Covenant</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With respect to the TIGIT Milestone, the CVR Agreement provides that Mereo will, and will cause its subsidiaries to, use “diligent efforts” (as defined below) to obtain and receive the cash payment payable by Celgene pursuant to the Celgene Option Exercise. Mereo will not, and will cause its subsidiaries to not, breach any of the material terms and conditions under the Master Research and Collaboration Agreement by and among Celgene and OncoMed, dated December 2, 2013 relating to the etigilimab program.</w:t>
      </w:r>
    </w:p>
    <w:p>
      <w:pPr>
        <w:spacing w:after="0" w:line="202"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With respect to the NAVI Milestone, the CVR Agreement provides that Mereo will use “diligent efforts” to promptly and in good faith evaluate any expression of interest recommended by the NAVI Team by written notice to the chief executive officer of Mereo and will, if determined by Mereo in good faith to be reasonably likely to result in a NAVI Agreement reasonably acceptable to Mereo, use “diligent efforts” to negotiate (with the assistance of the NAVI Team, as requested by Mereo) with the relevant third party, the definitive documentation for a NAVI Agreement.</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CVR Agreement defines “diligent efforts” as the carrying out those obligations and tasks that comprise a level of effort and expenditure of resources that is consistent with commercially reasonable practices normally and typically devoted by a company within the bio-pharmaceutical industry of comparable size and resources to a product or product candidate at a similar stage in its development or product life, as applicable, taking into account, without limitation, issues of safety and efficacy, market potential, anticipated pricing and reimbursement rates, costs, labeling, pricing reimbursement, the competitiveness of alternative products, the patent and other proprietary position of the product, and the likelihood of regulatory approval given the regulatory structure involved. Such “diligent efforts” shall not include, and Mereo shall have no obligation or liability to, (i) fund or otherwise support or incur any cost or expense relating to the navicixizumab (anti-DLL4/VEGF, OMP-305B83) products or the etigilimab program (except, in each case, in respect of clinical trials commenced prior to the date hereof) in excess of the commitments provided for in the budgets set forth on confidential schedules to the CVR Agreement, (ii) enroll any additional subjects in any currently ongoing trial of the navicixizumab (anti-DLL4/VEGF, OMP-305B83) products and the etigilimab program or (iii) commit to any additional development activities of the navicixizumab products or the etigilimab program not provided for in such applicable budget. For the avoidance of doubt, a failure to achieve the TIGIT Milestone or the NAVI Milestone in and of itself may be consistent with “diligent efforts.”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 of the CVR Agreement</w:t>
      </w:r>
    </w:p>
    <w:p>
      <w:pPr>
        <w:spacing w:after="0" w:line="8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Mereo may, at any time and from time to time, unilaterally enter into one or more amendments to the CVR Agreement for any of the following purposes, without the consent of any of the holders of CVRs or the rights agent:</w:t>
      </w:r>
    </w:p>
    <w:p>
      <w:pPr>
        <w:spacing w:after="0" w:line="224" w:lineRule="exact"/>
        <w:rPr>
          <w:sz w:val="20"/>
          <w:szCs w:val="20"/>
          <w:color w:val="auto"/>
        </w:rPr>
      </w:pPr>
    </w:p>
    <w:p>
      <w:pPr>
        <w:ind w:left="960" w:right="2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appointment of another person as a successor rights agent and the assumption by any successor rights agent of the covenants and obligations of the rights agent pursuant to the CVR Agreement;</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succession of another person to Mereo and the assumption of any such successor of the covenants of Mereo pursuant to the CVR Agreement;</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9" w:lineRule="auto"/>
        <w:tabs>
          <w:tab w:leader="none" w:pos="960" w:val="left"/>
        </w:tabs>
        <w:numPr>
          <w:ilvl w:val="0"/>
          <w:numId w:val="120"/>
        </w:numPr>
        <w:rPr>
          <w:rFonts w:ascii="MS PGothic" w:cs="MS PGothic" w:eastAsia="MS PGothic" w:hAnsi="MS PGothic"/>
          <w:sz w:val="24"/>
          <w:szCs w:val="24"/>
          <w:color w:val="auto"/>
          <w:vertAlign w:val="superscript"/>
        </w:rPr>
      </w:pPr>
      <w:r>
        <w:rPr>
          <w:rFonts w:ascii="Arial" w:cs="Arial" w:eastAsia="Arial" w:hAnsi="Arial"/>
          <w:sz w:val="17"/>
          <w:szCs w:val="17"/>
          <w:color w:val="auto"/>
        </w:rPr>
        <w:t>to add to the covenants of Mereo further covenants, restrictions, conditions or provisions for the protection and benefit of the holders of CVRs, provided that in each case, such provisions shall not adversely affect the interests of the holders of CVRs;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20" w:hanging="432"/>
        <w:spacing w:after="0" w:line="235" w:lineRule="auto"/>
        <w:tabs>
          <w:tab w:leader="none" w:pos="960" w:val="left"/>
        </w:tabs>
        <w:numPr>
          <w:ilvl w:val="0"/>
          <w:numId w:val="121"/>
        </w:numPr>
        <w:rPr>
          <w:rFonts w:ascii="MS PGothic" w:cs="MS PGothic" w:eastAsia="MS PGothic" w:hAnsi="MS PGothic"/>
          <w:sz w:val="24"/>
          <w:szCs w:val="24"/>
          <w:color w:val="auto"/>
          <w:vertAlign w:val="superscript"/>
        </w:rPr>
      </w:pPr>
      <w:r>
        <w:rPr>
          <w:rFonts w:ascii="Arial" w:cs="Arial" w:eastAsia="Arial" w:hAnsi="Arial"/>
          <w:sz w:val="17"/>
          <w:szCs w:val="17"/>
          <w:color w:val="auto"/>
        </w:rPr>
        <w:t>to cure any ambiguity, to correct or supplement any provision in the CVR Agreement that may be defective or inconsistent with any other provision in the CVR Agreement, or to make any other provisions with respect to matters or questions arising under the CVR Agreement, provided that in each case, such provisions shall not adversely affect the interests of the holders of CVRs;</w:t>
      </w:r>
    </w:p>
    <w:p>
      <w:pPr>
        <w:spacing w:after="0" w:line="28"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CVRs are not subject to registration under the Securities Act or the Exchange Act and the rules and regulations made thereunder, or any applicable state securities or “blue sky” laws;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Mereo is not required to produce a prospectus or an admission document in order to comply with applicable law;</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cancel CVRs (i) in the event that any holder of CVRs has abandoned its rights to such CVRs, (ii) in order to give effect to the Share Consideration Cap or (iii) following a transfer of such CVRs to Mereo or its affiliates;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Mereo complies with applicable law; or</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effect any other amendment to the CVR Agreement that would provide any additional rights or benefits to the holders of CVRs or that does not adversely affect the legal rights under the CVR Agreement of any such holder of CVRs.</w:t>
      </w:r>
    </w:p>
    <w:p>
      <w:pPr>
        <w:spacing w:after="0" w:line="203"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With the consent of the holders of not less than a majority of the outstanding CVRs, Mereo and the rights agent may enter into any amendment to the CVR Agreement, even if such amendment is adverse to the interests of the holders of the CVRs.</w:t>
      </w:r>
    </w:p>
    <w:p>
      <w:pPr>
        <w:spacing w:after="0" w:line="197"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Mereo will (or will cause the rights agent to) provide notice of any amendment to the CVR Agreement to the holders of the CVRs promptly after execution by Mereo and the rights agent, if applicable, of such amendment.</w:t>
      </w:r>
    </w:p>
    <w:p>
      <w:pPr>
        <w:spacing w:after="0" w:line="197"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CVR Agreement will automatically terminate and of no force or effect, and the parties will have no liability thereunder, upon the earlier to occur of (i) payment by Mereo of each of the TIGIT Milestone payment and each NAVI Milestone payment eligible to be attained and (ii) the expiration of each of the TIGIT Milestone period and the NAVI Milestone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of the CVR Agreement</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CVR Agreement also provides, among other things, for:</w:t>
      </w:r>
    </w:p>
    <w:p>
      <w:pPr>
        <w:spacing w:after="0" w:line="239" w:lineRule="exact"/>
        <w:rPr>
          <w:sz w:val="20"/>
          <w:szCs w:val="20"/>
          <w:color w:val="auto"/>
        </w:rPr>
      </w:pPr>
    </w:p>
    <w:p>
      <w:pPr>
        <w:ind w:left="960" w:right="16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duties, responsibilities, rights and immunities of the rights agent, and procedures for the resignation or removal of the rights agent and appointment of a successor;</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prohibition on Mereo taking any action for the principal purpose of (i) reducing the amount of any milestone payments payable under the CVR Agreement or (ii) restricting Mereo’s ability to pay any of the milestone payments thereunder.</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application of laws of the State of New York, exclusive jurisdiction over the parties by the Supreme Court of the State of New York, County of New York, or, if under applicable law exclusive jurisdiction is vested in the Federal courts, the United States District Court for the Southern District of New York (and appellate courts thereof), and waiver of trial by jury.</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SUPPORT AGREEMENTS</w:t>
      </w:r>
    </w:p>
    <w:p>
      <w:pPr>
        <w:spacing w:after="0" w:line="324"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i w:val="1"/>
          <w:iCs w:val="1"/>
          <w:color w:val="auto"/>
        </w:rPr>
        <w:t>The following discussion summarizes material provisions of the certain equityholder support agreements entered into on or after the execution and delivery of the Merger Agreement. This summary does not propose to be complete and is qualified in its entirety by reference to the complete copies of the relevant equityholder support agreements which are incorporated by reference into this proxy statement/prospectus. The rights and obligations of the parties are governed by the express terms and conditions of the relevant equityholder support agreements and not by this summary. The equityholder support agreements are described in this proxy statement/prospectus only to provide you with information regarding its terms and conditions and this summary is not intended to provide any factual information about Mereo, OncoMed or their respective businesses.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 Support Agreements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order to induce Mereo to enter into the Merger Agreement, each of the officers and directors of OncoMed who are stockholders of OncoMed (together with certain of their respective affiliates, the “Supporting Stockholders”) entered into Stockholder Support Agreements (the “OncoMed Support Agreements”) with Mereo with respect to the shares of OncoMed common stock beneficially owned by the Supporting Stockholders. As of December 5, 2018, such stockholders collectively controlled 4,130,907 Shares, representing approximately 10.7% of the issued and outstanding shares of OncoMed common stock. Pursuant to the OncoMed Support Agreements, the Supporting Stockholders have agreed, among other things, to vote their respective shares in OncoMed (i) in favor of the adoption and approval of the Merger Agreement and approval of the Merger and other transactions contemplated thereby, (ii) in favor of any proposal to adjourn or postpone any meeting of the stockholders of OncoMed at which any of the foregoing matters are submitted for consideration to solicit additional votes, and (iii) against any alternative proposal and against any action or agreement that would reasonably be expected to frustrate the purposes, prevent, delay or otherwise adversely affect the consummation of, the transactions contemplated by the Merger Agreement. Pursuant to the OncoMed Support Agreements, each Supporting Stockholder has waived appraisal rights and granted an irrevocable proxy appointing Mereo or any designee of Mereo as such Supporting Stockholder’s proxy and attorney-in-fact to vote such Supporting Stockholder’s shares in OncoMed in accordance with the foregoing. The OncoMed Support Agreements do not limit or restrict any Supporting Stockholder in his or her capacity as a director or officer of OncoMed from acting in such capacity or voting in such capacity in such person’s sole discretion on any matter.</w:t>
      </w:r>
    </w:p>
    <w:p>
      <w:pPr>
        <w:spacing w:after="0" w:line="202" w:lineRule="exact"/>
        <w:rPr>
          <w:sz w:val="20"/>
          <w:szCs w:val="20"/>
          <w:color w:val="auto"/>
        </w:rPr>
      </w:pPr>
    </w:p>
    <w:p>
      <w:pPr>
        <w:ind w:left="200" w:right="180" w:firstLine="331"/>
        <w:spacing w:after="0" w:line="275" w:lineRule="auto"/>
        <w:rPr>
          <w:sz w:val="20"/>
          <w:szCs w:val="20"/>
          <w:color w:val="auto"/>
        </w:rPr>
      </w:pPr>
      <w:r>
        <w:rPr>
          <w:rFonts w:ascii="Arial" w:cs="Arial" w:eastAsia="Arial" w:hAnsi="Arial"/>
          <w:sz w:val="17"/>
          <w:szCs w:val="17"/>
          <w:color w:val="auto"/>
        </w:rPr>
        <w:t>The OncoMed Support Agreements and the irrevocable proxies granted pursuant to the OncoMed Support Agreements terminate upon the earlier to occur of: (i) the effective time of the Merger and (ii) termination of the Merger Agreement in accordance with its terms.</w:t>
      </w:r>
    </w:p>
    <w:p>
      <w:pPr>
        <w:spacing w:after="0" w:line="17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To the extent that any Supporting Stockholder acquires beneficial ownership of any additional shares of OncoMed common stock during the term of the applicable OncoMed Support Agreement, such shares will become subject to the terms of the applicable OncoMed Support Agreement to the same extent as though such shares were owned by such Supporting Stockholder as of the date of the OncoMed Support Agreements.</w:t>
      </w:r>
    </w:p>
    <w:p>
      <w:pPr>
        <w:spacing w:after="0" w:line="202"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Until the earlier of (1) the termination of the OncoMed Support Agreement and (2) the date on which the Merger Agreement is adopted by OncoMed’s stockholders, each Supporting Stockholder is prohibited from transferring any shares of OncoMed common stock beneficially owned by such Supporting Stockholder, subject to certain exceptions. Each Supporting Stockholder has also agreed not to</w:t>
      </w:r>
    </w:p>
    <w:p>
      <w:pPr>
        <w:spacing w:after="0" w:line="2" w:lineRule="exact"/>
        <w:rPr>
          <w:sz w:val="20"/>
          <w:szCs w:val="20"/>
          <w:color w:val="auto"/>
        </w:rPr>
      </w:pPr>
    </w:p>
    <w:p>
      <w:pPr>
        <w:ind w:left="200" w:firstLine="4"/>
        <w:spacing w:after="0"/>
        <w:tabs>
          <w:tab w:leader="none" w:pos="4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take any action to solicit, initiate or knowingly encourage, induce or facilitate any competing acquisition proposal or any inquiry, proposal or offer that may reasonably be expected to lead to such an acquisition proposal, (ii) furnish or disclose any nonpublic information relating to Mereo or any of its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subsidiaries or afford access to the properties, books or records of Mereo or any of its subsidiaries to, or otherwise knowingly cooperate in any way with, any person that may be considering making, is otherwise seeking to make, or has made, a competing acquisition proposal or has agreed to endorse such an acquisition proposal, or (iii) participate in any discussions or negotiations with any third party that is reasonably expected to make, or has made, a competing acquisition proposal, regarding such an acquisition proposal.</w:t>
      </w:r>
    </w:p>
    <w:p>
      <w:pPr>
        <w:spacing w:after="0" w:line="202" w:lineRule="exact"/>
        <w:rPr>
          <w:sz w:val="20"/>
          <w:szCs w:val="20"/>
          <w:color w:val="auto"/>
        </w:rPr>
      </w:pPr>
    </w:p>
    <w:p>
      <w:pPr>
        <w:ind w:left="200" w:right="480" w:firstLine="331"/>
        <w:spacing w:after="0"/>
        <w:rPr>
          <w:sz w:val="20"/>
          <w:szCs w:val="20"/>
          <w:color w:val="auto"/>
        </w:rPr>
      </w:pPr>
      <w:r>
        <w:rPr>
          <w:rFonts w:ascii="Arial" w:cs="Arial" w:eastAsia="Arial" w:hAnsi="Arial"/>
          <w:sz w:val="18"/>
          <w:szCs w:val="18"/>
          <w:color w:val="auto"/>
        </w:rPr>
        <w:t>The foregoing description of the OncoMed Support Agreements does not purport to be complete and is qualified in its entirety by reference to the form of OncoMed Support Agreement filed as Exhibit 10.1 to OncoMed’s Current Report on Form 8-K filed on December 6, 2018.</w:t>
      </w:r>
    </w:p>
    <w:p>
      <w:pPr>
        <w:spacing w:after="0" w:line="203" w:lineRule="exact"/>
        <w:rPr>
          <w:sz w:val="20"/>
          <w:szCs w:val="20"/>
          <w:color w:val="auto"/>
        </w:rPr>
      </w:pPr>
    </w:p>
    <w:p>
      <w:pPr>
        <w:jc w:val="both"/>
        <w:ind w:left="200" w:right="200" w:firstLine="331"/>
        <w:spacing w:after="0" w:line="238" w:lineRule="auto"/>
        <w:rPr>
          <w:sz w:val="20"/>
          <w:szCs w:val="20"/>
          <w:color w:val="auto"/>
        </w:rPr>
      </w:pPr>
      <w:r>
        <w:rPr>
          <w:rFonts w:ascii="Arial" w:cs="Arial" w:eastAsia="Arial" w:hAnsi="Arial"/>
          <w:sz w:val="18"/>
          <w:szCs w:val="18"/>
          <w:color w:val="auto"/>
        </w:rPr>
        <w:t>Simultaneously with the execution of the OncoMed CVR Agreement, Biotechnology Value Fund, L.P., Biotechnology Value Fund II, L.P., MSI BVF, L.L.C. and Biotechnology Value Trading Fund OS LP, in their respective capacities as stockholders of OncoMed, entered into support agreements with Mereo in a form substantially similar to the OncoMed Support Agreements. At the close of business on the record date for the OncoMed Special Meeting, such stockholders beneficially owned and were entitled to vote approximately 10.45% of the shares of OncoMed common stock outstanding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Support Agreements</w:t>
      </w:r>
    </w:p>
    <w:p>
      <w:pPr>
        <w:spacing w:after="0" w:line="99"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In order to induce OncoMed to enter into the Merger Agreement, each of the officers and directors of Mereo holding Mereo Shares or options to acquire Mereo Shares, together with certain of Mereo’s largest shareholders (collectively, the “Supporting Shareholders”) entered into Shareholder Support Agreements (the “Mereo Support Agreements”) with OncoMed with respect to the Mereo Shares and options to acquire Mereo Shares, as applicable, beneficially owned by the Supporting Shareholders. As of December 5, 2018, such shareholders collectively controlled 65,722,239 Shares, representing approximately 92.3% of the issued and outstanding Mereo Shares.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the Mereo Support Agreements and subject, in the case of each Mereo Support Agreement, to the terms and conditions of such Mereo Support Agreement, which may vary from the terms and conditions of each other Mereo Support Agreement, each Supporting Shareholder has agreed, among other things, to vote its respective Mereo Shares (i) in favor of the adoption and approval of the Merger Agreement and approval of the Merger and other transactions contemplated thereby, (ii) in favor of any proposal to adjourn or postpone any meeting of the stockholders of Mereo at which any of the foregoing matters are submitted for consideration to solicit additional votes, (iii) in favor of the adoption and approval of any “whitewash” resolution sought pursuant to the U.K. City Code as it relates to the issuance of Mereo Shares underlying the Share Consideration to any person (including any persons acting in concert with such person), (iv) to adopt and approve any amendments to the articles of association of Mereo deemed by the Mereo Board to be necessary in connection with the Merger and (v) against any alternative proposal and against any action or agreement that would reasonably be expected to frustrate the purposes, prevent, delay or otherwise adversely affect the consummation of, the transactions contemplated by the Merger Agreement. The Mereo Support Agreements do not limit or restrict any Supporting Shareholder in his or her capacity as a director or officer of Mereo from acting in such capacity or voting in such capacity in such person’s sole discretion on any matter.</w:t>
      </w:r>
    </w:p>
    <w:p>
      <w:pPr>
        <w:spacing w:after="0" w:line="205" w:lineRule="exact"/>
        <w:rPr>
          <w:sz w:val="20"/>
          <w:szCs w:val="20"/>
          <w:color w:val="auto"/>
        </w:rPr>
      </w:pPr>
    </w:p>
    <w:p>
      <w:pPr>
        <w:jc w:val="both"/>
        <w:ind w:left="200" w:right="300" w:firstLine="331"/>
        <w:spacing w:after="0" w:line="246" w:lineRule="auto"/>
        <w:rPr>
          <w:sz w:val="20"/>
          <w:szCs w:val="20"/>
          <w:color w:val="auto"/>
        </w:rPr>
      </w:pPr>
      <w:r>
        <w:rPr>
          <w:rFonts w:ascii="Arial" w:cs="Arial" w:eastAsia="Arial" w:hAnsi="Arial"/>
          <w:sz w:val="18"/>
          <w:szCs w:val="18"/>
          <w:color w:val="auto"/>
        </w:rPr>
        <w:t>The Mereo Support Agreements terminate upon the earlier to occur of: (i) the effective time of the Merger and (ii) termination of the Merger Agreement in accordance with its terms.</w:t>
      </w:r>
    </w:p>
    <w:p>
      <w:pPr>
        <w:spacing w:after="0" w:line="197" w:lineRule="exact"/>
        <w:rPr>
          <w:sz w:val="20"/>
          <w:szCs w:val="20"/>
          <w:color w:val="auto"/>
        </w:rPr>
      </w:pPr>
    </w:p>
    <w:p>
      <w:pPr>
        <w:jc w:val="both"/>
        <w:ind w:left="200" w:right="300" w:firstLine="331"/>
        <w:spacing w:after="0" w:line="261" w:lineRule="auto"/>
        <w:rPr>
          <w:sz w:val="20"/>
          <w:szCs w:val="20"/>
          <w:color w:val="auto"/>
        </w:rPr>
      </w:pPr>
      <w:r>
        <w:rPr>
          <w:rFonts w:ascii="Arial" w:cs="Arial" w:eastAsia="Arial" w:hAnsi="Arial"/>
          <w:sz w:val="17"/>
          <w:szCs w:val="17"/>
          <w:color w:val="auto"/>
        </w:rPr>
        <w:t>To the extent that any Supporting Shareholder acquires beneficial ownership of any additional Mereo Shares during the term of the applicable Mereo Support Agreement, such shares will become subject to the terms of the applicable Mereo Support Agreement to the same extent as though such shares were owned by such Supporting Shareholder as of the date of the Mereo Support Agreements.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the earlier of (1) the termination of the Mereo Support Agreement and (2) the date on which the Merger Agreement is adopted by Mereo’s shareholders, each Supporting Shareholder is prohibited from transferring any Mereo Shares beneficially owned by such Supporting Shareholder, subject to certain exceptions. Each Supporting Shareholder has also agreed, subject to certain exceptions set forth in the applicable Mereo Support Agreement, not to (i) take any action to solicit, initiate or knowingly encourage, induce or facilitate any competing acquisition proposal or any inquiry, proposal or offer that may reasonably be expected to lead to such an acquisition proposal, (ii) furnish or disclose any nonpublic information relating to Mereo or any of its subsidiaries or afford access to the properties, books or records of Mereo or any of its subsidiaries to, or otherwise knowingly cooperate in any way with, any person that may be considering making, is otherwise seeking to make, or has made, a competing acquisition proposal or has agreed to endorse such an acquisition proposal, or (iii) participate in any discussions or negotiations with any third party that is reasonably expected to make, or has made, a competing acquisition proposal, regarding such an acquisition proposal.</w:t>
      </w:r>
    </w:p>
    <w:p>
      <w:pPr>
        <w:spacing w:after="0" w:line="207"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The foregoing description of the Mereo Support Agreements does not purport to be complete and is qualified in its entirety by reference to the form of Mereo Support Agreement by and between OncoMed and certain officers and directors of Mereo filed as Exhibit 10.2, and the Mereo Support Agreements filed as Exhibits 10.3, 10.4, 10.5, and 10.6, to OncoMed’s Current Report on Form 8-K filed on December 6, 2018, and to the Mereo Support Agreement filed herewith as Exhibit 10.1.</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240" w:top="460"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 OF MEREO AND CERTAIN INFORMATION ABOUT MEREO</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it acquired from large pharmaceutical companies. Mereo is developing BPS-804 for the treatment of osteogenesis imperfecta (“OI”), MPH-966 for the treatment of severe alpha-1 antitrypsin deficiency (“AATD”), BCT-197 for the treatment of acute exacerbations of chronic obstructive pulmonary disease (“AECOPD”), and BGS-649 for the treatment of hypogonadotropic hypogonadism (“HH”), in obese men. Each of Mereo’s product candidates has generated positive clinical data for its target indication or for a related indication. Mereo believes its portfolio is well diversified because each of its product candidates employs a different mechanism of action and targets a separate indication. Mereo intends to develop and directly commercialize its rare disease product candidates. For its specialty disease product candidates, Mereo intends to seek strategic relationships for further clinical development and commercialization.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its current product candidates from Novartis Pharma AG (“Novartis”), and AstraZeneca AB (“AstraZeneca”). Mereo has commenced or completed large, randomized, placebo-controlled Phase 2 clinical trials for all four of its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team has extensive experience in the pharmaceutical and biotechnology sector in the identification, acquisition, development, manufacturing, and commercialization of product candidates in multiple therapeutic areas. Mereo’s senior management team has long-standing relationships with senior executives of large pharmaceutical companies, which Mereo believes enhances its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Mereo’s pipeline. Mereo has global commercial rights to all of its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13985" cy="2212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240" w:top="460"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portfolio consists of the following product candidates:</w:t>
      </w:r>
    </w:p>
    <w:p>
      <w:pPr>
        <w:spacing w:after="0" w:line="217" w:lineRule="exact"/>
        <w:rPr>
          <w:sz w:val="20"/>
          <w:szCs w:val="20"/>
          <w:color w:val="auto"/>
        </w:rPr>
      </w:pPr>
    </w:p>
    <w:p>
      <w:pPr>
        <w:ind w:left="960" w:right="60" w:hanging="432"/>
        <w:spacing w:after="0" w:line="233"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BPS-804</w:t>
      </w:r>
      <w:r>
        <w:rPr>
          <w:rFonts w:ascii="Arial" w:cs="Arial" w:eastAsia="Arial" w:hAnsi="Arial"/>
          <w:sz w:val="18"/>
          <w:szCs w:val="18"/>
          <w:color w:val="auto"/>
        </w:rPr>
        <w:t>: BPS-804, or setrusumab, is a novel antibody Mereo is developing as a treatment for OI, a rare genetic disease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FDA or EMA. It is estimated that OI affects a minimum of 20,000 people in the United States and approximately 32,000 people in Germany, Spain, France, Italy, and the United Kingdom. BPS-804 is designed to inhibit sclerostin, a protein that inhibits the activity of bone-forming cells. Mereo believes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Mereo obtained orphan drug designation in OI for BPS-804 in the United States and the European Union (“EU”), and in February 2017, BPS-804 was accepted into the adaptive pathways program in the EU and, in November 2017, into the PRIME scheme of the EMA. Prior to Mereo’s acquisition of BPS-804, Novartis conducted four clinical trials in 106 patients and healthy volunteers. A Phase 2 clinical trial of BPS-804 showed statistically significant improvements in bone formation biomarkers and bone mineral density. In May 2017, Mereo initiated a Phase 2b clinical trial for BPS-804 in adults in the United States, Europe and Canada. The trial is randomized with three blinded arms to establish the dose response curve and an open label arm at the top dose. Mereo expects to report top-line 6-month data from the open label arm in the first half of 2019 and top-line 12-month data from the three blinded arms by the end of 2019. Mereo expects the results from this trial, if favorable, along with validation of its use of high resolution peripheral quantitative computerized tomography (“HRpQCT”) as a biomarker for fracture, may be sufficient to support the submission of a Conditional Marketing Authorisation (“CMA”), to the EMA for BPS-804 for the treatment of adults with OI in the EU. Mereo has also agreed a Pediatric Investigational Plan for BPS-804 with the EMA and intends to commence a Phase 3 clinical trial of BPS-804 in children with OI in 2019 in Europe and Canada, with fracture rate as the primary endpoint. Mereo expects the results from this trial, if favorable, may be sufficient to validate the use of HRpQCT and support the submission of a MAA, to the EMA for BPS-804 for the treatment of children with severe OI in the EU.</w:t>
      </w:r>
    </w:p>
    <w:p>
      <w:pPr>
        <w:spacing w:after="0" w:line="94"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in Europe and Canada for children with severe OI or Mereo’s clinical development activities of BPS-804 in Europe, the United States and Canada for adults with OI.</w:t>
      </w:r>
    </w:p>
    <w:p>
      <w:pPr>
        <w:spacing w:after="0" w:line="7" w:lineRule="exact"/>
        <w:rPr>
          <w:rFonts w:ascii="MS PGothic" w:cs="MS PGothic" w:eastAsia="MS PGothic" w:hAnsi="MS PGothic"/>
          <w:sz w:val="25"/>
          <w:szCs w:val="25"/>
          <w:color w:val="auto"/>
          <w:vertAlign w:val="superscript"/>
        </w:rPr>
      </w:pPr>
    </w:p>
    <w:p>
      <w:pPr>
        <w:ind w:left="960" w:right="20" w:hanging="432"/>
        <w:spacing w:after="0" w:line="231"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MPH-966</w:t>
      </w:r>
      <w:r>
        <w:rPr>
          <w:rFonts w:ascii="Arial" w:cs="Arial" w:eastAsia="Arial" w:hAnsi="Arial"/>
          <w:sz w:val="18"/>
          <w:szCs w:val="18"/>
          <w:color w:val="auto"/>
        </w:rPr>
        <w:t>: MPH-966, or alvelestat, is a novel, oral small molecule Mereo is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alpha-1 antitrypsin (“AAT”), a protein that protects the lungs from enzymatic degradation. This degradation leads to severe debilitating diseases, including early-onset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00"/>
        <w:spacing w:after="0" w:line="239" w:lineRule="auto"/>
        <w:rPr>
          <w:sz w:val="20"/>
          <w:szCs w:val="20"/>
          <w:color w:val="auto"/>
        </w:rPr>
      </w:pPr>
      <w:r>
        <w:rPr>
          <w:rFonts w:ascii="Arial" w:cs="Arial" w:eastAsia="Arial" w:hAnsi="Arial"/>
          <w:sz w:val="18"/>
          <w:szCs w:val="18"/>
          <w:color w:val="auto"/>
        </w:rPr>
        <w:t>pulmonary emphysema, a disease that irreversibly destroys the tissues that support lung function. There are an estimated 50,000 patients in North America and 60,000 patients in Europe with severe AATD. MPH-966 is designed to inhibit neutrophil elastase (“NE”), a neutrophil protease, which is a key enzyme involved in the destruction of lung tissue. Mereo believes the inhibition of NE has the potential to protect AATD patients from further lung damage.</w:t>
      </w:r>
    </w:p>
    <w:p>
      <w:pPr>
        <w:spacing w:after="0" w:line="94"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Prior to Mereo’s license of MPH-966, AstraZeneca conducted 12 clinical trials involving 1,776 subjects, including trials in bronchiectasis and cystic fibrosis (“CF”). Although these trials were conducted in diseases other than AATD, Mereo believes the data demonstrated potential clinical benefit and biomarker evidence of treatment effect for AATD patients. Mereo has initiated a Phase 2 proof-of-concept clinical trial in patients with severe AATD in the United States and the EU and expects to report top-line data from this trial in the fourth quarter of 2019.</w:t>
      </w:r>
    </w:p>
    <w:p>
      <w:pPr>
        <w:spacing w:after="0" w:line="5" w:lineRule="exact"/>
        <w:rPr>
          <w:sz w:val="20"/>
          <w:szCs w:val="20"/>
          <w:color w:val="auto"/>
        </w:rPr>
      </w:pPr>
    </w:p>
    <w:p>
      <w:pPr>
        <w:ind w:left="960" w:right="140" w:hanging="432"/>
        <w:spacing w:after="0" w:line="233"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BCT-197</w:t>
      </w:r>
      <w:r>
        <w:rPr>
          <w:rFonts w:ascii="Arial" w:cs="Arial" w:eastAsia="Arial" w:hAnsi="Arial"/>
          <w:sz w:val="18"/>
          <w:szCs w:val="18"/>
          <w:color w:val="auto"/>
        </w:rPr>
        <w:t>: BCT-197, or acumapimod, is a p38 MAP kinase inhibitor Mereo is developing as an oral first-line acute therapy for</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AECOPD. Chronic obstructive pulmonary disease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Mereo believes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26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Mereo believes that there is significant medical need for a drug which is disease-modifying. Mereo believes BCT-197 could potentially prevent AECOPD instead of just treating the symptoms and has the potential to improve quality of life, slow the progression of the disease, and significantly reduce direct healthcare costs.</w:t>
      </w:r>
    </w:p>
    <w:p>
      <w:pPr>
        <w:spacing w:after="0" w:line="26" w:lineRule="exact"/>
        <w:rPr>
          <w:rFonts w:ascii="MS PGothic" w:cs="MS PGothic" w:eastAsia="MS PGothic" w:hAnsi="MS PGothic"/>
          <w:sz w:val="25"/>
          <w:szCs w:val="25"/>
          <w:color w:val="auto"/>
          <w:vertAlign w:val="superscript"/>
        </w:rPr>
      </w:pPr>
    </w:p>
    <w:p>
      <w:pPr>
        <w:ind w:left="980" w:right="6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Mereo’s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94" w:lineRule="exact"/>
        <w:rPr>
          <w:rFonts w:ascii="MS PGothic" w:cs="MS PGothic" w:eastAsia="MS PGothic" w:hAnsi="MS PGothic"/>
          <w:sz w:val="25"/>
          <w:szCs w:val="25"/>
          <w:color w:val="auto"/>
          <w:vertAlign w:val="superscript"/>
        </w:rPr>
      </w:pPr>
    </w:p>
    <w:p>
      <w:pPr>
        <w:ind w:left="980" w:right="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Mereo conducted a Phase 2 dose-ranging clinical trial for BCT-197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high sensitivity C-reactive protein (“hsCRP”) and fibrinogen were shown with treatment with BCT-197, with hsCRP remaining suppressed through the 26-week observation period. Treatment with BCT-197 also showed a statistically significant reduction in the number of COPD exacerbations that required hospitalization. Consistent with these results, there was a significant reduction in the use of corticosteroid and antibiotics in the follow-up portion of the study. In addition, BCT-197 was reported to be safe and well tolerated. Based on these results, Mereo plans to enter into one or more strategic relationships with third parties for further clinical development and, if approved, commercialization, of BCT-197.</w:t>
      </w:r>
    </w:p>
    <w:p>
      <w:pPr>
        <w:spacing w:after="0" w:line="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BGS-649</w:t>
      </w:r>
      <w:r>
        <w:rPr>
          <w:rFonts w:ascii="Arial" w:cs="Arial" w:eastAsia="Arial" w:hAnsi="Arial"/>
          <w:sz w:val="18"/>
          <w:szCs w:val="18"/>
          <w:color w:val="auto"/>
        </w:rPr>
        <w:t>: BGS-649, or leflutrozole, is a once-weekly oral therapy Mereo is developing for the treatment of HH in obese men. HH</w:t>
      </w:r>
      <w:r>
        <w:rPr>
          <w:rFonts w:ascii="Arial" w:cs="Arial" w:eastAsia="Arial" w:hAnsi="Arial"/>
          <w:sz w:val="18"/>
          <w:szCs w:val="18"/>
          <w:b w:val="1"/>
          <w:bCs w:val="1"/>
          <w:color w:val="auto"/>
        </w:rPr>
        <w:t xml:space="preserve"> </w:t>
      </w:r>
      <w:r>
        <w:rPr>
          <w:rFonts w:ascii="Arial" w:cs="Arial" w:eastAsia="Arial" w:hAnsi="Arial"/>
          <w:sz w:val="18"/>
          <w:szCs w:val="18"/>
          <w:color w:val="auto"/>
        </w:rPr>
        <w:t>is a clinical syndrome that results from inadequate levels of testosterone. Based on World Health Organization (“WHO”), estimates and scientific data, Mereo estimates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55" w:lineRule="auto"/>
        <w:rPr>
          <w:sz w:val="20"/>
          <w:szCs w:val="20"/>
          <w:color w:val="auto"/>
        </w:rPr>
      </w:pPr>
      <w:r>
        <w:rPr>
          <w:rFonts w:ascii="Arial" w:cs="Arial" w:eastAsia="Arial" w:hAnsi="Arial"/>
          <w:sz w:val="17"/>
          <w:szCs w:val="17"/>
          <w:color w:val="auto"/>
        </w:rPr>
        <w:t>the aromatase enzyme and is being developed to restore normal levels of testosterone without causing excessively high testosterone levels or reducing the levels of luteinizing hormone (“LH”), or follicular stimulating hormone (“FSH”). Both LH and FSH play key roles in sperm formation and LH plays a key role in endogenous testosterone formation. In contrast to current therapies for HH, which involve the exogenous administration of testosterone and lead to further down regulation of LH and FSH, Mereo believes that BGS-649, by preserving sperm formation through LH and FSH production, may present a benefit to patients.</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Mereo’s acquisition of BGS-649, Novartis conducted seven clinical trials in 131 patients and healthy volunteers, including a Phase 2 proof-of-concept trial for HH in obese men in which BGS-649 normalized testosterone levels in all patients and demonstrated an increase in LH and FSH levels.</w:t>
      </w:r>
    </w:p>
    <w:p>
      <w:pPr>
        <w:spacing w:after="0" w:line="95" w:lineRule="exact"/>
        <w:rPr>
          <w:sz w:val="20"/>
          <w:szCs w:val="20"/>
          <w:color w:val="auto"/>
        </w:rPr>
      </w:pPr>
    </w:p>
    <w:p>
      <w:pPr>
        <w:ind w:left="980"/>
        <w:spacing w:after="0" w:line="236" w:lineRule="auto"/>
        <w:rPr>
          <w:sz w:val="20"/>
          <w:szCs w:val="20"/>
          <w:color w:val="auto"/>
        </w:rPr>
      </w:pPr>
      <w:r>
        <w:rPr>
          <w:rFonts w:ascii="Arial" w:cs="Arial" w:eastAsia="Arial" w:hAnsi="Arial"/>
          <w:sz w:val="18"/>
          <w:szCs w:val="18"/>
          <w:color w:val="auto"/>
        </w:rPr>
        <w:t>In March 2018, Mereo reported top-line data from its completed Phase 2b dose-ranging clinical trial of BGS-649 for the treatment of HH in obese men. The trial enrolled 271 patients who were administered placebo or one of three doses of BGS-649. The trial met its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BGS-649 was reported to be well-tolerated in the trial. A subset of 143 patients entered into a six-month safety extension study, with 88 patients completing the additional six months of treatment. The safety extension study was designed to examine if BGS-649 resulted in a pre-specified reduction in bone mineral density (BMD) at 48 weeks following the initial 24 weeks treatment.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BMD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Mereo intends to explore strategic relationships with third parties for the further development and/or commercialization of BGS-649.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Strategy</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Mereo intends to become a leading biopharmaceutical company developing innovative therapeutics that aim to improve outcomes for patients with rare bone, respiratory and endocrine diseases. The key elements of Mereo’s strategy to achieve this goal include:</w:t>
      </w:r>
    </w:p>
    <w:p>
      <w:pPr>
        <w:spacing w:after="0" w:line="202" w:lineRule="exact"/>
        <w:rPr>
          <w:sz w:val="20"/>
          <w:szCs w:val="20"/>
          <w:color w:val="auto"/>
        </w:rPr>
      </w:pPr>
    </w:p>
    <w:p>
      <w:pPr>
        <w:ind w:left="960" w:right="140" w:hanging="432"/>
        <w:spacing w:after="0" w:line="233"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Mereo’s rare disease product candidates. </w:t>
      </w:r>
      <w:r>
        <w:rPr>
          <w:rFonts w:ascii="Arial" w:cs="Arial" w:eastAsia="Arial" w:hAnsi="Arial"/>
          <w:sz w:val="18"/>
          <w:szCs w:val="18"/>
          <w:color w:val="auto"/>
        </w:rPr>
        <w:t>Mereo has commenced a Phase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2b clinical trial of BPS-804 for the treatment of OI in adults in the United States, Europe and Canada. If the results from this trial are favorable and Mereo’s use of HRpQCT as a biomarker for fracture is validated, Mereo intends to submit a CMA to the EMA for the treatment of adults with OI in the EU. Mereo also intends to commence a Phase 3 clinical trial of BPS-804 for the treatment of OI in children in 2019 in Europe and Canada. Mereo expects that the results from this trial, if favorable, will be sufficient to validate its use of HRpQCT and support the submission of a MAA to the EMA for BPS-804 for the treatment of children with severe OI in the EU. Mereo has commenced a Phase 2 clinical trial of MPH-966 for the treatment of severe AATD and expect to report top-line data in the fourth quarter of 2019. If the results are favorable and pending regulatory feedback, Mereo intends to continue to develop MPH-966 toward approval and commercialization. For BPS-804 and MPH-966, if approved, and for any future product candidates for rare diseases, Mereo intends either to establish a sales and marketing organization with technical expertise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supporting distribution capabilities to commercialize these product candidates in major markets or potentially to outsource aspects of these functions to third parties.</w:t>
      </w:r>
    </w:p>
    <w:p>
      <w:pPr>
        <w:spacing w:after="0" w:line="3" w:lineRule="exact"/>
        <w:rPr>
          <w:sz w:val="20"/>
          <w:szCs w:val="20"/>
          <w:color w:val="auto"/>
        </w:rPr>
      </w:pPr>
    </w:p>
    <w:p>
      <w:pPr>
        <w:ind w:left="960" w:right="40" w:hanging="432"/>
        <w:spacing w:after="0" w:line="233"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Mereo’s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results from Mereo’s Phase 2 clinical trial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BCT-197, Mereo plans to enter into one or more strategic relationships with third parties for BCT-197 to undertake the next phase of clinical development and, if approved, commercialization. In March 2018, Mereo reported top-line Phase 2b data for BGS-649 for the treatment of HH and in December 2018, Mereo reported positive results from the safety extension study for BGS-649. Mereo intends to explore strategic relationships with third parties for the further development and commercialization of BGS-649.</w:t>
      </w:r>
    </w:p>
    <w:p>
      <w:pPr>
        <w:spacing w:after="0" w:line="7" w:lineRule="exact"/>
        <w:rPr>
          <w:rFonts w:ascii="MS PGothic" w:cs="MS PGothic" w:eastAsia="MS PGothic" w:hAnsi="MS PGothic"/>
          <w:sz w:val="25"/>
          <w:szCs w:val="25"/>
          <w:color w:val="auto"/>
          <w:vertAlign w:val="superscript"/>
        </w:rPr>
      </w:pPr>
    </w:p>
    <w:p>
      <w:pPr>
        <w:ind w:left="960" w:right="120" w:hanging="432"/>
        <w:spacing w:after="0" w:line="233"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Mereo’s expertise in business development to expand its pipeline of product candidates. </w:t>
      </w:r>
      <w:r>
        <w:rPr>
          <w:rFonts w:ascii="Arial" w:cs="Arial" w:eastAsia="Arial" w:hAnsi="Arial"/>
          <w:sz w:val="18"/>
          <w:szCs w:val="18"/>
          <w:color w:val="auto"/>
        </w:rPr>
        <w:t>Mereo’s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Mereo’s four clinical-stage product candidates. Mereo intends to leverage these relationships to grow its pipeline with a focus on rare bone, endocrine, and respiratory diseases. Mereo intends to continue to identify, acquire, develop, and ultimately commercialize novel product candidates that have received significant investment from large pharmaceutical companies. Mereo will continue to focus on acquiring product candidates with either proof-of-concept clinical data in its target indication or with clinical data in a related disease and a strong scientific rationale that supports development in its target indication. Using a disciplined approach, Mereo intends to continue building a diverse portfolio of product candidates that it believes have compelling market potential, robust pre-clinical, clinical, and manufacturing data packages, and a clear regulatory pathway.</w:t>
      </w:r>
    </w:p>
    <w:p>
      <w:pPr>
        <w:spacing w:after="0" w:line="12"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Mereo believes that it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it seeks to unlock the potential in its development pipelines and deliver therapeutics to patients in areas of high unmet medical need. Mereo has strong relationships with these companies, as evidenced by its agreements with Novartis and AstraZeneca, and a track record of structuring transactions that enable Mereo to leverage its core development capabilities while creating value for all stakeholders. Mereo intends to continue to enter into strategic relationships that align its interests with those of large pharmaceutical and biotechnology companies and that it believes to be mutually beneficial.</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Mereo is developing BPS-804 (setrusumab) for the treatment of OI. BPS-804 is a novel, intravenously administered antibody that is designed to inhibit sclerostin, a protein that inhibits the activity of bone-forming cells, known as osteoblasts. Mereo believes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Foundation, and approximately 32,000 people, an incidence rate of 10 out of 100,000, in Germany, Spain, France, Italy, and the United Kingdom, according to estimates by Orphanet.</w:t>
      </w:r>
    </w:p>
    <w:p>
      <w:pPr>
        <w:spacing w:after="0" w:line="19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99"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Mereo is not aware of any long-term clinical studies demonstrating an improvement in fractures in adults and the effect of long-term therapy with these drugs remains unclear. Therefore, Mereo believes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Mereo’s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Mereo believes that by blocking sclerostin, BPS-804 has the potential to induce or increase osteoblast activity and maturation of these cells, increasing bone formation and reducing bone resorption, thereby reducing fractures in OI patients.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Current Trials</w:t>
            </w: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Planned Trials</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Phase</w:t>
            </w:r>
          </w:p>
        </w:tc>
        <w:tc>
          <w:tcPr>
            <w:tcW w:w="180" w:type="dxa"/>
            <w:vAlign w:val="bottom"/>
            <w:vMerge w:val="restart"/>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Treated with</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6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BPS-804</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Population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Enrollment</w:t>
            </w:r>
          </w:p>
        </w:tc>
        <w:tc>
          <w:tcPr>
            <w:tcW w:w="1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95"/>
              </w:rPr>
              <w:t>Phase 1</w:t>
            </w:r>
          </w:p>
        </w:tc>
        <w:tc>
          <w:tcPr>
            <w:tcW w:w="18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Healthy Volunteers (postmenopausal</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Phase 2b</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OI (adult)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Phase 3</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OI</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~160</w:t>
            </w: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women)</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rPr>
              <w:t>(pediatrics)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gridSpan w:val="3"/>
          </w:tcPr>
          <w:p>
            <w:pPr>
              <w:jc w:val="right"/>
              <w:ind w:right="300"/>
              <w:spacing w:after="0"/>
              <w:rPr>
                <w:sz w:val="20"/>
                <w:szCs w:val="20"/>
                <w:color w:val="auto"/>
              </w:rPr>
            </w:pPr>
            <w:r>
              <w:rPr>
                <w:rFonts w:ascii="Arial" w:cs="Arial" w:eastAsia="Arial" w:hAnsi="Arial"/>
                <w:sz w:val="16"/>
                <w:szCs w:val="16"/>
                <w:color w:val="auto"/>
                <w:w w:val="98"/>
              </w:rPr>
              <w:t>Phase 2</w:t>
            </w:r>
          </w:p>
        </w:tc>
        <w:tc>
          <w:tcPr>
            <w:tcW w:w="2740" w:type="dxa"/>
            <w:vAlign w:val="bottom"/>
          </w:tcPr>
          <w:p>
            <w:pPr>
              <w:jc w:val="center"/>
              <w:spacing w:after="0"/>
              <w:rPr>
                <w:sz w:val="20"/>
                <w:szCs w:val="20"/>
                <w:color w:val="auto"/>
              </w:rPr>
            </w:pPr>
            <w:r>
              <w:rPr>
                <w:rFonts w:ascii="Arial" w:cs="Arial" w:eastAsia="Arial" w:hAnsi="Arial"/>
                <w:sz w:val="16"/>
                <w:szCs w:val="16"/>
                <w:color w:val="auto"/>
              </w:rPr>
              <w:t>Hypophosphatasia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5"/>
              </w:rPr>
              <w:t>Phase 2</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Women with Low Bone Mineral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Density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00" w:type="dxa"/>
            <w:vAlign w:val="bottom"/>
            <w:gridSpan w:val="3"/>
          </w:tcPr>
          <w:p>
            <w:pPr>
              <w:jc w:val="right"/>
              <w:ind w:right="300"/>
              <w:spacing w:after="0"/>
              <w:rPr>
                <w:sz w:val="20"/>
                <w:szCs w:val="20"/>
                <w:color w:val="auto"/>
              </w:rPr>
            </w:pPr>
            <w:r>
              <w:rPr>
                <w:rFonts w:ascii="Arial" w:cs="Arial" w:eastAsia="Arial" w:hAnsi="Arial"/>
                <w:sz w:val="16"/>
                <w:szCs w:val="16"/>
                <w:color w:val="auto"/>
                <w:w w:val="98"/>
              </w:rPr>
              <w:t>Phase 2</w:t>
            </w:r>
          </w:p>
        </w:tc>
        <w:tc>
          <w:tcPr>
            <w:tcW w:w="2740" w:type="dxa"/>
            <w:vAlign w:val="bottom"/>
          </w:tcPr>
          <w:p>
            <w:pPr>
              <w:jc w:val="center"/>
              <w:spacing w:after="0"/>
              <w:rPr>
                <w:sz w:val="20"/>
                <w:szCs w:val="20"/>
                <w:color w:val="auto"/>
              </w:rPr>
            </w:pPr>
            <w:r>
              <w:rPr>
                <w:rFonts w:ascii="Arial" w:cs="Arial" w:eastAsia="Arial" w:hAnsi="Arial"/>
                <w:sz w:val="16"/>
                <w:szCs w:val="16"/>
                <w:color w:val="auto"/>
              </w:rPr>
              <w:t>OI</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26"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(“P1NP”), procollagen 1 C terminal propeptide (“P1CP”), osteocalcin (“OC”) and bone-specific alkaline phosphatase (“BSAP”); and</w:t>
      </w:r>
    </w:p>
    <w:p>
      <w:pPr>
        <w:spacing w:after="0" w:line="27" w:lineRule="exact"/>
        <w:rPr>
          <w:rFonts w:ascii="MS PGothic" w:cs="MS PGothic" w:eastAsia="MS PGothic" w:hAnsi="MS PGothic"/>
          <w:sz w:val="25"/>
          <w:szCs w:val="25"/>
          <w:color w:val="auto"/>
          <w:vertAlign w:val="superscript"/>
        </w:rPr>
      </w:pPr>
    </w:p>
    <w:p>
      <w:pPr>
        <w:ind w:left="1400" w:right="40" w:hanging="426"/>
        <w:spacing w:after="0" w:line="218" w:lineRule="auto"/>
        <w:tabs>
          <w:tab w:leader="none" w:pos="1400" w:val="left"/>
        </w:tabs>
        <w:numPr>
          <w:ilvl w:val="1"/>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(“CTX-1”) and N-telopeptides of type I collagen cross-links.</w:t>
      </w:r>
    </w:p>
    <w:p>
      <w:pPr>
        <w:spacing w:after="0" w:line="203"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a low, medium and high dose of BPS-804 two weeks apart, over four weeks, and were followed for a total of 21 weeks after the last dose. DEXA studies were performed at day 141 and bone biomarkers were measured on days eight, 15, 29, 36, 43, 57, 85, 113 and 141, for both groups.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b w:val="1"/>
                <w:bCs w:val="1"/>
                <w:color w:val="auto"/>
              </w:rPr>
              <w:t>Reference</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Ratio of</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Ratio of</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rPr>
              <w:t>geometric</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Parameter</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19"/>
              <w:spacing w:after="0"/>
              <w:rPr>
                <w:sz w:val="20"/>
                <w:szCs w:val="20"/>
                <w:color w:val="auto"/>
              </w:rPr>
            </w:pPr>
            <w:r>
              <w:rPr>
                <w:rFonts w:ascii="Arial" w:cs="Arial" w:eastAsia="Arial" w:hAnsi="Arial"/>
                <w:sz w:val="14"/>
                <w:szCs w:val="14"/>
                <w:b w:val="1"/>
                <w:bCs w:val="1"/>
                <w:color w:val="auto"/>
              </w:rPr>
              <w:t>patients</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baseline</w:t>
            </w: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p-value</w:t>
            </w:r>
          </w:p>
        </w:tc>
        <w:tc>
          <w:tcPr>
            <w:tcW w:w="2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baseline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Bone Mineral Density</w:t>
            </w:r>
          </w:p>
        </w:tc>
        <w:tc>
          <w:tcPr>
            <w:tcW w:w="3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0.038(1)</w:t>
            </w:r>
          </w:p>
        </w:tc>
        <w:tc>
          <w:tcPr>
            <w:tcW w:w="2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4(2)</w:t>
            </w:r>
          </w:p>
        </w:tc>
        <w:tc>
          <w:tcPr>
            <w:tcW w:w="3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40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right="520" w:hanging="316"/>
        <w:spacing w:after="0" w:line="234" w:lineRule="auto"/>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1" w:lineRule="exact"/>
        <w:rPr>
          <w:rFonts w:ascii="Arial" w:cs="Arial" w:eastAsia="Arial" w:hAnsi="Arial"/>
          <w:sz w:val="18"/>
          <w:szCs w:val="18"/>
          <w:color w:val="auto"/>
        </w:rPr>
      </w:pPr>
    </w:p>
    <w:p>
      <w:pPr>
        <w:ind w:left="520" w:hanging="316"/>
        <w:spacing w:after="0"/>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20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BPS-804</w:t>
            </w: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center"/>
              <w:ind w:right="4"/>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ind w:right="4"/>
              <w:spacing w:after="0" w:line="143" w:lineRule="exact"/>
              <w:rPr>
                <w:sz w:val="20"/>
                <w:szCs w:val="20"/>
                <w:color w:val="auto"/>
              </w:rPr>
            </w:pPr>
            <w:r>
              <w:rPr>
                <w:rFonts w:ascii="Arial" w:cs="Arial" w:eastAsia="Arial" w:hAnsi="Arial"/>
                <w:sz w:val="14"/>
                <w:szCs w:val="14"/>
                <w:b w:val="1"/>
                <w:bCs w:val="1"/>
                <w:color w:val="auto"/>
              </w:rPr>
              <w:t>geometric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means 90%</w:t>
            </w:r>
          </w:p>
        </w:tc>
        <w:tc>
          <w:tcPr>
            <w:tcW w:w="0" w:type="dxa"/>
            <w:vAlign w:val="bottom"/>
          </w:tcPr>
          <w:p>
            <w:pPr>
              <w:spacing w:after="0"/>
              <w:rPr>
                <w:sz w:val="1"/>
                <w:szCs w:val="1"/>
                <w:color w:val="auto"/>
              </w:rPr>
            </w:pPr>
          </w:p>
        </w:tc>
      </w:tr>
      <w:tr>
        <w:trPr>
          <w:trHeight w:val="162"/>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Bone formation biomarker</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mean to</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Arial" w:cs="Arial" w:eastAsia="Arial" w:hAnsi="Arial"/>
                <w:sz w:val="14"/>
                <w:szCs w:val="14"/>
                <w:b w:val="1"/>
                <w:bCs w:val="1"/>
                <w:color w:val="auto"/>
              </w:rPr>
              <w:t>confidence</w:t>
            </w:r>
          </w:p>
        </w:tc>
        <w:tc>
          <w:tcPr>
            <w:tcW w:w="0" w:type="dxa"/>
            <w:vAlign w:val="bottom"/>
          </w:tcPr>
          <w:p>
            <w:pPr>
              <w:spacing w:after="0"/>
              <w:rPr>
                <w:sz w:val="1"/>
                <w:szCs w:val="1"/>
                <w:color w:val="auto"/>
              </w:rPr>
            </w:pPr>
          </w:p>
        </w:tc>
      </w:tr>
      <w:tr>
        <w:trPr>
          <w:trHeight w:val="175"/>
        </w:trPr>
        <w:tc>
          <w:tcPr>
            <w:tcW w:w="3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9"/>
              <w:spacing w:after="0"/>
              <w:rPr>
                <w:sz w:val="20"/>
                <w:szCs w:val="20"/>
                <w:color w:val="auto"/>
              </w:rPr>
            </w:pPr>
            <w:r>
              <w:rPr>
                <w:rFonts w:ascii="Arial" w:cs="Arial" w:eastAsia="Arial" w:hAnsi="Arial"/>
                <w:sz w:val="14"/>
                <w:szCs w:val="14"/>
                <w:b w:val="1"/>
                <w:bCs w:val="1"/>
                <w:color w:val="auto"/>
              </w:rPr>
              <w:t>patients</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baseline</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p-value</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baseline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440" w:type="dxa"/>
            <w:vAlign w:val="bottom"/>
          </w:tcPr>
          <w:p>
            <w:pPr>
              <w:spacing w:after="0"/>
              <w:rPr>
                <w:sz w:val="15"/>
                <w:szCs w:val="15"/>
                <w:color w:val="auto"/>
              </w:rPr>
            </w:pPr>
          </w:p>
        </w:tc>
        <w:tc>
          <w:tcPr>
            <w:tcW w:w="860" w:type="dxa"/>
            <w:vAlign w:val="bottom"/>
          </w:tcPr>
          <w:p>
            <w:pPr>
              <w:jc w:val="center"/>
              <w:ind w:right="4"/>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P1NP</w:t>
            </w:r>
          </w:p>
        </w:tc>
        <w:tc>
          <w:tcPr>
            <w:tcW w:w="3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44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0.001(1)</w:t>
            </w:r>
          </w:p>
        </w:tc>
        <w:tc>
          <w:tcPr>
            <w:tcW w:w="2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4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0.651</w:t>
            </w:r>
          </w:p>
        </w:tc>
        <w:tc>
          <w:tcPr>
            <w:tcW w:w="440" w:type="dxa"/>
            <w:vAlign w:val="bottom"/>
            <w:vMerge w:val="continue"/>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0.003(1)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3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0.001(1)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3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0.012(1)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Statistically significant.</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Mereo believes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a low, medium and high dose.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81"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 May 2017, Mereo commenced a Phase 2b clinical trial of BPS-804 in the United States, Europe and Canada. The Phase 2b clinical trial is a multi-center, randomized trial with three blinded arms to</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establish the dose response curve and an open label arm at the top dose. The trial has completed enrollment of 112 patients. Similar to the Phase 2 clinical trial conducted by Novartis, Mereo enrolled patients with type I, III and IV OI. Mereo expects top-line 6-month data from the open label arm in the first half of 2019 and top-line 12-month data from the blinded arms by the end of 2019.</w:t>
      </w:r>
    </w:p>
    <w:p>
      <w:pPr>
        <w:spacing w:after="0" w:line="203"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Mereo’s interactions with the EMA, Mereo believes that the results from this trial, if favorable, and validation of its use of HRpQCT as a biomarker for fracture, from its planned Phase 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addition, Mereo has agreed a Pediatric Investigational Plan for BPS-804 with the EMA, and Mereo intends to commence a Phase 3 clinical trial of BPS-804 for the treatment of OI in children aged 5 to 18 in Europe and Canada in 2019. Mereo intends to enroll approximately 160 patients in this trial, with fracture rate as the primary endpoint. Based on Mereo’s interactions with the EMA, it expects the results from this trial, if favorable, will be sufficient to validate Mereo’s use of HRpQCT and support the submission of a MAA for BPS-804 for the treatment of children with severe OI in the EU.</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in Europe and Canada for children with severe OI or Mereo’s clinical development activities of BPS-804 in Europe, the United States and Canada for adults with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MPH-966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is developing MPH-966 (alvelestat) for the treatment of severe AATD, a potentially life-threatening rare, genetic condition that results in severe debilitating diseases, including early-onset pulmonary emphysema. MPH-966 is a novel, oral small molecule designed to inhibit NE. Scientific data indicate that the increased risk of lung tissue injury in AATD patients may be due to inadequately controlled NE caused by insufficient AAT. Mereo believes that by inhibiting NE, MPH-966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Mereo defines as AATD in patients with either a PiZZ genotype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(“FEV1”), a standard measure of exhalation. The annual mortality rate in this genotype estimated to be 4%. Given that individuals with the Null/Null genotype do not produce any AAT, Mereo believes that they are likely to experience an even greater annual decline in FEV1.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Mereo believes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Mereo’s product candidate for treating severe AATD is MPH-966, a potent, specific oral small molecule that is designed to inhibit NE. Mereo believes that by inhibiting NE, MPH-966 has the potential to reduce the enzymatic destruction of lung tissue. Furthermore, Mereo believes that convenient oral dosing of MPH-966 could provide a significant advantage compared to the current treatments for AATD of surgery or weekly intravenous AAT augmentation therapy.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MPH-966</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MPH-966: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Historical Trials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Current Trials</w:t>
            </w: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Subjects</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Phase</w:t>
            </w:r>
          </w:p>
        </w:tc>
        <w:tc>
          <w:tcPr>
            <w:tcW w:w="2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Treated with</w:t>
            </w:r>
          </w:p>
        </w:tc>
        <w:tc>
          <w:tcPr>
            <w:tcW w:w="340" w:type="dxa"/>
            <w:vAlign w:val="bottom"/>
          </w:tcPr>
          <w:p>
            <w:pPr>
              <w:spacing w:after="0"/>
              <w:rPr>
                <w:sz w:val="14"/>
                <w:szCs w:val="14"/>
                <w:color w:val="auto"/>
              </w:rPr>
            </w:pPr>
          </w:p>
        </w:tc>
        <w:tc>
          <w:tcPr>
            <w:tcW w:w="14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Phase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Studies</w:t>
            </w:r>
          </w:p>
        </w:tc>
        <w:tc>
          <w:tcPr>
            <w:tcW w:w="1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MPH-966</w:t>
            </w:r>
          </w:p>
        </w:tc>
        <w:tc>
          <w:tcPr>
            <w:tcW w:w="3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Population</w:t>
            </w: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Enrollment</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Started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34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Healthy Volunteers /</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143</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2</w:t>
            </w: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AATD</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165</w:t>
            </w: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98"/>
              </w:rPr>
              <w:t>Q4 2018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COPD</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Phase 2</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COPD</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958</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CF</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Phase 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Bronchiectasis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prior clinical trials of MPH-966 were in indications other than AATD, Mereo believes that the clinical benefit observed in these trials and the biomarker evidence of treatment effect make MPH-966 a promising potential product candidate for treating severe AATD. In particular, Mereo believes the results from the Phase 2 clinical trials in bronchiectasis and CF are most relevant in assessing MPH-966’s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6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MPH-966, using a 60 mg dose of MPH-966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 measures quality of life in patients with diseases of airways obstruction, favored MPH-966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Mereo believes that bronchiectasis and AATD share common pathological features such as damage to structural parts of the bronchial tree caused by neutrophil proteases that support the potential for MPH-966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77"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MPH-966, using a 60 mg dose of MPH-966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52" w:lineRule="auto"/>
        <w:rPr>
          <w:sz w:val="20"/>
          <w:szCs w:val="20"/>
          <w:color w:val="auto"/>
        </w:rPr>
      </w:pPr>
      <w:r>
        <w:rPr>
          <w:rFonts w:ascii="Arial" w:cs="Arial" w:eastAsia="Arial" w:hAnsi="Arial"/>
          <w:sz w:val="17"/>
          <w:szCs w:val="17"/>
          <w:color w:val="auto"/>
        </w:rPr>
        <w:t>The trial was designed to examine the safety and efficacy of MPH-966 and its effect on the biomarkers of lung damage. The trial did not demonstrate a statistically significant benefit in lung function, which Mereo believes was due to the anti-proteolytic mechanism of action of MPH-966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As the proposed mechanism of action of MPH-966 is to inhibit the neutrophil elastase activity in severe AATD patients, Mereo believes this supports the utility of desmosine as a clinical biomarker in its Phase 2 proof-of-concept study.</w:t>
      </w:r>
    </w:p>
    <w:p>
      <w:pPr>
        <w:spacing w:after="0" w:line="1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believes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MPH-966,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is conducting a Phase 2 proof-of-concept clinical trial of MPH-966 in 165 patients with severe AATD in the United States and the EU and expect to report top-line data in the fourth quarter of 2019. The trial is a 12-week, double-blind, placebo-controlled clinical trial examining two doses of MPH-966 compared to placebo with primary endpoints of elastin breakdown as measured by the biomarker desmosine. Mereo believes that by inhibiting NE, MPH -966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Mereo plans to enroll only patients with PiZZ or Null/Null genotypes with confirmed emphysema, who have not received AAT augmentation therapy or have undergone a wash-out period following AAT augmentation therapy.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Mereo intends to seek regulatory advice on the design of, and commence, a pivotal trial.</w:t>
      </w:r>
    </w:p>
    <w:p>
      <w:pPr>
        <w:spacing w:after="0" w:line="212"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Mereo received an investment from, and is collaborating with, the venture philanthropy arm of the Alpha-1 Foundation, The Alpha-1 Project, Inc. (“TAP”) with respect to Mereo’s MPH-966 development program. TAP is investing in the program subject to Mereo meeting agreed-upon development milestones. Mereo also agreed to issue warrants to TAP to subscribe for shares in Mereo, at certain future dates and subject to TAP making agreed-upon investments in the MPH-966 development program.</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60"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Mereo is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Mereo believes BCT-197 offers a potential new treatment by targeting the underlying disease and delivering tangible benefits for patients and payors by potentially preventing AECOPD, or reducing the frequency of exacerbations and reducing readmissions.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its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24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Mereo is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3" w:lineRule="exact"/>
        <w:rPr>
          <w:sz w:val="20"/>
          <w:szCs w:val="20"/>
          <w:color w:val="auto"/>
        </w:rPr>
      </w:pPr>
    </w:p>
    <w:p>
      <w:pPr>
        <w:ind w:left="200" w:right="340" w:firstLine="331"/>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 believes that there is a significant medical need for a drug which is disease-modifying and could potentially prevent AECOPD instead of just treating the symptoms. In addition, Mereo believes that a drug that could prevent or reduce AECOPD and also has anti-inflammatory effects would significantly improve the quality of life of AECOPD patients due to improved lung function, fewer infections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product candidate for treating AECOPD is BCT-197,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(“TNFa”) and interleukin-8, which are released in the blood stream, and interleukin-6, which is released from bronchial epithelial cells, all of which are blocked by inhibiting p38 MAP kinase.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believes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either the hospital or an outpatient setting;</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Mereo plans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3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Phase</w:t>
            </w: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9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Subjects Treated</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2340" w:type="dxa"/>
            <w:vAlign w:val="bottom"/>
            <w:gridSpan w:val="3"/>
          </w:tcPr>
          <w:p>
            <w:pPr>
              <w:ind w:left="620"/>
              <w:spacing w:after="0"/>
              <w:rPr>
                <w:sz w:val="20"/>
                <w:szCs w:val="20"/>
                <w:color w:val="auto"/>
              </w:rPr>
            </w:pPr>
            <w:r>
              <w:rPr>
                <w:rFonts w:ascii="Arial" w:cs="Arial" w:eastAsia="Arial" w:hAnsi="Arial"/>
                <w:sz w:val="14"/>
                <w:szCs w:val="14"/>
                <w:b w:val="1"/>
                <w:bCs w:val="1"/>
                <w:color w:val="auto"/>
              </w:rPr>
              <w:t># of Studies</w:t>
            </w:r>
          </w:p>
        </w:tc>
        <w:tc>
          <w:tcPr>
            <w:tcW w:w="21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99"/>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Phase 1</w:t>
            </w:r>
          </w:p>
        </w:tc>
        <w:tc>
          <w:tcPr>
            <w:tcW w:w="62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5(1)</w:t>
            </w:r>
          </w:p>
        </w:tc>
        <w:tc>
          <w:tcPr>
            <w:tcW w:w="2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Healthy Volunteers</w:t>
            </w:r>
          </w:p>
        </w:tc>
        <w:tc>
          <w:tcPr>
            <w:tcW w:w="700" w:type="dxa"/>
            <w:vAlign w:val="bottom"/>
            <w:vMerge w:val="continue"/>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Phase 2</w:t>
            </w:r>
          </w:p>
        </w:tc>
        <w:tc>
          <w:tcPr>
            <w:tcW w:w="144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w w:val="99"/>
              </w:rPr>
              <w:t>AECOPD</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144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79"/>
              </w:rPr>
              <w:t>1</w:t>
            </w:r>
          </w:p>
        </w:tc>
        <w:tc>
          <w:tcPr>
            <w:tcW w:w="9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Acute Kidney Injury</w:t>
            </w:r>
          </w:p>
        </w:tc>
        <w:tc>
          <w:tcPr>
            <w:tcW w:w="19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380" w:type="dxa"/>
            <w:vAlign w:val="bottom"/>
          </w:tcPr>
          <w:p>
            <w:pPr>
              <w:spacing w:after="0"/>
              <w:rPr>
                <w:sz w:val="20"/>
                <w:szCs w:val="20"/>
                <w:color w:val="auto"/>
              </w:rPr>
            </w:pPr>
            <w:r>
              <w:rPr>
                <w:rFonts w:ascii="Arial" w:cs="Arial" w:eastAsia="Arial" w:hAnsi="Arial"/>
                <w:sz w:val="18"/>
                <w:szCs w:val="18"/>
                <w:color w:val="auto"/>
              </w:rPr>
              <w:t>Phase 2</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AECOPD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Includes two company-initiated 16-patient drug-drug interaction studies.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 Clinical Trials</w:t>
      </w:r>
    </w:p>
    <w:p>
      <w:pPr>
        <w:spacing w:after="0" w:line="95"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color w:val="auto"/>
        </w:rPr>
        <w:t>Prior to Mereo’s acquisition of BCT-197, Novartis performed three Phase 1 clinical trials. One of these trials was a three-part Phase 1 clinical trial in a total of 141 healthy volunteers designed to evaluate the safety and anti-inflammatory properties of BCT-197 following lipopolysaccharide (“LPS”) challenge, a method of inducing an inflammatory response. Parts 1 and 2 of this trial assessed the ability of BCT-197 to inhibit TNFa, a pro-inflammatory cytokine, ex vivo following LPS challenge and Part 3 assessed the same in vivo. In Part 1, which was a single ascending dose trial, TNFa was inhibited by a mean of 50% by doses of at least 30 mg, and in Part 2, which was a multi-ascending dose trial, TNFa was inhibited by a mean of 70%.</w:t>
      </w:r>
    </w:p>
    <w:p>
      <w:pPr>
        <w:spacing w:after="0" w:line="215" w:lineRule="exact"/>
        <w:rPr>
          <w:sz w:val="20"/>
          <w:szCs w:val="20"/>
          <w:color w:val="auto"/>
        </w:rPr>
      </w:pPr>
    </w:p>
    <w:p>
      <w:pPr>
        <w:ind w:left="20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 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174625</wp:posOffset>
            </wp:positionV>
            <wp:extent cx="4845050" cy="2675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4505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240" w:top="460"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Mereo believes that the results of this trial suggest that BCT-197 has pharmacology appropriate for an oral drug taken either once a day or on alternate days.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Mean Change in FEV1 from Baseline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166370</wp:posOffset>
            </wp:positionV>
            <wp:extent cx="4519295" cy="2830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81"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Mereo conducted a dose-ranging Phase 2 clinical trial in the United States and Europe to identify the most effective dosing regimen for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200" w:right="220" w:firstLine="331"/>
        <w:spacing w:after="0" w:line="257" w:lineRule="auto"/>
        <w:rPr>
          <w:sz w:val="20"/>
          <w:szCs w:val="20"/>
          <w:color w:val="auto"/>
        </w:rPr>
      </w:pPr>
      <w:r>
        <w:rPr>
          <w:rFonts w:ascii="Arial" w:cs="Arial" w:eastAsia="Arial" w:hAnsi="Arial"/>
          <w:sz w:val="17"/>
          <w:szCs w:val="17"/>
          <w:color w:val="auto"/>
        </w:rPr>
        <w:t>This dose-ranging trial assessed two dosing regimens of BCT-197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189"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224" w:lineRule="exact"/>
        <w:rPr>
          <w:sz w:val="20"/>
          <w:szCs w:val="20"/>
          <w:color w:val="auto"/>
        </w:rPr>
      </w:pPr>
    </w:p>
    <w:p>
      <w:pPr>
        <w:ind w:left="5560" w:right="4120" w:hanging="5032"/>
        <w:spacing w:after="0" w:line="365" w:lineRule="auto"/>
        <w:tabs>
          <w:tab w:leader="none" w:pos="956"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 200</w:t>
      </w:r>
    </w:p>
    <w:p>
      <w:pPr>
        <w:sectPr>
          <w:pgSz w:w="11900" w:h="16838" w:orient="portrait"/>
          <w:cols w:equalWidth="0" w:num="1">
            <w:col w:w="11080"/>
          </w:cols>
          <w:pgMar w:left="240" w:top="460" w:right="5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2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99"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Dose-dependent, statistically significant reductions in both hsCRP and fibrinogen were shown with treatment with BCT-197, with hsCRP remaining suppressed through the 26-week observation period. The graphs below show these reductions during the period when patients were experiencing its first occurrence of AECOPD, or its index AECOPD.</w:t>
      </w:r>
    </w:p>
    <w:p>
      <w:pPr>
        <w:spacing w:after="0" w:line="181" w:lineRule="exact"/>
        <w:rPr>
          <w:sz w:val="20"/>
          <w:szCs w:val="20"/>
          <w:color w:val="auto"/>
        </w:rPr>
      </w:pPr>
    </w:p>
    <w:p>
      <w:pPr>
        <w:jc w:val="center"/>
        <w:ind w:left="540" w:right="80"/>
        <w:spacing w:after="0" w:line="271" w:lineRule="auto"/>
        <w:rPr>
          <w:sz w:val="20"/>
          <w:szCs w:val="20"/>
          <w:color w:val="auto"/>
        </w:rPr>
      </w:pPr>
      <w:r>
        <w:rPr>
          <w:rFonts w:ascii="Arial" w:cs="Arial" w:eastAsia="Arial" w:hAnsi="Arial"/>
          <w:sz w:val="18"/>
          <w:szCs w:val="18"/>
          <w:b w:val="1"/>
          <w:bCs w:val="1"/>
          <w:color w:val="auto"/>
        </w:rPr>
        <w:t>Absolute Change from Baseline in hsCRP During the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129540</wp:posOffset>
            </wp:positionV>
            <wp:extent cx="3876040" cy="19723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604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240" w:top="459" w:right="5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160"/>
        <w:spacing w:after="0" w:line="271" w:lineRule="auto"/>
        <w:rPr>
          <w:sz w:val="20"/>
          <w:szCs w:val="20"/>
          <w:color w:val="auto"/>
        </w:rPr>
      </w:pPr>
      <w:r>
        <w:rPr>
          <w:rFonts w:ascii="Arial" w:cs="Arial" w:eastAsia="Arial" w:hAnsi="Arial"/>
          <w:sz w:val="18"/>
          <w:szCs w:val="18"/>
          <w:b w:val="1"/>
          <w:bCs w:val="1"/>
          <w:color w:val="auto"/>
        </w:rPr>
        <w:t>Absolute Change from Baseline in Fibrinogen During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129540</wp:posOffset>
            </wp:positionV>
            <wp:extent cx="4219575" cy="21526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195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Percentage of Patients Rehospitalized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830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8858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baseline at Day 7, compared to standard of care plus placebo, which showed almost no improvement. Approximately 50% of COPD patients have low blood eosinophils and are considered to be resistant to treatment with steroids.</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166370</wp:posOffset>
            </wp:positionV>
            <wp:extent cx="2872740" cy="22980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727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Consistent with the results from this trial, there was a reduction in antibiotic and systemic steroid use in the high-dose group versus placebo of 46% observed in the long-term follow-up portion of the trial.</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 No induced liver injuries were observed. With these positive results Mereo is seeking regulatory advice on the development plan for BCT-197 in parallel with exploring strategic relationships.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 is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(“TRT”), the primary treatment for HH.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200" w:firstLine="334"/>
        <w:spacing w:after="0"/>
        <w:tabs>
          <w:tab w:leader="none" w:pos="84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240" w:top="460" w:right="5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8"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WHO estimates and scientific data, Mereo believes that there are approximately seven million cases of HH in obese men, generally defined as men with a body mass index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Mereo’s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Mereo believes that the long half-life of BGS-649 of 22 days may allow for convenient weekly dosing.</w:t>
      </w:r>
    </w:p>
    <w:p>
      <w:pPr>
        <w:spacing w:after="0" w:line="20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151765</wp:posOffset>
            </wp:positionV>
            <wp:extent cx="3944620" cy="32931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and planned clinical trials of BGS-649:</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2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Historical Trials</w:t>
            </w:r>
          </w:p>
        </w:tc>
        <w:tc>
          <w:tcPr>
            <w:tcW w:w="1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3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Phase</w:t>
            </w:r>
          </w:p>
        </w:tc>
        <w:tc>
          <w:tcPr>
            <w:tcW w:w="90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 of</w:t>
            </w:r>
          </w:p>
        </w:tc>
        <w:tc>
          <w:tcPr>
            <w:tcW w:w="18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Population</w:t>
            </w:r>
          </w:p>
        </w:tc>
        <w:tc>
          <w:tcPr>
            <w:tcW w:w="11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Subjects Treated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Phase</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Studies</w:t>
            </w:r>
          </w:p>
        </w:tc>
        <w:tc>
          <w:tcPr>
            <w:tcW w:w="1880" w:type="dxa"/>
            <w:vAlign w:val="bottom"/>
            <w:gridSpan w:val="2"/>
            <w:vMerge w:val="continue"/>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with BGS-649</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1</w:t>
            </w:r>
          </w:p>
        </w:tc>
        <w:tc>
          <w:tcPr>
            <w:tcW w:w="3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w:t>
            </w:r>
          </w:p>
        </w:tc>
        <w:tc>
          <w:tcPr>
            <w:tcW w:w="3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Healthy Women /</w:t>
            </w:r>
          </w:p>
        </w:tc>
        <w:tc>
          <w:tcPr>
            <w:tcW w:w="3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3</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HH obese men</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Endometriosis</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Endometriosis</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2b</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200</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2b (ext)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Proof-of-Concept Clinical Trial in Hypogonadotropic Hypogonadism</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3"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4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Its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Its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202"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dose and remained in the normal range throughout the treatment period, with the exception of one patient on day 21, whose level dropped to 279 ng/dl but recovered to a level of 480 ng/dl on day 27. 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089015" cy="26244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8901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hanging="536"/>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740" w:right="20" w:hanging="536"/>
        <w:spacing w:after="0" w:line="234" w:lineRule="auto"/>
        <w:tabs>
          <w:tab w:leader="none" w:pos="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740" w:right="460" w:hanging="536"/>
        <w:spacing w:after="0" w:line="234" w:lineRule="auto"/>
        <w:tabs>
          <w:tab w:leader="none" w:pos="7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740" w:right="40" w:hanging="536"/>
        <w:spacing w:after="0"/>
        <w:tabs>
          <w:tab w:leader="none" w:pos="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In addition, patients receiving a weekly dose of BGS-649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 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Mereo is monitoring these parameters in the current trial.</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March 2018, Mereo announced top-line data from its Phase 2b clinical trial of BGS-649 for the treatment of HH in obese men. Mereo enrolled 271 patients in the trial in the United States and Europe. The trial was a multi-center, randomized double-blind, dose-ranging, placebo-controlled trial of BGS-649 in obese males with HH with a BMI of over 30. Subjects were divided into four groups, with 71 receiving placebo and 67, 66 and 67, receiving the low, intermediate or high dose, respectively, of BGS-649.</w:t>
      </w:r>
    </w:p>
    <w:p>
      <w:pPr>
        <w:spacing w:after="0" w:line="20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were:</w:t>
      </w:r>
    </w:p>
    <w:p>
      <w:pPr>
        <w:spacing w:after="0" w:line="203" w:lineRule="exact"/>
        <w:rPr>
          <w:sz w:val="20"/>
          <w:szCs w:val="20"/>
          <w:color w:val="auto"/>
        </w:rPr>
      </w:pPr>
    </w:p>
    <w:p>
      <w:pPr>
        <w:ind w:left="960" w:hanging="432"/>
        <w:spacing w:after="0"/>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the trial was designed: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(“PROs”), including the Patient Reported Outcomes Measurement Information System (“PROMIS”), Brief Fatigue Inventory, Sex SF and International Index of Erectile Function, which examine the most common complaints HH patients present to a doctor, fatigue and sexual dysfunction;</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included analysis of lipid profiles, haematocrit bone turnover markers, and bone mineral density measured by DEXA score.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trial involved a four-week screening phase followed by a 24-week treatment phase and a 12-week follow-up period. All doses of BGS-649 met the primary endpoint, normalizing total testosterone levels in over 75% of subjects after 24 weeks of treatment (p&lt;0.001 versus placebo). Normalization of testosterone was observed at the first measurement following the initial dosing of BGS-649 at day 8 in more than 80% of subjects at all three doses. A dose response was also observed in absolute total testosterone levels and over the dosing period, with mean testosterone reaching 458.0 ng/dl (low dose), 512.5 ng/dl (intermediate dose) and 586.5 ng/dl (high dose). The following graph illustrates the increase in mean total testosterone levels from baseline in patients in each of the three dosing arms of BGS-649 and receiving placebo.</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183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885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two highest doses also met the secondary endpoint of normalizing testosterone in 90% of patients at week 24 with the lowest dose normalizing testosterone in 88% of patients at week 24. All three doses of BGS-649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BGS-649 and receiving placebo.</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183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885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355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885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 70 million, 14 million and 58 million for the high, intermediate and low doses of BGS-649, respectively, compared with a decrease of 23 million for placebo. Although the trial was not designed to detect statistical significance for this exploratory endpoint, a statistically significant improvement was shown at the highest dose of BGS-649 (p=0.03). No subjects on BGS-649 had testosterone levels greater than 1500 ng/dl at any time during the study.</w:t>
      </w:r>
    </w:p>
    <w:p>
      <w:pPr>
        <w:spacing w:after="0" w:line="203"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 Further analysis on the remaining PROs is ongoing and will be combined with the results of the extension study.</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BGS-649 was observed to be well tolerated during the trial. An increased incidence of elevated haematocrit levels was observed in each of the treatment arms of the trial, which is consistent with increasing testosterone levels.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240" w:top="459"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Safety Extension Study to the Phase 2b Clinical Trial in Hypogonadotropic Hypogonadism</w:t>
      </w:r>
    </w:p>
    <w:p>
      <w:pPr>
        <w:spacing w:after="0" w:line="95"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A subset of 143 patients entered into a six-month extension study to the Phase 2b Clinical Trial for BGS-649, to gain long-term data on both efficacy and safety. 88 patients completed the additional six months of treatment.</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safety extension study was designed to examine if BGS-649 resulted in a pre-specified reduction in bone mineral density (BMD) at 48 weeks following the initial 24 weeks treatment. The primary end point of this safety extension study was decrease in BMD.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BMD after 48 weeks of treatment. Consistent with this finding, none of the doses of BGS-649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Consistent with the top-line data announced by Mereo in March 2018, treatment with BGS-649 resulted in normalization of total testosterone levels in over 75% of subjects at all three doses tested at 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luteinising hormone (LH) and follicle stimulating hormone (FSH) levels. The extension study continued to demonstrate a clear dose-response in both the primary and secondary endpoints. The total motile sperm count was not determined in this extension study and Mereo is continuing to analyze the data from the exploratory patient reported outcomes (PROs) to assist in developing Mereo’s clinical strategy for BGS-649. Mereo intends to explore strategic relationships with third parties for the further development and commercialization of BGS-649.</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July 2015, Mereo’s wholly-owned subsidiaries, Mereo BioPharma 3 Limited, Mereo BioPharma 2 Limited, and Mereo BioPharma 1 Limited entered into asset purchase agreements (the “Purchase Agreements”) to acquire from Novartis rights to, respectively, BPS-804, BCT-197, and BGS-649 (the “Compounds”) and certain related assets, which, together with the Compounds, Mereo refers to as the “Novartis Assets.” In connection with the acquisition of the Novartis Assets, Mereo issued 3,849,000 ordinary shares to Novartis pursuant to a subscription agreement. See “Related Party Transactions—Subscription Agreement” for more information. In addition, Mereo paid Novartis $ 1.5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products that include the Compounds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Mereo further agreed that in the event of a change in control that involves the transfer, license, assignment, or lease of all or substantially all of a subsidiary’s assets, including a</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Mereo granted Novartis an irrevocable, transferable, royalty-free, worldwide and non-exclusive license to use know-how included within the Novartis Assets for Novartis’ activities unrelated to any Acquired Novartis Products. Mereo has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also entered into a sublicense agreement with Novartis (the “Sublicense Agreement”), pursuant to which Novartis granted Mereo an exclusive, worldwide, royalty-bearing sublicense for certain therapeutic antibody products directed against sclerostin (the “Antibody Products”), including BPS-804. Under the Sublicense Agreement, Mereo has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Mereo has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Mereo a sublicense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Mereo may terminate the Sublicense Agreement upon written notice to Novartis and either party may terminate the Sublicense Agreement for the other party’s uncured material breach or bankruptcy.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October 2017, Mereo’s wholly-owned subsidiary Mereo BioPharma 4 Limited entered into an exclusive license and option agreement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(the “Option”), together with the acquisition of certain related assets.</w:t>
      </w:r>
    </w:p>
    <w:p>
      <w:pPr>
        <w:spacing w:after="0" w:line="203"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Upon entering into the License Agreement, Mereo made a payment of $3.0 million and issued 490,798 ordinary shares to AstraZeneca, for an aggregate upfront payment equal to $5.0 million. In connection with certain development and regulatory milestones, Mereo has agreed to make payments of up to $115.5 million in the aggregate and issue additional ordinary shares to AstraZeneca for licensed products containing MPH-966. In addition, Mereo has agreed to make payments to AstraZeneca based on specified commercial milestones of the product. In the event that Mereo sub-licenses MPH-966, Mereo has also agreed to pay a specified percentage of 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and expiration of the last patent covering such licensed product in such country that would be sufficient to prevent generic entry. Under the License Agreement, Mereo may freely grant sub-licenses to affiliates upon notice to AstraZeneca and Mereo must obtain AstraZeneca’s consent, not be unreasonably withheld, to grant sub-licenses to a third party. Mereo has agreed to use commercially reasonable efforts to develop and commercialize at least one licensed product.</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Mereo for such product in such country will become fully-paid and irrevocable. Prior to exercise of the Option, if at all, Mereo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Mereo.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Mereo does not own or operate manufacturing facilities for the production of its product candidates, nor does it have plans to develop its own manufacturing operations in the foreseeable future. Mereo has entered into manufacturing agreements with a number of drug substance, drug product, and other manufacturers and suppliers for BPS-804, BCT-197, and BGS-649, and Mereo intends to enter into additional manufacturing agreements as necessary. Following Mereo’s license of MPH-966, Mereo acquired certain clinical trial materials and plans to outsource production of further clinical supplies to its own manufacturing suppliers. Mereo also intends to outsource certain product formulation trials. Mereo expects that drug product pre-validation and validation batches will be manufactured to satisfy regulatory requirements where it progresses products to late stage trials.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does not yet have any contractual relationships for the manufacture of commercial supplies of BPS-804, MPH-966, BCT-197, or BGS-649, and Mereo intends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Mereo is seeking approval. Mereo employs internal resources to manage its manufacturing contractors and ensure they are compliant with current good manufacturing practices.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Commercialization, Sales and Marketing</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does not have its own marketing, sales, or distribution capabilities. In order to commercialize Mereo’s product candidates, if approved for commercial sale, Mereo must either develop a sales and marketing infrastructure or collaborate with third parties that have sales and marketing experience.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intends to seek to enter into one or more strategic relationships with third parties for BCT-197 to undertake the next phase of clinical development and, if approved, for commercialization, and to seek to enter into strategic relationships with third parties for further clinical development and/or commercialization of BGS-649.</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Mereo competes directly with other biopharmaceutical and pharmaceutical companies that focus on the treatment of OI, AATD, AECOPD or HH. Mereo may also face competition from academic</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research institutions, governmental agencies and other various public and private research institutions. Mereo expects to face increasingly intense competition as new technologies become available. Any product candidates, including BPS-804, MPH-966, BCT-197, and BGS-649 that Mereo successfully develops and commercializes will compete with existing therapies and new therapies that may become available in the future.</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considers BPS-804’s current closest potential competitors in development for the treatment of OI to be Amgen’s denosumab (Prolia) an anti-resorptive agent, and Amgen and UCB’s anti-sclerostin antibody, romosozumab, which was approved in Japan in January 2019. Blosozumab, an anti-sclerostin antibody, was in Phase 1 development for osteoporosis by Eli Lilly; however, Mereo is not aware of any ongoing clinical trials for this product candidate and does not believe this product candidate remains under active development. Additionally, Bone Therapeutics is developing osteoblastic cell therapy products. Baylor College of Medicine is also conducting a Phase 1 open label trial of fresolimumab, a TGF-B inhibitor, in adult OI patients.</w:t>
      </w:r>
    </w:p>
    <w:p>
      <w:pPr>
        <w:spacing w:after="0" w:line="20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considers MPH-966’s current closest potential competitors for the treatment of severe AATD to be alpha1-proteinase inhibitors that are administered intravenously in AAT augmentation therapy.</w:t>
      </w:r>
    </w:p>
    <w:p>
      <w:pPr>
        <w:spacing w:after="0" w:line="197"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Currently, there are four inhibitors on the market in the United States: Grifols’ Prolastin-C, Shire’s Aralast, CSL’s Zemaira and Kamada’s Glassia. Kamada is also investigating an inhaled version of augmentation therapy, Apic Bio, Inc. (“Apic Bio”) is in the early stages of developing gene-therapy approaches for AATD and Vertex Pharmaceuticals Inc. (“Vertex”) has an early-stage small molecule corrector program for AATD. Santhera has inlicensed an inhaled neutrophil elastase inhibitor and is planning a multiple ascending dose study, with the initial indication targeted being cystic fibrosis.</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current standard of care for AECOPD involves steroids, antibiotics and bronchodilators; however, Mereo is not aware of any drugs specifically approved for the treatment of AECOPD. There are a number of products currently in development, with Verona Pharma, GlaxoSmithKline, and AstraZeneca each conducting Phase 2 clinical trials of drugs for the treatment of COPD. Mereo considers BCT-197’s current closest potential competitor in development for the treatment of AECOPD to be Verona Pharma’s RPL554, a PDE3 / PDE4 dual inhibitor that is currently being developed as a bronchodilator and anti-inflammatory agent for COPD and asthma patients. GlaxoSmithKline is developing nemiralisib, a PI3Kd inhibitor, for the treatment of acute and long term use in COPD and asthma, which Mereo believes to be an anti-inflammatory. Nemiralisib is currently being studied in a Phase 2 clinical trial.</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considers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 other approved TRT products that are administered via injection and other oral TRTs that are still in the development or registration stages, such as JATENZO from Clarus and TLANDO from Lipocine. The FDA held advisory committee meetings in January 2018 for JATENZO and TLANDO. On May 9, 2018, Lipocine announced that it had received a Complete Response Letter from the FDA and is in the process of addressing the issues identified in the letter.</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Mereo may face increasing competition for additional new product acquisitions from pharmaceutical companies as new companies emerge with a similar business model and other more established companies focus on acquiring products to develop their pipelines. Many of Mereo’s competitors have significantly greater financial, manufacturing, marketing, drug development, technical and human resources than Mereo does. Mergers and acquisitions in the pharmaceutical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biotechnology industries may result in even more resources being concentrated among a smaller number of Mereo’s competitors. Smaller or early stage companies may also prove to be significant competitors, particularly through collaborative arrangements with large and established companies. These competitors also compete with Mereo in recruiting and retaining top qualified scientific and management personnel and establishing clinical trial sites and patient registration for clinical trials.</w:t>
      </w:r>
    </w:p>
    <w:p>
      <w:pPr>
        <w:spacing w:after="0" w:line="2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key competitive factors affecting the success of BPS-804, MPH-966, BCT-197 and BGS-649,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Mereo’s commercial opportunity could be reduced or eliminated if its competitors develop and commercialize products that are safer, more effective, less expensive, more convenient or easier to administer, or have fewer or less severe effects than any products that Mereo may develop. Mereo’s competitors may also obtain FDA, EMA or other regulatory approval for their products more rapidly than Mereo may obtain approval for its own product candidates, which could result in Mereo’s competitors establishing a strong market position before Mereo is able to enter the market. Even if BPS-804, MPH-966, BCT-197 or BGS-649 achieve marketing approval, they may be priced at a significant premium over competitive products if any have been approved by then.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Mereo has acquired or exclusively licensed a comprehensive intellectual property portfolio from Novartis and AstraZeneca, respectively. Mereo strives to protect and enhance the proprietary technologies, inventions and improvements that it believes are important to its business, including seeking, maintaining and defending patent rights, whether developed internally or acquired or licensed from third parties. Mereo’s policy is to seek to protect its proprietary position by, among other methods, pursuing and obtaining patent protection in the United States and in jurisdictions outside of the United States related to Mereo’s proprietary technology, inventions, improvements, platforms and its product candidates that are important to the development and implementation of its business.</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Mereo’s intellectual property is held by Mereo BioPharma 1 Limited, Mereo BioPharma 2 Limited, Mereo BioPharma 3 Limited and Mereo BioPharma 4 Limited, each of which is a wholly-owned subsidiary of Mereo and holds the intellectual property for Mereo’s product candidates BCT-197, BGS-649, BPS-804 and MPH-966, respectively. As of January 24, 2019, Mereo’s patent portfolio comprises approximately 353 issued patents and approximately 87 pending patent applications on a global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As of January 24, 2019, Mereo’s patent portfolio relating to its product candidate BPS-804 consisted of three issued U.S. patents, one pending U.S. patent application, 86 issued foreign patents, four pending foreign patent applications and two pending international patent applications filed under the Patent Cooperation Treaty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the use of a specific anti-sclerostin antibody in the treatment of OI; and use of a sclerostin antagonist in the treatment of a myopathy with expected expiry dates not earlier than between 2028 and 2039.</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BPS-804 includes three patent families:</w:t>
      </w:r>
    </w:p>
    <w:p>
      <w:pPr>
        <w:spacing w:after="0" w:line="239" w:lineRule="exact"/>
        <w:rPr>
          <w:sz w:val="20"/>
          <w:szCs w:val="20"/>
          <w:color w:val="auto"/>
        </w:rPr>
      </w:pPr>
    </w:p>
    <w:p>
      <w:pPr>
        <w:ind w:left="960" w:right="72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January 24, 2019, this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0"/>
        <w:spacing w:after="0" w:line="237" w:lineRule="auto"/>
        <w:rPr>
          <w:sz w:val="20"/>
          <w:szCs w:val="20"/>
          <w:color w:val="auto"/>
        </w:rPr>
      </w:pPr>
      <w:r>
        <w:rPr>
          <w:rFonts w:ascii="Arial" w:cs="Arial" w:eastAsia="Arial" w:hAnsi="Arial"/>
          <w:sz w:val="18"/>
          <w:szCs w:val="18"/>
          <w:color w:val="auto"/>
        </w:rPr>
        <w:t>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Mereo expects patents in this family to expire in 2028.</w:t>
      </w:r>
    </w:p>
    <w:p>
      <w:pPr>
        <w:spacing w:after="0" w:line="30" w:lineRule="exact"/>
        <w:rPr>
          <w:sz w:val="20"/>
          <w:szCs w:val="20"/>
          <w:color w:val="auto"/>
        </w:rPr>
      </w:pPr>
    </w:p>
    <w:p>
      <w:pPr>
        <w:ind w:left="960" w:right="220" w:hanging="432"/>
        <w:spacing w:after="0" w:line="226"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January 24, 2019, this patent family included one U.S. non-provisional application and two pending international patent applications filed under the PCT. Mereo expects patents emanating from this family to expire in 2036/2037.</w:t>
      </w:r>
    </w:p>
    <w:p>
      <w:pPr>
        <w:spacing w:after="0" w:line="27"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the use of an anti-sclerostin antagonist in the treatment of a myopathy. As of January 24, 2019, this patent family included one U.K. patent application. Mereo expects patents emanating from this family to expire in 2039.</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MPH-966 (alvelestat)</w:t>
      </w:r>
    </w:p>
    <w:p>
      <w:pPr>
        <w:spacing w:after="0" w:line="99"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As of January 24, 2019, Mereo’s patent portfolio relating to its product candidate MPH-966 consisted of three issued U.S. patents, no pending U.S. patent applications, 34 issued foreign patents and six pending foreign patent applications. These patents have all been licensed under Mereo’s agreement with 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 Mereo’s patent portfolio also consists of two pending foreign applications which have been filed subsequent to the license agreement with AstraZeneca. These patent applications include claims directed to dosage regimens of MPH-966 with expected expiry dates not earlier than 2039.</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MPH-966 includes three patent families:</w:t>
      </w:r>
    </w:p>
    <w:p>
      <w:pPr>
        <w:spacing w:after="0" w:line="239" w:lineRule="exact"/>
        <w:rPr>
          <w:sz w:val="20"/>
          <w:szCs w:val="20"/>
          <w:color w:val="auto"/>
        </w:rPr>
      </w:pPr>
    </w:p>
    <w:p>
      <w:pPr>
        <w:ind w:left="960" w:right="320" w:hanging="432"/>
        <w:spacing w:after="0" w:line="226"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January 24, 2019, this patent family included granted patents in Australia, Canada, China, Europe (France, Germany, Italy, Netherlands, Spain, Sweden, Switzerland, Turkey and United Kingdom), Hong Kong, India, Japan, Mexico, Russia, South Korea and the United States. Mereo expects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6"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January 24, 2019, this patent family included granted patents in Australia, Canada, China, Europe (France, Germany, Italy, Netherlands, Spain, Sweden, Switzerland, Turkey and United Kingdom ), Hong Kong, Japan, Mexico, Russia and the United States. Mereo expects patents in this family to expire in 2030.</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regiments of MPH-966. As of January 24, 2019, this patent family includes two pending U.K. patent applications. Mereo expects patents emanating from this family to expire in 2039.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As of January 24, 2019, Mereo’s patent portfolio relating to its product candidate BCT-197 consisted of five issued U.S. patents, four pending U.S. patent applications, 130 issued foreign patents, 56 pending foreign applications, and two pending international patent applications filed under the PCT. These patents and patent applications include claims directed to 5-membered heterocycle-based p38 kinase inhibitors, the use of a pyrazole derivative in the treatment of AECOPD, dosage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60"/>
          </w:cols>
          <w:pgMar w:left="240" w:top="460"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regimens of BCT-197, the use of BCT-197 in the treatment of specific patient subpopulations, methods of producing specific polymorphs of BCT-197 and synthetic methods of production of BCT-197 with expected expiry dates not earlier than between 2024 and 2038.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BCT-197 includes six patent families:</w:t>
      </w:r>
    </w:p>
    <w:p>
      <w:pPr>
        <w:spacing w:after="0" w:line="239" w:lineRule="exact"/>
        <w:rPr>
          <w:sz w:val="20"/>
          <w:szCs w:val="20"/>
          <w:color w:val="auto"/>
        </w:rPr>
      </w:pPr>
    </w:p>
    <w:p>
      <w:pPr>
        <w:ind w:left="960" w:right="160" w:hanging="432"/>
        <w:spacing w:after="0" w:line="229"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January 24, 2019, this patent family included granted patents 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Mereo expects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100" w:hanging="432"/>
        <w:spacing w:after="0" w:line="229"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January 24, 2019,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Israel, Japan, Mexico, New Zealand, Russia, Singapore, South Africa, South Korea, Taiwan and the United States. Mereo expects patents in this family to expire in 2033.</w:t>
      </w:r>
    </w:p>
    <w:p>
      <w:pPr>
        <w:spacing w:after="0" w:line="27" w:lineRule="exact"/>
        <w:rPr>
          <w:rFonts w:ascii="MS PGothic" w:cs="MS PGothic" w:eastAsia="MS PGothic" w:hAnsi="MS PGothic"/>
          <w:sz w:val="25"/>
          <w:szCs w:val="25"/>
          <w:color w:val="auto"/>
          <w:vertAlign w:val="superscript"/>
        </w:rPr>
      </w:pPr>
    </w:p>
    <w:p>
      <w:pPr>
        <w:jc w:val="both"/>
        <w:ind w:left="960" w:right="2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January 24, 2019, this patent family included two pending U.S. patent applications and seventeen pending foreign patent applications. Mereo expects patents emanating from this family to expire in 2036.</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January 24, 2019, this patent family included two pending U.S. patent applications and twenty-eight pending foreign patent applications. Mereo expects patents emanating from this family to expire in 2037.</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January 24, 2019, this patent family included two PCT patent applications. Mereo expects patents emanating from this family to expire in 2038.</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9" w:lineRule="auto"/>
        <w:tabs>
          <w:tab w:leader="none" w:pos="960" w:val="left"/>
        </w:tabs>
        <w:numPr>
          <w:ilvl w:val="0"/>
          <w:numId w:val="14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sixth of these patent families relates to synthetic methods for the production of BCT-197. As of January 24, 2019, this patent family included three U.K. national patent applications. Mereo expects patents emanating from this family to expire in 2039.</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January 24, 2019, Mereo’s patent portfolio relating to its product candidate BGS-649 consisted of four issued U.S. patents, 88 issued foreign patents, 11 pending foreign patent applications, and one pending international patent application filed under the PCT. These patents and patent applications include claims directed to BGS-649 formulations the use of BGS-649 in treating hypogonadism according to a specific dosing regimen and combination drug regimens of BGS-649, with expected expiry dates not earlier than between 2032 and 2039. The pending PCT application includes claims directed to the use of BGS-649 in treating endometriosis according to a specific dosing regimen, with an expected expiry date not earlier than 2037.</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BGS-649 includes three patent families:</w:t>
      </w:r>
    </w:p>
    <w:p>
      <w:pPr>
        <w:spacing w:after="0" w:line="239" w:lineRule="exact"/>
        <w:rPr>
          <w:sz w:val="20"/>
          <w:szCs w:val="20"/>
          <w:color w:val="auto"/>
        </w:rPr>
      </w:pPr>
    </w:p>
    <w:p>
      <w:pPr>
        <w:ind w:left="960" w:hanging="432"/>
        <w:spacing w:after="0" w:line="229"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January 24, 2019, this patent family included granted patents in Algeria, Australia,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Mereo expects patents in this family to expire in 2032.</w:t>
      </w:r>
    </w:p>
    <w:p>
      <w:pPr>
        <w:spacing w:after="0" w:line="32"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January 24, 2019, this patent family included a single PCT patent application. Mereo expects patents emanating from this family to expire in 2037.</w:t>
      </w:r>
    </w:p>
    <w:p>
      <w:pPr>
        <w:spacing w:after="0" w:line="28"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combination drug regimens of BGS-649. As of January 24, 2019 this patent family included two U.K. national patent applications. Mereo expects patents emanating from this family to expire in 2039.</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addition to patent protection, Mereo also relies upon trademarks, trade secrets and know-how, and continuing technological innovation, to develop and maintain its competitive position. Mereo seeks to protect its proprietary information, in part, using confidentiality agreements with its collaborators, employees and consultants and invention assignment agreements with its employees. Mereo also has confidentiality agreements or invention assignment agreements with its collaborators and selected consultants. These agreements are designed to protect Mereo’s proprietary information and, in the case of the invention assignment agreements, to grant Mereo ownership of technologies that are developed through a relationship with a third party. These agreements may be breached, and Mereo may not have adequate remedies for any breach. In addition, Mereo’s trade secrets may otherwise become known or be independently discovered by competitors. To the extent that Mereo’s collaborators, employees and consultants use intellectual property owned by others in their work for Mereo, disputes may arise as to the rights in related or resulting know-how and inventions.</w:t>
      </w:r>
    </w:p>
    <w:p>
      <w:pPr>
        <w:spacing w:after="0" w:line="207"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Mereo’s commercial success will also depend in part on not infringing upon the proprietary rights of third parties. It is uncertain whether the issuance of any third-party patent would require Mereo to alter its development or commercial strategies, or Mereo product candidates or processes, obtain licenses or cease certain activities. Mereo’s breach of any license agreements or failure to obtain a license to proprietary rights that Mereo may require to develop or commercialize its product candidates may have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00"/>
          </w:cols>
          <w:pgMar w:left="240" w:top="460"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an adverse impact on Mereo. If third parties have prepared and filed patent applications prior to March 16, 2013 in the United States that also claim technology to which Mereo has rights, Mereo may have to participate in interference proceedings in the USPTO, to determine priority of invention. For more information, please see “Risk Factors—Risks Related to Intellectual Property and Data Protection.”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Mereo is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Mereo’s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and biological products, or biologics, under both the FDCA and the Public Health Service Act (the “PHSA”) and its implementing regulations.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03" w:lineRule="exact"/>
        <w:rPr>
          <w:sz w:val="20"/>
          <w:szCs w:val="20"/>
          <w:color w:val="auto"/>
        </w:rPr>
      </w:pPr>
    </w:p>
    <w:p>
      <w:pPr>
        <w:ind w:left="960" w:hanging="432"/>
        <w:spacing w:after="0"/>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(an “IRD”),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(an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61"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Mereo has been granted Orphan Product Designation by the FDA for Mereo’s product candidate BPS-804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2"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60" w:right="40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8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order to market Mereo’s future products in the European Economic Area (which is comprised of the 28 Member States of the EU plus Norway, Iceland and Liechtenstein) (the “EEA”), and many other foreign jurisdictions, Mereo must obtain separate regulatory approvals. More concretely, in the EEA, medicinal products can only be commercialized after obtaining a Marketing Authorization (“MA”). There are two types of marketing authorizations:</w:t>
      </w:r>
    </w:p>
    <w:p>
      <w:pPr>
        <w:spacing w:after="0" w:line="229" w:lineRule="exact"/>
        <w:rPr>
          <w:sz w:val="20"/>
          <w:szCs w:val="20"/>
          <w:color w:val="auto"/>
        </w:rPr>
      </w:pPr>
    </w:p>
    <w:p>
      <w:pPr>
        <w:ind w:left="960" w:right="220" w:hanging="432"/>
        <w:spacing w:after="0" w:line="229"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Data and marketing exclusivity. </w:t>
      </w:r>
      <w:r>
        <w:rPr>
          <w:rFonts w:ascii="Arial" w:cs="Arial" w:eastAsia="Arial" w:hAnsi="Arial"/>
          <w:sz w:val="18"/>
          <w:szCs w:val="18"/>
          <w:color w:val="auto"/>
        </w:rPr>
        <w:t>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 xml:space="preserve">Pediatric investigation plan. </w:t>
      </w:r>
      <w:r>
        <w:rPr>
          <w:rFonts w:ascii="Arial" w:cs="Arial" w:eastAsia="Arial" w:hAnsi="Arial"/>
          <w:sz w:val="18"/>
          <w:szCs w:val="18"/>
          <w:color w:val="auto"/>
        </w:rPr>
        <w:t>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8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 xml:space="preserve">Orphan drug designation. </w:t>
      </w:r>
      <w:r>
        <w:rPr>
          <w:rFonts w:ascii="Arial" w:cs="Arial" w:eastAsia="Arial" w:hAnsi="Arial"/>
          <w:sz w:val="18"/>
          <w:szCs w:val="18"/>
          <w:color w:val="auto"/>
        </w:rPr>
        <w:t>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Mereo obtained orphan drug designation for BPS-804 for the treatment of OI in the EU.</w:t>
      </w:r>
    </w:p>
    <w:p>
      <w:pPr>
        <w:spacing w:after="0" w:line="190" w:lineRule="exact"/>
        <w:rPr>
          <w:sz w:val="20"/>
          <w:szCs w:val="20"/>
          <w:color w:val="auto"/>
        </w:rPr>
      </w:pPr>
    </w:p>
    <w:p>
      <w:pPr>
        <w:ind w:left="200" w:right="680" w:firstLine="331"/>
        <w:spacing w:after="0" w:line="267"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interpreted the statute’s intent requirement to mean that if any one purpose of an arrangement involving remuneration is to induce referrals of federal healthcare covered business, the statute has been violated.</w:t>
      </w:r>
    </w:p>
    <w:p>
      <w:pPr>
        <w:spacing w:after="0" w:line="1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 -Kickback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Mereo may also be subject to data privacy and security regulation by both the federal government and the states in which it conducts its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is subject to European laws relating to its and its suppliers’, partners’ and subcontractors’ collection, control, processing and other use of personal data (i.e. any data relating to an identifiable living individual, whether that individual can be identified directly or indirectly). Mereo is subject to the supervision of local data protection authorities in those jurisdictions where Mereo is established, where Mereo offers goods or services to EU residents and where Mereo monitors the behavior of individuals in the EU (i.e. undertaking clinical trials). Mereo and its suppliers, partners and subcontractors process personal data including in relation to Mereo’s employees, employees of customers, clinical trial patients, healthcare professionals and employees of suppliers including health and medical information. The data privacy regime in the EU includes the GDPR, the e-Privacy Directive (2002/58/EC) and the e-Privacy Regulation (once in force) and the national laws and regulations implementing or supplementing each of them.</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Mereo to make more detailed disclosures to data subjects, requires disclosure of the legal basis on which Mereo can process personal data, makes it harder for Mereo to obtain valid consent for processing, will require the appointment of a data protection officer where sensitive personal data (i.e. health data) is processed on a large scale, introduces mandatory data breach notification throughout the EU and imposes additional obligations on Mereo when it is contracting with service providers.</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Mereo’s ability to use and share such data or could cause its costs to increase, and harm its business and financial condition.</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depends on a number of third parties in relation to the provision of its services, a number of which process personal data on Mereo’s behalf. With each such provider Mereo enters into contractual arrangements to ensure that they only process personal data according to Mereo’s instructions, and that they have sufficient technical and organizational security measures in place. Where Mereo transfer personal data outside the EU, it does so in compliance with the relevant data export requirements from time to time. Mereo takes its data protection obligations seriously, as any improper, unlawful or accidental disclosure, loss, alteration or access to, personal data, particularly sensitive personal data (i.e. special category), could negatively impact its business and/or its reputation.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also subject to EU laws on personal data export, as it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U.S. Privacy Shield is currently under review by the European Commission. As such, it is uncertain whether the Privacy Shield framework and/or model clauses will be invalidated in the near future. These changes may require Mereo to find alternative bases for the compliant transfer of personal data from the EU to the United States and Mereo is monitoring developments in this area. Invalidation of any mechanism on which Mereo relies could require operational changes and increased costs and may lead to governmental enforcement actions, litigation, fines and penalties or adverse publicity that could have an adverse effect on Mereo’s business.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EU is in the process of replacing the e-Privacy Directive with a new set of rules taking the form of a regulation, which will be directly implemented in the laws of each European member state, without the need for further enactment.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80"/>
          </w:cols>
          <w:pgMar w:left="240" w:top="460"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or 4% of global turnover. These laws or new interpretations, enactments or supplementary forms of these laws, could create liability for Mereo, could impose additional operational requirements on Mereo’s business, could affect the manner in which it uses and transmits patient information and could increase its cost of doing business. Claims of violations of privacy rights or contractual breaches, even if Mereo is not found liable, could be expensive and time-consuming to defend and could result in adverse publicity that could harm Mereo’s business.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Mereo obtains regulatory approval. In the United States and markets in other countries, patients who are prescribed treatments for their conditions and providers performing the prescribed services generally rely on third -party payors to reimburse all or part of the associated healthcare costs. Patients are unlikely to use Mereo’s products unless coverage is provided and reimbursement is adequate to cover a significant portion of the cost of Mereo’s products. Sales of any products for which Mereo receives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Mereo’s product candidates could reduce physician utilization of its products once approved and have a material adverse effect on Mereo’s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Mereo to maintain price levels sufficient to realize an appropriate return on Mereo’s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Mereo to provide scientific and clinical support for the use of its products to each payor separately and will be a time-consuming process.</w:t>
      </w:r>
    </w:p>
    <w:p>
      <w:pPr>
        <w:spacing w:after="0" w:line="204"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Mereo’s products to be cost effective compared to other available therapies, they may not cover Mereo’s products after approval, if any, or, if they do, the level of payment may not be sufficient to allow Mereo to sell its products at a profit.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Mereo expects there will be additional challenges and amendments to the ACA in the future.</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Mereo expects that the ACA, as well as other healthcare reform measures that may be adopted in the future, may result in more rigorous coverage criteria and lower reimbursement, and additional downward pressure on the price that Mereo receives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Mereo from being able to generate revenue, attain profitability or commercialize Mereo’s product candidates.</w:t>
      </w:r>
    </w:p>
    <w:p>
      <w:pPr>
        <w:spacing w:after="0" w:line="205"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Mereo expects that additional state and federal healthcare reform measures will be adopted in the future, any of which could limit the amounts that federal and state governments will pay for healthcare products and services, which could result in reduced demand for Mereo’s products once approved or additional pricing pressures.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As of December 31, 2018, Mereo had 37 employees. None of Mereo’s employees is subject to a collective bargaining agreement or represented by a trade or labor union. Mereo considers its relationship with its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Mereo’s principal office is located at 4th Floor, One Cavendish Place, London W1G 0QF, United Kingdom, where Mereo leases approximately 4,000 square feet of office space. Mereo leases this office space under a lease that terminates on August 16, 2025. Mereo intends to add new facilities as it adds employees, and believes that suitable additional or substitute space will be available as needed to accommodate any such expansion of its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Mereo is aware) that may have, or have had in the recent past (covering the 12 months immediately preceding the date of this proxy statement/prospectus), significant effects on Mereo’s financial position or profitability.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20"/>
          </w:cols>
          <w:pgMar w:left="240" w:top="460"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MEREO 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following table presents information about Mereo’s executive officers and directors, including their ages, as of the date of this proxy statement/prospectus: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36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Head of Corporate Development</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Charles Sermon</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General Counsel</w:t>
            </w:r>
          </w:p>
        </w:tc>
      </w:tr>
      <w:tr>
        <w:trPr>
          <w:trHeight w:val="181"/>
        </w:trPr>
        <w:tc>
          <w:tcPr>
            <w:tcW w:w="20" w:type="dxa"/>
            <w:vAlign w:val="bottom"/>
          </w:tcPr>
          <w:p>
            <w:pPr>
              <w:spacing w:after="0"/>
              <w:rPr>
                <w:sz w:val="15"/>
                <w:szCs w:val="15"/>
                <w:color w:val="auto"/>
              </w:rPr>
            </w:pPr>
          </w:p>
        </w:tc>
        <w:tc>
          <w:tcPr>
            <w:tcW w:w="4680" w:type="dxa"/>
            <w:vAlign w:val="bottom"/>
          </w:tcPr>
          <w:p>
            <w:pPr>
              <w:ind w:left="340"/>
              <w:spacing w:after="0" w:line="181" w:lineRule="exact"/>
              <w:rPr>
                <w:sz w:val="20"/>
                <w:szCs w:val="20"/>
                <w:color w:val="auto"/>
              </w:rPr>
            </w:pPr>
            <w:r>
              <w:rPr>
                <w:rFonts w:ascii="Arial" w:cs="Arial" w:eastAsia="Arial" w:hAnsi="Arial"/>
                <w:sz w:val="18"/>
                <w:szCs w:val="18"/>
                <w:color w:val="auto"/>
              </w:rPr>
              <w:t>Alexandra (Wills) Hughes-Wilson</w:t>
            </w:r>
          </w:p>
        </w:tc>
        <w:tc>
          <w:tcPr>
            <w:tcW w:w="6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47</w:t>
            </w:r>
          </w:p>
        </w:tc>
        <w:tc>
          <w:tcPr>
            <w:tcW w:w="5740" w:type="dxa"/>
            <w:vAlign w:val="bottom"/>
            <w:gridSpan w:val="2"/>
          </w:tcPr>
          <w:p>
            <w:pPr>
              <w:ind w:left="380"/>
              <w:spacing w:after="0" w:line="181" w:lineRule="exact"/>
              <w:rPr>
                <w:sz w:val="20"/>
                <w:szCs w:val="20"/>
                <w:color w:val="auto"/>
              </w:rPr>
            </w:pPr>
            <w:r>
              <w:rPr>
                <w:rFonts w:ascii="Arial" w:cs="Arial" w:eastAsia="Arial" w:hAnsi="Arial"/>
                <w:sz w:val="18"/>
                <w:szCs w:val="18"/>
                <w:color w:val="auto"/>
              </w:rPr>
              <w:t>Head of Patient Access and Commercial Planning</w:t>
            </w: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Kunal Kashyap</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Deepika R. Pakianathan,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Michael S. Wyzga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74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hanging="316"/>
        <w:spacing w:after="0"/>
        <w:tabs>
          <w:tab w:leader="none" w:pos="5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 currently serving on the Mereo Board; expected to be appointed as directors of Mereo as of the Effective Time.</w:t>
      </w:r>
    </w:p>
    <w:p>
      <w:pPr>
        <w:spacing w:after="0" w:line="212"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current business addresses for Mereo’s executive officers and directors is c/o Mereo BioPharma Group plc, 4th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Mereo’s executive officers and directors:</w:t>
      </w:r>
    </w:p>
    <w:p>
      <w:pPr>
        <w:spacing w:after="0" w:line="190" w:lineRule="exact"/>
        <w:rPr>
          <w:sz w:val="20"/>
          <w:szCs w:val="20"/>
          <w:color w:val="auto"/>
        </w:rPr>
      </w:pPr>
    </w:p>
    <w:p>
      <w:pPr>
        <w:jc w:val="both"/>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Mereo’s Chief Executive Officer since July 2015 and as a member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Board since Mereo’s formation. From 2010 until joining Mereo, Dr. Scots-Knight was the Managing Partner of Phase4 Partners Ltd. (“Phase4”), a global life science venture capital firm. Dr. Scots-Knight is currently a board member of Phase4 and of Elanco Animal Health Incorporated. Dr. Scots-Knight holds a B.Sc. (Hons.) and a Ph.D. from Birmingham University.</w:t>
      </w:r>
    </w:p>
    <w:p>
      <w:pPr>
        <w:spacing w:after="0" w:line="174" w:lineRule="exact"/>
        <w:rPr>
          <w:sz w:val="20"/>
          <w:szCs w:val="20"/>
          <w:color w:val="auto"/>
        </w:rPr>
      </w:pPr>
    </w:p>
    <w:p>
      <w:pPr>
        <w:ind w:left="200" w:right="20" w:firstLine="331"/>
        <w:spacing w:after="0" w:line="244" w:lineRule="auto"/>
        <w:rPr>
          <w:sz w:val="20"/>
          <w:szCs w:val="20"/>
          <w:color w:val="auto"/>
        </w:rPr>
      </w:pPr>
      <w:r>
        <w:rPr>
          <w:rFonts w:ascii="Arial" w:cs="Arial" w:eastAsia="Arial" w:hAnsi="Arial"/>
          <w:sz w:val="18"/>
          <w:szCs w:val="18"/>
          <w:b w:val="1"/>
          <w:bCs w:val="1"/>
          <w:i w:val="1"/>
          <w:iCs w:val="1"/>
          <w:color w:val="auto"/>
        </w:rPr>
        <w:t xml:space="preserve">Richard Jones. </w:t>
      </w:r>
      <w:r>
        <w:rPr>
          <w:rFonts w:ascii="Arial" w:cs="Arial" w:eastAsia="Arial" w:hAnsi="Arial"/>
          <w:sz w:val="18"/>
          <w:szCs w:val="18"/>
          <w:color w:val="auto"/>
        </w:rPr>
        <w:t>Mr. Jones has served as Mereo’s Chief Financial Officer and as a member of the Mereo Board since January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2011 until joining Mereo, Mr. Jones was the Chief Financial Officer and Company Secretary of Shield Therapeutics plc, where he also served as a Non-Executive Director from 2010 to 2011. Mr. Jones serves as a non-executive director on the board of Alliance Pharma plc. Mr. Jones is a qualified chartered accountant (ACA) with the Institute of Chartered Accountants in England and Wales (ICAEW) and holds a B.Eng. (Hons.) from the University of Newcastle upon Tyne.</w:t>
      </w:r>
    </w:p>
    <w:p>
      <w:pPr>
        <w:spacing w:after="0" w:line="177" w:lineRule="exact"/>
        <w:rPr>
          <w:sz w:val="20"/>
          <w:szCs w:val="20"/>
          <w:color w:val="auto"/>
        </w:rPr>
      </w:pPr>
    </w:p>
    <w:p>
      <w:pPr>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Mereo’s Chief Medical Officer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Dr. MacKinnon was a Partner of Phase4, where he currently serves as a member of the board of directors. Dr. MacKinnon holds a B.Sc. and a MBBS from King’s College London and is a Member of the Royal College of Surgeons in Edinburgh.</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Mereo’s Head of Corporate Development since July 2015. Prior to joining Mereo, he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for Nomura, a global investment bank, and Phase4. Mr. Richard serves on the boards of Vaxart, Inc., Catalyst Biosciences, QUE Oncology, and Phase4. Mr. Richard holds a B.S. from Stanford University and an MBA from Harvard Business School.</w:t>
      </w:r>
    </w:p>
    <w:p>
      <w:pPr>
        <w:spacing w:after="0" w:line="169"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Mereo’s General Counsel and Company Secretary since July 2015. From 2010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Mereo, 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74" w:lineRule="exact"/>
        <w:rPr>
          <w:sz w:val="20"/>
          <w:szCs w:val="20"/>
          <w:color w:val="auto"/>
        </w:rPr>
      </w:pPr>
    </w:p>
    <w:p>
      <w:pPr>
        <w:ind w:left="200" w:right="60" w:firstLine="331"/>
        <w:spacing w:after="0" w:line="244" w:lineRule="auto"/>
        <w:rPr>
          <w:sz w:val="20"/>
          <w:szCs w:val="20"/>
          <w:color w:val="auto"/>
        </w:rPr>
      </w:pPr>
      <w:r>
        <w:rPr>
          <w:rFonts w:ascii="Arial" w:cs="Arial" w:eastAsia="Arial" w:hAnsi="Arial"/>
          <w:sz w:val="18"/>
          <w:szCs w:val="18"/>
          <w:b w:val="1"/>
          <w:bCs w:val="1"/>
          <w:i w:val="1"/>
          <w:iCs w:val="1"/>
          <w:color w:val="auto"/>
        </w:rPr>
        <w:t>Alexandra (Wills) Hughes-Wilson</w:t>
      </w:r>
      <w:r>
        <w:rPr>
          <w:rFonts w:ascii="Arial" w:cs="Arial" w:eastAsia="Arial" w:hAnsi="Arial"/>
          <w:sz w:val="18"/>
          <w:szCs w:val="18"/>
          <w:color w:val="auto"/>
        </w:rPr>
        <w:t>. Ms. Hughes-Wilson has served as Mereo’s Head of Patient Access and Commercial Planning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March 2018. Prior to joining Mereo,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77"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the Mereo Board since July 2015. He also serves as Chairman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Consort Medical plc, and was Chairman of the board of directors of Ablynx NV until January 2018 and Vernalis plc until October 2018. Dr. Fellner was previously Chairman of the board of directors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9" w:lineRule="exact"/>
        <w:rPr>
          <w:sz w:val="20"/>
          <w:szCs w:val="20"/>
          <w:color w:val="auto"/>
        </w:rPr>
      </w:pPr>
    </w:p>
    <w:p>
      <w:pPr>
        <w:ind w:left="200" w:right="26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the Mereo Board since July 2015. Mr. Bains was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until 31 December 2018. Previously, he was Chief Executive Officer of Syngene International Ltd. (“Syngene”), and served as a Non-Executive Director until 2016. Mr. Bains currently serves as Non-Executive Director for Phase4 and MiNA Therapeutics Ltd. Mr. Bains served as Non-Executive Chairman of Fermenta Biotech Ltd. until April 2018. Mr. Bains holds a B.Sc. (Hons.) from Sheffield University.</w:t>
      </w:r>
    </w:p>
    <w:p>
      <w:pPr>
        <w:spacing w:after="0" w:line="177" w:lineRule="exact"/>
        <w:rPr>
          <w:sz w:val="20"/>
          <w:szCs w:val="20"/>
          <w:color w:val="auto"/>
        </w:rPr>
      </w:pPr>
    </w:p>
    <w:p>
      <w:pPr>
        <w:jc w:val="both"/>
        <w:ind w:left="200" w:right="5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the Mereo Board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GlaxoSmithKline. Mr. Blackburn currently serves on the Board of Directors of Syngene. Mr. Blackburn is a member of the Chartered Institute of Managed Accountants. Mr. Blackburn holds a B.Sc. from Warwick University.</w:t>
      </w:r>
    </w:p>
    <w:p>
      <w:pPr>
        <w:spacing w:after="0" w:line="174"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the Mereo Board since July 2015. Dr. Ekblom has held a number of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of Elypta AB and TFS International AB, and on the boards of directors of Alligator Bioscience AB, AnaMar AB, Infant Bacterial Therapeutics AB and LEO Pharma A/S. Dr. Ekblom is a board-certified medical doctor and an Associate Professor at the Karolinska Institutet. Dr. Ekblom holds a D.D.S., M.D. and Ph.D. from Karolinska Institutet.</w:t>
      </w:r>
    </w:p>
    <w:p>
      <w:pPr>
        <w:spacing w:after="0" w:line="179" w:lineRule="exact"/>
        <w:rPr>
          <w:sz w:val="20"/>
          <w:szCs w:val="20"/>
          <w:color w:val="auto"/>
        </w:rPr>
      </w:pPr>
    </w:p>
    <w:p>
      <w:pPr>
        <w:ind w:left="200" w:right="240" w:firstLine="331"/>
        <w:spacing w:after="0" w:line="271"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the Mereo Board since July 2015. Mr. Kashyap is Chairman and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Allegro Capital Advisors and also serves as an Independent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Director of GlaxoSmithKline Consumer Healthcare Ltd and a Non-Executive Director of Phase4.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 xml:space="preserve">Deepika R. Pakianathan, Ph.D. </w:t>
      </w:r>
      <w:r>
        <w:rPr>
          <w:rFonts w:ascii="Arial" w:cs="Arial" w:eastAsia="Arial" w:hAnsi="Arial"/>
          <w:sz w:val="18"/>
          <w:szCs w:val="18"/>
          <w:color w:val="auto"/>
        </w:rPr>
        <w:t>Dr. Pakianathan has served as a director of OncoMed since December 2008. Since 2001,</w:t>
      </w:r>
    </w:p>
    <w:p>
      <w:pPr>
        <w:spacing w:after="0" w:line="18"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Dr. Pakianathan has been a Managing Member at Delphi Ventures, a venture capital firm focused on biotechnology and medical device investments. Dr. Pakianathan serves on the boards of directors of Alder Biopharmaceuticals, Inc., Karyopharm Therapeutics, Inc., and Calithera Biosciences, Inc. Dr. Pakianathan previously served on the boards of directors of Alexza 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81" w:lineRule="exact"/>
        <w:rPr>
          <w:sz w:val="20"/>
          <w:szCs w:val="20"/>
          <w:color w:val="auto"/>
        </w:rPr>
      </w:pPr>
    </w:p>
    <w:p>
      <w:pPr>
        <w:ind w:left="200" w:right="420" w:firstLine="331"/>
        <w:spacing w:after="0" w:line="247" w:lineRule="auto"/>
        <w:rPr>
          <w:sz w:val="20"/>
          <w:szCs w:val="20"/>
          <w:color w:val="auto"/>
        </w:rPr>
      </w:pPr>
      <w:r>
        <w:rPr>
          <w:rFonts w:ascii="Arial" w:cs="Arial" w:eastAsia="Arial" w:hAnsi="Arial"/>
          <w:sz w:val="18"/>
          <w:szCs w:val="18"/>
          <w:b w:val="1"/>
          <w:bCs w:val="1"/>
          <w:i w:val="1"/>
          <w:iCs w:val="1"/>
          <w:color w:val="auto"/>
        </w:rPr>
        <w:t xml:space="preserve">Michael S. Wyzga. </w:t>
      </w:r>
      <w:r>
        <w:rPr>
          <w:rFonts w:ascii="Arial" w:cs="Arial" w:eastAsia="Arial" w:hAnsi="Arial"/>
          <w:sz w:val="18"/>
          <w:szCs w:val="18"/>
          <w:color w:val="auto"/>
        </w:rPr>
        <w:t>Mr. Wyzga has served as a director of OncoMed since October 2013. Mr. Wyzga is currently the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MSW Consulting Inc., a strategic consulting group focused in the lifesciences area. From December 2011 until November 2013,</w:t>
      </w:r>
    </w:p>
    <w:p>
      <w:pPr>
        <w:spacing w:after="0" w:line="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20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accordance with Mereo’s articles of association, its directors serve for three-year terms. The current term for all of its directors expires in 2021, except for Mr. Jones, whose current term expires in 2020. Mereo’s shareholders elect directors in accordance with Mereo’s articles of association. If Mereo’s shareholders do not elect a new director, then the retiring director may, if willing to serve, continue as a director. See “Description of Mereo Shares and Articles of Association—Articles of Association—Directors—Appointment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w:t>
      </w:r>
    </w:p>
    <w:p>
      <w:pPr>
        <w:spacing w:after="0" w:line="229" w:lineRule="exact"/>
        <w:rPr>
          <w:sz w:val="20"/>
          <w:szCs w:val="20"/>
          <w:color w:val="auto"/>
        </w:rPr>
      </w:pPr>
    </w:p>
    <w:p>
      <w:pPr>
        <w:ind w:left="960" w:right="240" w:hanging="432"/>
        <w:spacing w:after="0" w:line="226" w:lineRule="auto"/>
        <w:tabs>
          <w:tab w:leader="none" w:pos="96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intend to follow Nasdaq Rule 5620(c) regarding quorum requirements applicable to meetings of shareholders. Such quorum requirements are not required under English law. In accordance with generally accepted business practice, Mereo’s articles of association provide alternative quorum requirements that are generally applicable to meetings of shareholders.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intend to follow Nasdaq Rule 5605(b)(2), which requires that independent directors regularly have scheduled meetings at which only independent directors are present.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Although Mereo may rely on certain home country corporate governance practices, Mereo must comply with Nasdaq Rule 5640 Notification of Noncompliance and Rule 5640 Voting Rights. Further,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00"/>
          </w:cols>
          <w:pgMar w:left="24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Mereo must have an audit committee that satisfies Rule 5605(c)(3), which addresses audit committee responsibilities and authority, and that consists of committee members that meet the independence requirements of Rule 5605(c)(2)(A)(ii).</w:t>
      </w:r>
    </w:p>
    <w:p>
      <w:pPr>
        <w:spacing w:after="0" w:line="19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the Quoted Companies Alliance Corporate Governance Code</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All companies with securities admitted to trading on AIM are required to include on their website details of a recognized corporate governance code that the board of directors of the company has decided to apply, how the company complies with that code, and where it departs from its chosen corporate governance code an explanation of the reasons for doing so. This information is required to be reviewed annually.</w:t>
      </w:r>
    </w:p>
    <w:p>
      <w:pPr>
        <w:spacing w:after="0" w:line="20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applies the Corporate Governance Code published by the Quoted Companies Alliance (the “QCA Code”). The QCA Code sets out a standard of minimum best practice for small and midsize quoted companies in the U.K.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the Mereo Board</w:t>
      </w:r>
    </w:p>
    <w:p>
      <w:pPr>
        <w:spacing w:after="0" w:line="85" w:lineRule="exact"/>
        <w:rPr>
          <w:sz w:val="20"/>
          <w:szCs w:val="20"/>
          <w:color w:val="auto"/>
        </w:rPr>
      </w:pPr>
    </w:p>
    <w:p>
      <w:pPr>
        <w:jc w:val="both"/>
        <w:ind w:left="200" w:right="60" w:firstLine="331"/>
        <w:spacing w:after="0" w:line="238" w:lineRule="auto"/>
        <w:rPr>
          <w:sz w:val="20"/>
          <w:szCs w:val="20"/>
          <w:color w:val="auto"/>
        </w:rPr>
      </w:pPr>
      <w:r>
        <w:rPr>
          <w:rFonts w:ascii="Arial" w:cs="Arial" w:eastAsia="Arial" w:hAnsi="Arial"/>
          <w:sz w:val="18"/>
          <w:szCs w:val="18"/>
          <w:color w:val="auto"/>
        </w:rPr>
        <w:t>The Mereo Board currently consists of seven members. Five of Mereo’s seven directors, Peter Fellner, Peter Bains, Paul Blackburn, Anders Ekblom, and Kunal Kashyap do not have a relationship that would interfere with the exercise of independent judgment in carrying out the responsibilities of director and each is “independent” as that term is defined under the rules of Nasdaq. As a foreign private issuer, Mereo is not required to meet the Nasdaq rule that the Mereo Board be comprised of a majority of independent directors. However, Mereo intends to comply with this requirement. There are no family relationships among any of Mereo’s directors or senior management.</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In accordance with Mereo’s articles of association, each of its directors serves for a term of three years. Retiring directors are eligible for re-election and, if no other director is elected to fill his or her position and the director is willing, shall be re-elected by default. See “Description of Mereo Shares and Articles of Association—Articles of Association—Directors—Appointment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Mereo Board</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Mereo Board has four standing committees: an audit and risk committee, a remuneration committee, a nomination committee, and a research and development committee.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99"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The audit and risk committee, which consists of Paul Blackburn, Anders Ekblom, and Kunal Kashyap, assists the board in overseeing Mereo’s accounting and financial reporting processes and the audits of Mereo’s financial statements. Mr. Blackburn serves as Chairman of the committee. The audit and risk committee consists exclusively of members of the Mereo Board who are financially literate, and</w:t>
      </w:r>
    </w:p>
    <w:p>
      <w:pPr>
        <w:spacing w:after="0" w:line="2" w:lineRule="exact"/>
        <w:rPr>
          <w:sz w:val="20"/>
          <w:szCs w:val="20"/>
          <w:color w:val="auto"/>
        </w:rPr>
      </w:pPr>
    </w:p>
    <w:p>
      <w:pPr>
        <w:ind w:left="200" w:right="420"/>
        <w:spacing w:after="0"/>
        <w:rPr>
          <w:sz w:val="20"/>
          <w:szCs w:val="20"/>
          <w:color w:val="auto"/>
        </w:rPr>
      </w:pPr>
      <w:r>
        <w:rPr>
          <w:rFonts w:ascii="Arial" w:cs="Arial" w:eastAsia="Arial" w:hAnsi="Arial"/>
          <w:sz w:val="18"/>
          <w:szCs w:val="18"/>
          <w:color w:val="auto"/>
        </w:rPr>
        <w:t>Mr. Blackburn is considered an “audit committee financial expert” as defined by applicable SEC rules and has the requisite financial sophistication as defined under the applicable Nasdaq rules and regulations. The Mereo Board expects that all of the members of the audit and risk committee will satisfy the “independence” requirements set forth in Rule 10A-3 under the Exchange Act. The audit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risk committee is expected to be governed by a charter that complies with Nasdaq rules, effective upon the closing of the Merger.</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Mereo’s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Mereo’s financial statements and Mereo’s financial reporting process; and</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53"/>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Mereo’s related person transaction policy) in accordance with Mereo’s related person transaction policy.</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Mereo’s independent accountant, without Mereo’s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remuneration committee, which consists of Peter Bains and Anders Ekblom, assists the board in determining senior management compensation. Dr. Ekblom serves as Chairman of the committee. Under SEC and Nasdaq rules, there are heightened independence standards for members of the remuneration committee, including a prohibition against the receipt of any compensation from Mereo other than standard board member fees. However, foreign private issuers are not required to meet this heightened standard. Nonetheless, the Mereo Board expects that Mr. Bains and Dr. Ekblom will meet this heightened standard. The remuneration committee is expected to be governed by a charter that complies with Nasdaq rules, effective upon the closing of the Merger.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Mereo’s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Mereo’s compensation policies and practices.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85" w:lineRule="exact"/>
        <w:rPr>
          <w:sz w:val="20"/>
          <w:szCs w:val="20"/>
          <w:color w:val="auto"/>
        </w:rPr>
      </w:pPr>
    </w:p>
    <w:p>
      <w:pPr>
        <w:ind w:left="200" w:right="120" w:firstLine="331"/>
        <w:spacing w:after="0" w:line="257" w:lineRule="auto"/>
        <w:rPr>
          <w:sz w:val="20"/>
          <w:szCs w:val="20"/>
          <w:color w:val="auto"/>
        </w:rPr>
      </w:pPr>
      <w:r>
        <w:rPr>
          <w:rFonts w:ascii="Arial" w:cs="Arial" w:eastAsia="Arial" w:hAnsi="Arial"/>
          <w:sz w:val="17"/>
          <w:szCs w:val="17"/>
          <w:color w:val="auto"/>
        </w:rPr>
        <w:t>The nomination committee, which consists of Peter Bains, Anders Ekblom, and Peter Fellner, assists the Mereo Board in identifying individuals qualified to become members of the Mereo Board and senior management consistent with criteria established by the Mereo Board and in developing Mereo’s corporate governance principles. Dr. Fellner serves as Chairman of the nomination committee. The nomination committee is expected to be governed by a charter that complies with Nasdaq rules, effective upon the closing of the Merger.</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80"/>
          </w:cols>
          <w:pgMar w:left="240" w:top="460"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the Mereo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the Mereo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99"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research and development committee, which consists of Peter Bains, and Anders Ekblom, assists Mereo’s senior management with oversight and guidance related to research and development matters and provides guidance and makes recommendations to the Mereo Board regarding research and development matters.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strategic development plans for products, taking into account any regulatory feedback;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itself informed of strategic issues and commercial changes affecting Mereo’s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intends to adopt a Code of Business Conduct and Ethics and an Anti-Bribery and Anti-Corruption Policy, effective upon the closing of the Merger, that will cover a broad range of matters including the handling of conflicts of interest, compliance issues, and other corporate policies such as equal opportunity and non-discrimination standards.</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40"/>
          </w:cols>
          <w:pgMar w:left="240" w:top="460" w:right="6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2018, 2017 and 2016 to Mereo’s current executive officers.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Bonus(1)</w:t>
            </w:r>
          </w:p>
        </w:tc>
        <w:tc>
          <w:tcPr>
            <w:tcW w:w="1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Total(3)</w:t>
            </w:r>
          </w:p>
        </w:tc>
        <w:tc>
          <w:tcPr>
            <w:tcW w:w="0" w:type="dxa"/>
            <w:vAlign w:val="bottom"/>
          </w:tcPr>
          <w:p>
            <w:pPr>
              <w:spacing w:after="0"/>
              <w:rPr>
                <w:sz w:val="1"/>
                <w:szCs w:val="1"/>
                <w:color w:val="auto"/>
              </w:rPr>
            </w:pPr>
          </w:p>
        </w:tc>
      </w:tr>
      <w:tr>
        <w:trPr>
          <w:trHeight w:val="175"/>
        </w:trPr>
        <w:tc>
          <w:tcPr>
            <w:tcW w:w="5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Denise Scots-Knight, Ph.D.</w:t>
            </w: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9"/>
              </w:rPr>
              <w:t>2018</w:t>
            </w:r>
          </w:p>
        </w:tc>
        <w:tc>
          <w:tcPr>
            <w:tcW w:w="3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379,600</w:t>
            </w:r>
          </w:p>
        </w:tc>
        <w:tc>
          <w:tcPr>
            <w:tcW w:w="3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303,680</w:t>
            </w:r>
          </w:p>
        </w:tc>
        <w:tc>
          <w:tcPr>
            <w:tcW w:w="3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64,560</w:t>
            </w:r>
          </w:p>
        </w:tc>
        <w:tc>
          <w:tcPr>
            <w:tcW w:w="3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747,840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242,725</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64,196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671,921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340,000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166,600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56,863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563,463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Richard Jones(4)</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260,000</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208,000</w:t>
            </w:r>
          </w:p>
        </w:tc>
        <w:tc>
          <w:tcPr>
            <w:tcW w:w="1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33,481</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501,481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Chief Financial Officer</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231,090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166,250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29,224</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60" w:type="dxa"/>
            <w:vAlign w:val="bottom"/>
            <w:gridSpan w:val="2"/>
          </w:tcPr>
          <w:p>
            <w:pPr>
              <w:ind w:left="3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7"/>
                <w:szCs w:val="17"/>
                <w:color w:val="auto"/>
              </w:rPr>
            </w:pPr>
          </w:p>
        </w:tc>
        <w:tc>
          <w:tcPr>
            <w:tcW w:w="10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Alastair MacKinnon, MBBS</w:t>
            </w:r>
          </w:p>
        </w:tc>
        <w:tc>
          <w:tcPr>
            <w:tcW w:w="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281,600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225,280</w:t>
            </w:r>
          </w:p>
        </w:tc>
        <w:tc>
          <w:tcPr>
            <w:tcW w:w="1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30,698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537,578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170,240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27,916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112,700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25,071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367,771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John Richard(5)</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277,861</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230,053</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507,914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Head of Corporate Development</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275,338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218,727</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60" w:type="dxa"/>
            <w:vAlign w:val="bottom"/>
            <w:gridSpan w:val="2"/>
          </w:tcPr>
          <w:p>
            <w:pPr>
              <w:ind w:left="3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259,745</w:t>
            </w:r>
          </w:p>
        </w:tc>
        <w:tc>
          <w:tcPr>
            <w:tcW w:w="3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158,589</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418,334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Charles Sermon</w:t>
            </w:r>
          </w:p>
        </w:tc>
        <w:tc>
          <w:tcPr>
            <w:tcW w:w="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282,490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225,992</w:t>
            </w:r>
          </w:p>
        </w:tc>
        <w:tc>
          <w:tcPr>
            <w:tcW w:w="1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34,975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543,457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Counsel</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180,631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33,164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129,850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31,847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426,697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Alexandra Hughes-Wilson</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63,750</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30,000</w:t>
            </w:r>
          </w:p>
        </w:tc>
        <w:tc>
          <w:tcPr>
            <w:tcW w:w="1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6,375</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100,125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Head of Patient Access and Commercial Planning</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right="60" w:hanging="316"/>
        <w:spacing w:after="0" w:line="234"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30% of the annual bonus was deferred under the 2016 DBSP (as defined below), except in respect of John Richard who was not an employee in 2016 or 2017 and therefore not eligible to participate in the 2016 DBSP. In 2018, 30% of the annual cash bonus awarded was made (after deduction of income tax and the relevant employee’s national insurance contributions) to Mereo’s current executive officers to acquire Mereo shares under the 2019 DBSP (as defined beloow). See “—Equity Compensation Arrangements.”</w:t>
      </w:r>
    </w:p>
    <w:p>
      <w:pPr>
        <w:spacing w:after="0" w:line="3"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right="380" w:hanging="316"/>
        <w:spacing w:after="0" w:line="234"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the 2016 DBSP or the value of options to acquire Mereo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Mr. Jones commenced employment with Mereo in January 2017.</w:t>
      </w:r>
    </w:p>
    <w:p>
      <w:pPr>
        <w:ind w:left="520" w:right="320" w:hanging="316"/>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Mr. Richard provided services to Mereo in 2018 under a consultancy agreement and currently provides services to Mereo under a consultancy agreement and an employment agreement. These agreements are described in “—Executive Officer Employment and Consultancy Agreements—John Richard.”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Denise Scots-Knight, Ph.D.</w:t>
      </w:r>
    </w:p>
    <w:p>
      <w:pPr>
        <w:spacing w:after="0" w:line="9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Mereo entered into an employment agreement with Dr. Scots-Knight on July 29, 2015. This agreement entitles Dr. Scots-Knight to receive an initial annual base salary of £275,000 (which was subsequently increased to £379,600 for 2018 and to £390,988 for 2019) and an opportunity to earn an annual discretionary performance-based bonus, subject to the achievement of performance goals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determined in accordance with Mereo’s annual bonus plan. Mereo currently contributes to Dr. Scots-Knight’s Self-Invested Personal Pension Scheme an amount equal to 15% of Dr. Scots-Knight’s annual salary, provided that she contributes 4% or more of her annual salary to that scheme. In lieu of a pension contribution, Mereo may, at Dr. Scots-Knight’s request, pay a pro-rata amount equal to 10% of her base salary as additional compensation. Either party may terminate the employment agreement by giving the other party not less than 12 months’ written notice, provided that Mereo may terminate Dr. Scots-Knight at any time with immediate effect for cause or by giving written notice to Dr. Scots-Knight that Mereo will instead pay her basic salary for any remaining notice period. Dr. Scots-Knight’s employment agreement also contains restrictive covenants pursuant to which she has agreed to refrain from competing with Mereo or soliciting Mereo’s key employees for a period of six months following her termination of employment or soliciting Mereo’s customers for a period of nine months following her termination of employment.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entered into an employment agreement with Mr. Jones on November 7, 2016 pursuant to which he commenced employment with Mereo on January 28, 2017. This agreement entitles Mr. Jones to receive an initial annual base salary of £250,000 (which was subsequently increased to £ 260,000 for 2018 and to £291,200 for 2019) and an opportunity to earn an annual discretionary performance-based bonus, subject to the achievement of performance goals determined in accordance with Mereo’s annual bonus plan. Mr. Jones is also eligible to participate in Mereo’s group personal pension scheme and Mereo has agreed to contribute to the pension scheme an amount equal to 10% of Mr. Jones’s annual salary provided that he contributes 4% or more of his annual salary to that scheme. In lieu of a pension contribution, Mereo may, at Mr. Jones’s request, pay a pro-rata amount equal to 10% of his base salary as additional compensation. Either party may terminate the employment agreement by giving the other party not less than six months’ written notice, provided that Mereo may terminate Mr. Jones at any time with immediate effect for cause or by giving written notice to Mr. Jones that Mereo will instead pay his basic salary for any remaining notice period. Mr. Jones’s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Alastair MacKinnon, MBBS</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 entered into an employment agreement with Dr. MacKinnon on July 29, 2015, and subsequently amended the agreement on November 24, 2017. This agreement entitles Dr. MacKinnon to receive an initial annual base salary of £210,000 (which was subsequently increased to £281,600 for 2018 and to £290,048 for 2019) and an opportunity to earn an annual discretionary performance-based bonus, subject to the achievement of performance goals determined in accordance with Mereo’s annual bonus plan.</w:t>
      </w:r>
    </w:p>
    <w:p>
      <w:pPr>
        <w:spacing w:after="0" w:line="202"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Dr. MacKinnon is also eligible to participate in Mereo’s group personal pension scheme and Mereo has agreed to contribute to the pension scheme an amount equal to 10% of Dr. MacKinnon’s annual salary provided that he contributes 4% or more of his annual salary to that scheme. In lieu of a pension contribution, Mereo may, at Dr. MacKinnon’s request, pay a pro-rata amount equal to 10% of his base salary as additional compensation. Either party may terminate the employment agreement by giving the other party not less than six months’ written notice, provided that Mereo may terminate Dr. MacKinnon at any time with immediate effect for cause or by giving written notice to Dr. MacKinnon that Mereo instead pay his basic salary for any remaining notice period. Dr. MacKinnon’s employment agreement also contains restrictive covenants pursuant to which he has agreed to refrain from competing with Mereo for a period of three months following his termination of employment, soliciting Mereo’s key employees for a period of six months following his termination of employment, or soliciting Mereo’s customers for a period of nine months following his termination of employment.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00"/>
          </w:cols>
          <w:pgMar w:left="24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John Richard</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entered into a consultancy agreement with Mr. Richard on February 1, 2018, pursuant to which he provided services to Mereo during 2018 and which has subsequently expired. Mr. Richard currently provides services to Mereo pursuant to an employment agreement dated February 26, 2018 (the “Richard Employment Agreement”), and a consultancy agreement dated January 23, 2019 (the “Richard Consulting Agreement”).</w:t>
      </w:r>
    </w:p>
    <w:p>
      <w:pPr>
        <w:spacing w:after="0" w:line="202"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The Richard Employment Agreement entitles Mr. Richard to receive an initial base salary of £3,900 per month, which was subsequently increased to £4,017 per month from January 2019, and an opportunity to earn an annual discretionary performance-based bonus, subject to the achievement of performance goals determined in accordance with Mereo’s annual bonus plan. Mr. Richard is also eligible to participate in Mereo’s group personal pension scheme and Mereo has agreed to contribute to the pension scheme an amount equal to 10% of Mr. Richard’s annual salary provided that he contributes 4% or more of his annual salary to that scheme. In lieu of a pension contribution, Mereo may, at Mr. Richard’s request, pay a pro-rata amount equal to 10% of his base salary as additional compensation. Either party may terminate the employment agreement by giving the other party not less than six months’ written notice, provided that Mereo may terminate Mr. Richard at any time with immediate effect for cause or by giving written notice to Mr. Richard that Mereo will instead pay his basic salary for any remaining notice period. Mr. Richard’s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20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Pursuant to the Richard Consulting Agreement, Mr. Richard also provides services to Mereo as a consultant. The Richard Consulting Agreement is expected to remain in effect until January 31, 2020. The Richard Consulting Agreement entitles Mr. Richard to receive a retainer of $26,316 per month and an opportunity to earn a one-time discretionary payment from Mereo based upon the achievement of agreed-upon performance goals with regard to the preceding 12-month period.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entered into an employment agreement with Mr. Sermon on July 29, 2015. This agreement entitles Mr. Sermon to receive an initial annual base salary of £245,000 (which was subsequently increased to £282,490 for 2018 and to £290,964 for 2019) and an opportunity to earn an annual discretionary performance-based bonus, subject to the achievement of performance goals determined in accordance with Mereo’s annual bonus plan. Mereo has agreed to contribute to Mr. Sermon’s Self-Invested Personal Pension Scheme an amount equal to 10% of Mr. Sermon’s annual salary provided that he contributes 4% or more of his annual salary to that scheme. In lieu of a pension contribution, Mereo may, at Mr. Sermon’s request, pay a pro-rata amount equal to 10% of his base salary as additional compensation. Either party may terminate the employment agreement by giving the other party not less than six months’ written notice, provided that Mereo may terminate Mr. Sermon at any time with immediate effect for cause or by giving written notice to Mr. Sermon that Mereo will instead pay his basic salary for any remaining notice period. Mr. Sermon’s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Alexandra (Wills) Hughes-Wilson</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 entered into a part-time employment agreement with Ms. Alexandra (Wills) Hughes-Wilson on February 19, 2018, and subsequently amended the agreement on May 29, 2018 and on March 8, 2019. Ms. Hughes-Wilson commenced part-time employment with Mereo as its Head of Patient Access and Commercial Planning on March 5, 2018. The employment agreement entitles Ms. Hughes-Wilson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to receive an initial annual base salary of £185,400 and an opportunity to earn an annual discretionary performance-based bonus, subject to the achievement of performance goals determined in accordance with Mereo’s annual bonus plan.</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99"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Mereo has granted or may grant or intend to grant share options and awards under the following five equity award plans (the “Mereo Share Plans”): (i) the 2015 Plan; (ii) the Share Option Plan; (iii) the LTIP; (iv) the 2016 DBSP; (v) the 2019 DBP; and (vi) the Share Option Scheme for Non-Executive Directors (each as defined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Prior to the admission of Mereo Shares to trading on AIM (“Admission”), Mereo granted options under the 2015 Plan. No further grants have been made under the 2015 Plan since Admission.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2"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Mereo Share to £2.21 per Mereo Share.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Mereo’s share capital, the number of Mereo Shares subject to an option and the exercise price applying to an option may be varied in such manner as the Mereo Board may determine.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Share Option Plan (the “Share Option Plan”)</w:t>
      </w:r>
    </w:p>
    <w:p>
      <w:pPr>
        <w:spacing w:after="0" w:line="99"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Mereo Board adopted the Share Option Plan on June 9, 2016, and has subsequently amended it. Except where the context indicates otherwise, references to Mereo Shares shall be deemed to include a number of Mereo ADSs representing the right to receive such Mereo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Share Option Plan provides for the grant of options to acquire Mereo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00"/>
          </w:cols>
          <w:pgMar w:left="240" w:top="460"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Mereo as a result of dismissal for gross misconduct, any option the participant holds, whether vested or unvested, will lapse.</w:t>
      </w:r>
    </w:p>
    <w:p>
      <w:pPr>
        <w:spacing w:after="0" w:line="1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20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Under the Share Option Plan, if certain changes are made in, or events occur with respect to, Mereo Shares (including any variation of share capital, demerger, delisting, special dividend, rights issue or any other event, which may, in the opinion of the Mereo Board affect the current or future value of Mereo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340" w:firstLine="331"/>
        <w:spacing w:after="0" w:line="237" w:lineRule="auto"/>
        <w:rPr>
          <w:sz w:val="20"/>
          <w:szCs w:val="20"/>
          <w:color w:val="auto"/>
        </w:rPr>
      </w:pPr>
      <w:r>
        <w:rPr>
          <w:rFonts w:ascii="Arial" w:cs="Arial" w:eastAsia="Arial" w:hAnsi="Arial"/>
          <w:sz w:val="18"/>
          <w:szCs w:val="18"/>
          <w:color w:val="auto"/>
        </w:rPr>
        <w:t>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Mereo’s Admission.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Long Term Incentive Plan (the “LTIP”)</w:t>
      </w:r>
    </w:p>
    <w:p>
      <w:pPr>
        <w:spacing w:after="0" w:line="99"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order to further incentivize Mereo’s employees and align their interests with shareholders, the Mereo Board adopted the LTIP on June 9, 2016 and has subsequently amended it.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Mereo’s employees. The shares used to satisfy the LTIP Awards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are currently delivered through the Mereo BioPharma Group plc Employee Benefit Trust, which is based in Jersey.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may determine that the LTIP Awards are settled in cash.</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60" w:firstLine="331"/>
        <w:spacing w:after="0" w:line="257" w:lineRule="auto"/>
        <w:rPr>
          <w:sz w:val="20"/>
          <w:szCs w:val="20"/>
          <w:color w:val="auto"/>
        </w:rPr>
      </w:pPr>
      <w:r>
        <w:rPr>
          <w:rFonts w:ascii="Arial" w:cs="Arial" w:eastAsia="Arial" w:hAnsi="Arial"/>
          <w:sz w:val="17"/>
          <w:szCs w:val="17"/>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or the AIM rules) applies to the award, then the award will vest on the date on which such dealing restriction lifts.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Mereo Shares (including any variation of share capital, any demerger, delisting, special dividend, rights issue or other event which may, in the opinion of the Mereo Board, affect the current or future value of Mereo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240" w:top="460" w:right="5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Mereo Board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Deferred Bonus Share Plan (the “2016 DBSP”)</w:t>
      </w:r>
    </w:p>
    <w:p>
      <w:pPr>
        <w:spacing w:after="0" w:line="85"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Mereo Board adopted the 2016 DBSP on June 9, 2016 and has subsequently amended it. Following the adoption of the 2019 DBP in January 2019, no further grants are expected to be made under the 2016 DBSP.</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The 2016 DBSP provides for the deferral of a percentage (currently 30%) of the annual bonuses awarded to Mereo’s employees into the right to acquire shares equal in value to the amount deferred, free of charge.</w:t>
      </w:r>
    </w:p>
    <w:p>
      <w:pPr>
        <w:spacing w:after="0" w:line="197" w:lineRule="exact"/>
        <w:rPr>
          <w:sz w:val="20"/>
          <w:szCs w:val="20"/>
          <w:color w:val="auto"/>
        </w:rPr>
      </w:pPr>
    </w:p>
    <w:p>
      <w:pPr>
        <w:jc w:val="both"/>
        <w:ind w:left="200" w:right="20" w:firstLine="331"/>
        <w:spacing w:after="0" w:line="238" w:lineRule="auto"/>
        <w:rPr>
          <w:sz w:val="20"/>
          <w:szCs w:val="20"/>
          <w:color w:val="auto"/>
        </w:rPr>
      </w:pPr>
      <w:r>
        <w:rPr>
          <w:rFonts w:ascii="Arial" w:cs="Arial" w:eastAsia="Arial" w:hAnsi="Arial"/>
          <w:sz w:val="18"/>
          <w:szCs w:val="18"/>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203" w:lineRule="exact"/>
        <w:rPr>
          <w:sz w:val="20"/>
          <w:szCs w:val="20"/>
          <w:color w:val="auto"/>
        </w:rPr>
      </w:pPr>
    </w:p>
    <w:p>
      <w:pPr>
        <w:jc w:val="both"/>
        <w:ind w:left="200" w:right="440" w:firstLine="331"/>
        <w:spacing w:after="0" w:line="246" w:lineRule="auto"/>
        <w:rPr>
          <w:sz w:val="20"/>
          <w:szCs w:val="20"/>
          <w:color w:val="auto"/>
        </w:rPr>
      </w:pPr>
      <w:r>
        <w:rPr>
          <w:rFonts w:ascii="Arial" w:cs="Arial" w:eastAsia="Arial" w:hAnsi="Arial"/>
          <w:sz w:val="18"/>
          <w:szCs w:val="18"/>
          <w:color w:val="auto"/>
        </w:rPr>
        <w:t>If on the date a 2016 DBSP Award is due to vest or be exercisable a restriction on share dealing (as may be imposed by Mereo’s share dealing code or the AIM rules) applies to the award, then the award will vest on the date on which such dealing restriction lifts.</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the Mereo Board determines, after which time it will lapse.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160" w:firstLine="331"/>
        <w:spacing w:after="0" w:line="275" w:lineRule="auto"/>
        <w:rPr>
          <w:sz w:val="20"/>
          <w:szCs w:val="20"/>
          <w:color w:val="auto"/>
        </w:rPr>
      </w:pPr>
      <w:r>
        <w:rPr>
          <w:rFonts w:ascii="Arial" w:cs="Arial" w:eastAsia="Arial" w:hAnsi="Arial"/>
          <w:sz w:val="17"/>
          <w:szCs w:val="17"/>
          <w:color w:val="auto"/>
        </w:rPr>
        <w:t>No eligible employee may be granted 2016 DBSP Awards that, at the time they are granted, would cause the market value of shares subject to the 2016 DBSP Awards granted to the employee in respect of a financial year to exceed 100% of the employee’s salary.</w:t>
      </w:r>
    </w:p>
    <w:p>
      <w:pPr>
        <w:spacing w:after="0" w:line="17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Under the 2016 DBSP, if certain changes are made in or events occur with respect to Mereo Shares (including any variation of share capital, any demerger, delisting, special dividend, rights issue or other event which may in the opinion of the Mereo Board, affect the current or future value of Mereo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Mereo Board may, at any time, amend the rules of the 2016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Companies Act 2006.</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2016 DBSP Awards may be granted pursuant to the 2016 DBSP after the tenth anniversary of the date of Admission.</w:t>
      </w:r>
    </w:p>
    <w:p>
      <w:pPr>
        <w:spacing w:after="0" w:line="212"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Mr. Jones: 22,058 shares subject to the option; Dr. MacKinnon: 22,588 shares</w:t>
      </w:r>
    </w:p>
    <w:p>
      <w:pPr>
        <w:spacing w:after="0" w:line="2"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subject to the option; and Mr. Sermon: 23,966 shares subject to the option. The options are scheduled to vest on the third anniversary of the date of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New Deferred Bonus Plan (the “2019 DBP”)</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adopted Mereo’s New Deferred Bonus Plan (the “2019 DBP”) on January 15, 2019.</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Holding of Deferred Shares</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Under the 2019 DBP, Mereo Shares may be purchased by participants using an after-tax bonus amount paid to them pursuant to Mereo’s annual bonus plan (“Deferred Shares”).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80"/>
          </w:cols>
          <w:pgMar w:left="240" w:top="460"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Restrictions on Deferred Shares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Cessation of Employment</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Under the 2019 DBP, if any person obtains control of Mereo (by means of holding shares, the possession of voting power, or as a result of any powers conferred by Mereo’s articles of association or other document relating to Mereo), the restrictions on Deferred Shares under the 2019 DBP will cease to apply from that date unless the Mereo Board determines otherwise. The Mereo Board may not extend the restrictions under the 2019 DBP.</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Issues</w:t>
      </w:r>
    </w:p>
    <w:p>
      <w:pPr>
        <w:spacing w:after="0" w:line="9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purchase or transfer of Mereo Shares under the 2019 DBP will be subject to obtaining any approval or consent required by AIM or Nasdaq (or any other relevant authority) and any restrictions imposed by Mereo’s share dealing code, the AIM rules, or any applicable laws or regulations which impose restrictions on share dealing.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Companies Act 2006.</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2019 DBP will terminate on the tenth anniversary of its adoption by the Mereo Board or at any earlier time by resolution of the Mereo Board. Termination of the 2019 DBP will be without prejudice to the existing rights of participants.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Share Option Scheme for Non-Executive Directors (the “NED Plan”)</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Mereo Board adopted the NED Plan on March 20, 2018. Except where the context indicates otherwise, references to Mereo Shares shall be deemed to include a number of Mereo ADSs representing the right to receive such Mereo Shares. No awards have been made to date under the NED Plan.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20"/>
          </w:cols>
          <w:pgMar w:left="240" w:top="460"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NED Plan provides for the grant of options to acquire Mereo Shares to non-executive directors. The NED Plan is administered by the Mereo Board who also set the terms and conditions of all options granted under the NED Plan, including any vesting and vesting acceleration conditions. Options are granted under the NED Plan at the discretion of the Mereo Board.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Under the NED Plan, the Mereo Board may determine the vesting schedule of the option.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options be settled in cash or by cashless exercise of the option.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a participant ceases to hold office with Mereo as a result of dismissal for gross misconduct, any option the participant holds, whether vested or unvested, will lapse. If a participant ceases to hold office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option’s normal vesting date, unless the Mereo Board determines that the option will vest on the date of cessation of services. Where an option vests in these circumstances, options will be pro-rated for time, unless the Mereo Board decides otherwise. Options may not be transferred in any way and will lapse immediately on any attempt to do so, except that options may be transferred to a participant’s personal representative upon death.</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Under the NED Plan, if certain changes are made in, or events occur with respect to Mereo Shares (including any variation of share capital, demerger, delisting, special dividend, rights issue or any other event, which may, in the opinion of the Mereo Board affect the current or future value of Mereo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Mereo Board may, at any time, amend the rules of the NED Plan, except that no amendment may be made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No options may be granted pursuant to the NED Plan after the tenth anniversary of the date of its adoption.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Awards to Directors and Executive Officers of Mereo</w:t>
      </w:r>
    </w:p>
    <w:p>
      <w:pPr>
        <w:spacing w:after="0" w:line="99"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the current directors, executive officers, and non-executive directors, as of December 31,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auto"/>
              </w:rPr>
              <w:t>Ordinary</w:t>
            </w: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60" w:type="dxa"/>
            <w:vAlign w:val="bottom"/>
          </w:tcPr>
          <w:p>
            <w:pPr>
              <w:spacing w:after="0"/>
              <w:rPr>
                <w:sz w:val="15"/>
                <w:szCs w:val="15"/>
                <w:color w:val="auto"/>
              </w:rPr>
            </w:pPr>
          </w:p>
        </w:tc>
        <w:tc>
          <w:tcPr>
            <w:tcW w:w="1600" w:type="dxa"/>
            <w:vAlign w:val="bottom"/>
          </w:tcPr>
          <w:p>
            <w:pPr>
              <w:ind w:left="4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Denise Scots-Knight, Ph.D.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1,544,745</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line="183" w:lineRule="exact"/>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461,538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25,319</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32,205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844,199</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Richard Jones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650,000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185,950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22,058</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Alastair MacKinnon, MBBS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234,162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17,127</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22,588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425,974</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John Richard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June 1, 2016</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249,658</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269,796</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19,734</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23,966</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524,504</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Alexandra (Wills) Hughes-Wilson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30,769</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2,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2, 2028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9,231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2,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2, 2028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Peter Fellner</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1,692,673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Peter Bains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710,583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107,906</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Paul Blackburn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236,974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11, 2016</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22,624</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Anders Ekblom</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216,264</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93,002</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Kunal Kashyap</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216,264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1,497,735</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2018 to the current non-employee directors, all of which was in the form of annual fees: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189"/>
        </w:trPr>
        <w:tc>
          <w:tcPr>
            <w:tcW w:w="2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Annual Fees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Peter Bains</w:t>
            </w:r>
          </w:p>
        </w:tc>
        <w:tc>
          <w:tcPr>
            <w:tcW w:w="3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Paul Blackburn</w:t>
            </w:r>
          </w:p>
        </w:tc>
        <w:tc>
          <w:tcPr>
            <w:tcW w:w="54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48,000</w:t>
            </w: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Anders Ekblom</w:t>
            </w:r>
          </w:p>
        </w:tc>
        <w:tc>
          <w:tcPr>
            <w:tcW w:w="54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48,000</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Peter Fellner</w:t>
            </w:r>
          </w:p>
        </w:tc>
        <w:tc>
          <w:tcPr>
            <w:tcW w:w="54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Kunal Kashyap</w:t>
            </w:r>
          </w:p>
        </w:tc>
        <w:tc>
          <w:tcPr>
            <w:tcW w:w="54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w:t>
            </w:r>
          </w:p>
        </w:tc>
      </w:tr>
      <w:tr>
        <w:trPr>
          <w:trHeight w:val="365"/>
        </w:trPr>
        <w:tc>
          <w:tcPr>
            <w:tcW w:w="2500" w:type="dxa"/>
            <w:vAlign w:val="bottom"/>
          </w:tcPr>
          <w:p>
            <w:pPr>
              <w:spacing w:after="0"/>
              <w:rPr>
                <w:sz w:val="24"/>
                <w:szCs w:val="24"/>
                <w:color w:val="auto"/>
              </w:rPr>
            </w:pPr>
          </w:p>
        </w:tc>
        <w:tc>
          <w:tcPr>
            <w:tcW w:w="3600" w:type="dxa"/>
            <w:vAlign w:val="bottom"/>
          </w:tcPr>
          <w:p>
            <w:pPr>
              <w:jc w:val="right"/>
              <w:ind w:right="1910"/>
              <w:spacing w:after="0"/>
              <w:rPr>
                <w:sz w:val="20"/>
                <w:szCs w:val="20"/>
                <w:color w:val="auto"/>
              </w:rPr>
            </w:pPr>
            <w:r>
              <w:rPr>
                <w:rFonts w:ascii="Arial" w:cs="Arial" w:eastAsia="Arial" w:hAnsi="Arial"/>
                <w:sz w:val="18"/>
                <w:szCs w:val="18"/>
                <w:color w:val="auto"/>
              </w:rPr>
              <w:t>251</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99" w:lineRule="exact"/>
        <w:rPr>
          <w:sz w:val="20"/>
          <w:szCs w:val="20"/>
          <w:color w:val="auto"/>
        </w:rPr>
      </w:pPr>
    </w:p>
    <w:p>
      <w:pPr>
        <w:jc w:val="both"/>
        <w:ind w:left="200" w:right="4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2018 was £145,724, which represents contributions made by Mereo in 2018 in respect of a defined contribution scheme.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As of December 31, 2018, 2017 and 2016, Mereo had 37, 31 and 24 employees, respectively. All of Mereo’s employees were based in the United Kingdom. All of Mereo’s employees were engaged in either general and administrative or research and development functions. None of Mereo’s employees is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To the extent permitted by the U.K. Companies Act 2006, Mereo is empowered to indemnify its directors against any liability they incur by reason of their directorship. Mereo maintains directors’ and officers’ insurance to ensure such persons against certain liabilities. Mereo has entered into a deed of indemnity with each of its directors and expects to enter into a deed of indemnity with each of Michael Wyzga and Deepika Pakianathan in connection with the Merger.</w:t>
      </w:r>
    </w:p>
    <w:p>
      <w:pPr>
        <w:spacing w:after="0" w:line="202"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20"/>
          </w:cols>
          <w:pgMar w:left="24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BENEFICIAL OWNERSHIP OF CERTAIN SHAREHOLDERS OF MEREO AND THE MEREO BOARD</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information relating to the beneficial ownership of Mereo Shares as of March 15, 2019 by:</w:t>
      </w:r>
    </w:p>
    <w:p>
      <w:pPr>
        <w:spacing w:after="0" w:line="239" w:lineRule="exact"/>
        <w:rPr>
          <w:sz w:val="20"/>
          <w:szCs w:val="20"/>
          <w:color w:val="auto"/>
        </w:rPr>
      </w:pPr>
    </w:p>
    <w:p>
      <w:pPr>
        <w:ind w:left="960" w:right="260" w:hanging="432"/>
        <w:spacing w:after="0" w:line="218" w:lineRule="auto"/>
        <w:tabs>
          <w:tab w:leader="none" w:pos="960" w:val="left"/>
        </w:tabs>
        <w:numPr>
          <w:ilvl w:val="0"/>
          <w:numId w:val="1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Mereo to own beneficially 3% or more of the outstanding Mereo Shares;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the Mereo Board and each of Mereo’s other executive officers.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number of Mereo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15, 2019 through the exercise of any option, warrant or other right. Except as otherwise indicated, and subject to applicable community property laws, the persons named in the table have sole voting and investment power with respect to all Mereo Shares held by that person.</w:t>
      </w:r>
    </w:p>
    <w:p>
      <w:pPr>
        <w:spacing w:after="0" w:line="205"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The percentage of Mereo Shares beneficially owned before the Merger is computed on the basis of 71,240,272 Mereo Shares outstanding as of March 15, 2019. As of the date of this proxy statement/prospectus, Mereo’s share capital (fully subscribed and paid up) is 71,240,272 Mereo Shares. Mereo Shares that a person has the right to acquire within 60 days of March 15, 2019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jc w:val="center"/>
              <w:ind w:right="441"/>
              <w:spacing w:after="0"/>
              <w:rPr>
                <w:sz w:val="20"/>
                <w:szCs w:val="20"/>
                <w:color w:val="auto"/>
              </w:rPr>
            </w:pPr>
            <w:r>
              <w:rPr>
                <w:rFonts w:ascii="Arial" w:cs="Arial" w:eastAsia="Arial" w:hAnsi="Arial"/>
                <w:sz w:val="14"/>
                <w:szCs w:val="14"/>
                <w:b w:val="1"/>
                <w:bCs w:val="1"/>
                <w:color w:val="auto"/>
              </w:rPr>
              <w:t>Number of</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60" w:type="dxa"/>
            <w:vAlign w:val="bottom"/>
          </w:tcPr>
          <w:p>
            <w:pPr>
              <w:spacing w:after="0"/>
              <w:rPr>
                <w:sz w:val="14"/>
                <w:szCs w:val="14"/>
                <w:color w:val="auto"/>
              </w:rPr>
            </w:pPr>
          </w:p>
        </w:tc>
        <w:tc>
          <w:tcPr>
            <w:tcW w:w="1840" w:type="dxa"/>
            <w:vAlign w:val="bottom"/>
          </w:tcPr>
          <w:p>
            <w:pPr>
              <w:jc w:val="center"/>
              <w:ind w:right="441"/>
              <w:spacing w:after="0"/>
              <w:rPr>
                <w:sz w:val="20"/>
                <w:szCs w:val="20"/>
                <w:color w:val="auto"/>
              </w:rPr>
            </w:pPr>
            <w:r>
              <w:rPr>
                <w:rFonts w:ascii="Arial" w:cs="Arial" w:eastAsia="Arial" w:hAnsi="Arial"/>
                <w:sz w:val="14"/>
                <w:szCs w:val="14"/>
                <w:b w:val="1"/>
                <w:bCs w:val="1"/>
                <w:color w:val="auto"/>
              </w:rPr>
              <w:t>Ordinary Shares</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270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rPr>
              <w:t>Beneficially Owned</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56"/>
        </w:trPr>
        <w:tc>
          <w:tcPr>
            <w:tcW w:w="422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tcBorders>
              <w:top w:val="single" w:sz="8" w:color="auto"/>
            </w:tcBorders>
            <w:gridSpan w:val="2"/>
          </w:tcPr>
          <w:p>
            <w:pPr>
              <w:jc w:val="right"/>
              <w:ind w:right="1033"/>
              <w:spacing w:after="0" w:line="155" w:lineRule="exact"/>
              <w:rPr>
                <w:sz w:val="20"/>
                <w:szCs w:val="20"/>
                <w:color w:val="auto"/>
              </w:rPr>
            </w:pPr>
            <w:r>
              <w:rPr>
                <w:rFonts w:ascii="Arial" w:cs="Arial" w:eastAsia="Arial" w:hAnsi="Arial"/>
                <w:sz w:val="14"/>
                <w:szCs w:val="14"/>
                <w:b w:val="1"/>
                <w:bCs w:val="1"/>
                <w:color w:val="auto"/>
              </w:rPr>
              <w:t>as of March 15, 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3% or Greater Shareholders:</w:t>
            </w:r>
          </w:p>
        </w:tc>
        <w:tc>
          <w:tcPr>
            <w:tcW w:w="8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Woodford Investment Management(1)</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29,843,946</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Invesco Asset Management(2)</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19,149,176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Novartis Pharma AG(3)</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13,891,853</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Canaccord Genuity Wealth Management(4)</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2,870,000</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Denise Scots-Knight, Ph.D.(5)</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2,234,296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Richard Jones</w:t>
            </w:r>
          </w:p>
        </w:tc>
        <w:tc>
          <w:tcPr>
            <w:tcW w:w="860" w:type="dxa"/>
            <w:vAlign w:val="bottom"/>
          </w:tcPr>
          <w:p>
            <w:pPr>
              <w:spacing w:after="0"/>
              <w:rPr>
                <w:sz w:val="17"/>
                <w:szCs w:val="17"/>
                <w:color w:val="auto"/>
              </w:rPr>
            </w:pPr>
          </w:p>
        </w:tc>
        <w:tc>
          <w:tcPr>
            <w:tcW w:w="1840" w:type="dxa"/>
            <w:vAlign w:val="bottom"/>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MBBS(6)</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1,117,899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John Richard(7)</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975,965</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Sermon(8)</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1,216,429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Peter Fellner, Ph.D.(9)</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1,702,673</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Bains(11)</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818,489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Paul Blackburn(12)</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180,608</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Anders Ekblom, M.D., Ph.D.(13)</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309,266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Kunal Kashyap(14)</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1,713,999</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Alexandra (Wills) Hughes-Wilson</w:t>
            </w:r>
          </w:p>
        </w:tc>
        <w:tc>
          <w:tcPr>
            <w:tcW w:w="8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220" w:type="dxa"/>
            <w:vAlign w:val="bottom"/>
          </w:tcPr>
          <w:p>
            <w:pPr>
              <w:spacing w:after="0"/>
              <w:rPr>
                <w:sz w:val="24"/>
                <w:szCs w:val="24"/>
                <w:color w:val="auto"/>
              </w:rPr>
            </w:pPr>
          </w:p>
        </w:tc>
        <w:tc>
          <w:tcPr>
            <w:tcW w:w="860" w:type="dxa"/>
            <w:vAlign w:val="bottom"/>
          </w:tcPr>
          <w:p>
            <w:pPr>
              <w:jc w:val="right"/>
              <w:ind w:right="451"/>
              <w:spacing w:after="0"/>
              <w:rPr>
                <w:sz w:val="20"/>
                <w:szCs w:val="20"/>
                <w:color w:val="auto"/>
              </w:rPr>
            </w:pPr>
            <w:r>
              <w:rPr>
                <w:rFonts w:ascii="Arial" w:cs="Arial" w:eastAsia="Arial" w:hAnsi="Arial"/>
                <w:sz w:val="18"/>
                <w:szCs w:val="18"/>
                <w:color w:val="auto"/>
                <w:w w:val="99"/>
              </w:rPr>
              <w:t>253</w:t>
            </w: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40" w:hanging="536"/>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Mereo Shares.</w:t>
      </w:r>
    </w:p>
    <w:p>
      <w:pPr>
        <w:ind w:left="740" w:right="6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Consists of (i) 16,853,667 Mereo Shares held LF Woodford Equity Income Fund, a sub fund of LF Woodford Investment Fund (“WEIF”), (ii) 2,023,636 Mereo Shares held by Omnis Income &amp; Growth Fund, a sub fund of Omnis Portfolio Investments ICVC (“OIGF”), (iii) 1,070,770 Mereo Shares held by Old Mutual Woodford Equity Income Fund (“OMWEIF”), and (iv) 9,895,873 Mereo Shares held by Woodford Patient Capital Trust, Plc (“WPCT”). Woodford Investment Management Limited acts as agent for and on behalf of WEIF, OIGF, OMWEIF, and WPCT, each as a discretionary managed client. Woodford Investment Management Limited has the power to direct the vote and disposition of the common stock held by WEIF, OIGF, OMWEIF and WPCT. Accordingly, Woodford Investment Management Limited may be deemed to be the beneficial owner of these Mereo Shares. Neil Woodford is Head of Investments for Woodford Investment Management Limited and may be deemed to share beneficial ownership of these Mereo Shares with Woodford Investment Management Limited. Mr. Woodford expressly disclaims beneficial ownership of these Mereo Shares, except to the extent of any pecuniary interest therein. Beneficial ownership information is based on information known to Mereo and a Form TR 1 provided to Mereo on November 6, 2017. The address of Woodford Investment Management Limited is 9400 Garsington Road, Oxford, OX4 2HN, United Kingdom.</w:t>
      </w:r>
    </w:p>
    <w:p>
      <w:pPr>
        <w:spacing w:after="0" w:line="9" w:lineRule="exact"/>
        <w:rPr>
          <w:rFonts w:ascii="Arial" w:cs="Arial" w:eastAsia="Arial" w:hAnsi="Arial"/>
          <w:sz w:val="18"/>
          <w:szCs w:val="18"/>
          <w:color w:val="auto"/>
        </w:rPr>
      </w:pPr>
    </w:p>
    <w:p>
      <w:pPr>
        <w:ind w:left="740" w:right="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share holdings of Invesco Asset Management consist of (i) 13,891,853 Mereo Shares beneficially owned by Invesco Perpetual High Income Fund and (ii) 5,257,323 Mereo Shares beneficially owned by Invesco Perpetual Income Fund. Beneficial ownership information is based on information known to Mereo and a Form TR 1 provided to Mereo on April 28, 2017. The address of Invesco Asset Management Limited is 30 Finsbury Square, London EC2A 1AG, United Kingdom.</w:t>
      </w:r>
    </w:p>
    <w:p>
      <w:pPr>
        <w:spacing w:after="0" w:line="3" w:lineRule="exact"/>
        <w:rPr>
          <w:rFonts w:ascii="Arial" w:cs="Arial" w:eastAsia="Arial" w:hAnsi="Arial"/>
          <w:sz w:val="18"/>
          <w:szCs w:val="18"/>
          <w:color w:val="auto"/>
        </w:rPr>
      </w:pPr>
    </w:p>
    <w:p>
      <w:pPr>
        <w:ind w:left="740" w:right="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Consists of 13,767,841 Mereo Shares held by Novartis Pharma AG (“Novartis”) and 124,012 Mereo Shares that Novartis is able to acquire pursuant to the Novartis Notes within 60 days of March 15, 2019. Under the terms of the Novartis Notes, Novartis may only convert its notes into Mereo Shares if, following such conversion, it owns no more than 19.5% of the aggregate voting power of Mereo. As a result, after giving effect to the Merger, Novartis is able to acquire up to an additional 1,918,418 Mereo Shares pursuant to the Novartis Notes within 60 days of March 15, 2019. Novartis AG is the publicly owned parent company of Novartis and may be deemed to beneficially own the Mereo Shares held by Novartis. Beneficial ownership information is based on information known to Mereo and a Form TR 1 provided to Mereo on April 28, 2017. The address of Novartis AG is Lichtstrasse 35, 4056 Basel, Switzerland.</w:t>
      </w:r>
    </w:p>
    <w:p>
      <w:pPr>
        <w:spacing w:after="0" w:line="6" w:lineRule="exact"/>
        <w:rPr>
          <w:rFonts w:ascii="Arial" w:cs="Arial" w:eastAsia="Arial" w:hAnsi="Arial"/>
          <w:sz w:val="18"/>
          <w:szCs w:val="18"/>
          <w:color w:val="auto"/>
        </w:rPr>
      </w:pPr>
    </w:p>
    <w:p>
      <w:pPr>
        <w:ind w:left="740" w:right="82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Consists of 1,250,000 Mereo Shares held by Marlborough Special Situations Fund and 1,620,000 Mereo Shares held by Marlborough UK Micro Cap Growth Fund, for which Canaccord Genuity Wealth Management acts as manager. Beneficial ownership information is based on information known to us.</w:t>
      </w:r>
    </w:p>
    <w:p>
      <w:pPr>
        <w:spacing w:after="0" w:line="2" w:lineRule="exact"/>
        <w:rPr>
          <w:rFonts w:ascii="Arial" w:cs="Arial" w:eastAsia="Arial" w:hAnsi="Arial"/>
          <w:sz w:val="18"/>
          <w:szCs w:val="18"/>
          <w:color w:val="auto"/>
        </w:rPr>
      </w:pPr>
    </w:p>
    <w:p>
      <w:pPr>
        <w:ind w:left="740" w:right="8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6,300 Mereo Shares held by Dr. Scots-Knight’s husband and options to purchase 1,383,797 Mereo Shares that are or will be immediately exercisable within 60 days of March 15, 2019.</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options to purchase 691,925 Mereo Shares that are or will be immediately exercisable within 60 days of March 15, 2019.</w:t>
      </w:r>
    </w:p>
    <w:p>
      <w:pPr>
        <w:ind w:left="7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options to purchase 726,307 Mereo Shares that are or will be immediately exercisable within 60 days of March 15, 2019.</w:t>
      </w:r>
    </w:p>
    <w:p>
      <w:pPr>
        <w:ind w:left="7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options to purchase 691,925 Mereo Shares that are or will be immediately exercisable within 60 days of March 15, 2019.</w:t>
      </w:r>
    </w:p>
    <w:p>
      <w:pPr>
        <w:ind w:left="740" w:hanging="536"/>
        <w:spacing w:after="0" w:line="234"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options to purchase 1,692,673 Mereo Shares that are or will be immediately exercisable within 60 days of March 15, 2019.</w:t>
      </w:r>
    </w:p>
    <w:p>
      <w:pPr>
        <w:ind w:left="740" w:hanging="536"/>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options to purchase 216,264 Mereo Shares that are or will be immediately exercisable within 60 days of March 15, 2019.</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00"/>
          </w:cols>
          <w:pgMar w:left="240" w:top="460"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hanging="536"/>
        <w:spacing w:after="0"/>
        <w:tabs>
          <w:tab w:leader="none" w:pos="7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Includes options to purchase 710,583 Mereo Shares that are or will be immediately exercisable within 60 days of March 15, 2019.</w:t>
      </w:r>
    </w:p>
    <w:p>
      <w:pPr>
        <w:spacing w:after="0" w:line="7" w:lineRule="exact"/>
        <w:rPr>
          <w:rFonts w:ascii="Arial" w:cs="Arial" w:eastAsia="Arial" w:hAnsi="Arial"/>
          <w:sz w:val="17"/>
          <w:szCs w:val="17"/>
          <w:color w:val="auto"/>
        </w:rPr>
      </w:pPr>
    </w:p>
    <w:p>
      <w:pPr>
        <w:ind w:left="740" w:hanging="536"/>
        <w:spacing w:after="0"/>
        <w:tabs>
          <w:tab w:leader="none" w:pos="7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Includes options to purchase 157,984 Mereo Shares that are or will be immediately exercisable within 60 days of March 15, 2019.</w:t>
      </w:r>
    </w:p>
    <w:p>
      <w:pPr>
        <w:spacing w:after="0" w:line="7" w:lineRule="exact"/>
        <w:rPr>
          <w:rFonts w:ascii="Arial" w:cs="Arial" w:eastAsia="Arial" w:hAnsi="Arial"/>
          <w:sz w:val="17"/>
          <w:szCs w:val="17"/>
          <w:color w:val="auto"/>
        </w:rPr>
      </w:pPr>
    </w:p>
    <w:p>
      <w:pPr>
        <w:ind w:left="740" w:hanging="536"/>
        <w:spacing w:after="0"/>
        <w:tabs>
          <w:tab w:leader="none" w:pos="7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Includes options to purchase 216,264 Mereo Shares that are or will be immediately exercisable within 60 days of March 15, 2019.</w:t>
      </w:r>
    </w:p>
    <w:p>
      <w:pPr>
        <w:spacing w:after="0" w:line="7" w:lineRule="exact"/>
        <w:rPr>
          <w:rFonts w:ascii="Arial" w:cs="Arial" w:eastAsia="Arial" w:hAnsi="Arial"/>
          <w:sz w:val="17"/>
          <w:szCs w:val="17"/>
          <w:color w:val="auto"/>
        </w:rPr>
      </w:pPr>
    </w:p>
    <w:p>
      <w:pPr>
        <w:ind w:left="740" w:hanging="536"/>
        <w:spacing w:after="0"/>
        <w:tabs>
          <w:tab w:leader="none" w:pos="7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Includes options to purchase 216,264 Mereo Shares that are or will be immediately exercisable within 60 days of March 15, 2019.</w:t>
      </w:r>
    </w:p>
    <w:p>
      <w:pPr>
        <w:spacing w:after="0" w:line="2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 Mereo’s knowledge, and other than changes in percentage ownership as a result of the shares issued in connection with Mereo’s initial public offering in the United Kingdom, there has been no significant change in the percentage ownership held by the major shareholders listed above in the last three years, except as discussed under the heading “Related Party Transactions” elsewhere in this proxy statement/prospectus.</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040"/>
          </w:cols>
          <w:pgMar w:left="240" w:top="459" w:right="6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The following is a description of related party transactions Mereo has entered into with the beneficial owners of 3% or more of the Mereo Shares, which are Mereo’s only voting securities, and senior management and members of the Mereo Board, since Mereo’s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On July 28, 2015, Mereo entered into a subscription agreement for Mereo Shares (the “Subscription Agreement”) with Invesco Perpetual High Income Fund, Woodford Patient Capital Trust plc and LF Woodford Equity Income Fund (collectively, the “Existing Investors”) and Novartis. Under the Subscription Agreement, Mereo initially issued 10,869,566 Mereo Shares to the Existing Investors at a price per Mereo Share of £1.84 for total aggregate cash proceeds of £20.0 million, and 3,849,000 Mereo Shares to Novartis in connection with the asset purchase agreements described under “—Other Transactions with Novartis.”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Subscription Agreement provided for Mereo to draw down additional investments from the Existing Investors. The Subscription</w:t>
      </w:r>
    </w:p>
    <w:p>
      <w:pPr>
        <w:ind w:left="200"/>
        <w:spacing w:after="0" w:line="234" w:lineRule="auto"/>
        <w:rPr>
          <w:sz w:val="20"/>
          <w:szCs w:val="20"/>
          <w:color w:val="auto"/>
        </w:rPr>
      </w:pPr>
      <w:r>
        <w:rPr>
          <w:rFonts w:ascii="Arial" w:cs="Arial" w:eastAsia="Arial" w:hAnsi="Arial"/>
          <w:sz w:val="18"/>
          <w:szCs w:val="18"/>
          <w:color w:val="auto"/>
        </w:rPr>
        <w:t>Agreement also obligated Mereo, upon the issuance of additional Mereo Shares, to issue to Novartis the number of Mereo Shares</w:t>
      </w:r>
    </w:p>
    <w:p>
      <w:pPr>
        <w:ind w:left="200"/>
        <w:spacing w:after="0" w:line="235" w:lineRule="auto"/>
        <w:rPr>
          <w:sz w:val="20"/>
          <w:szCs w:val="20"/>
          <w:color w:val="auto"/>
        </w:rPr>
      </w:pPr>
      <w:r>
        <w:rPr>
          <w:rFonts w:ascii="Arial" w:cs="Arial" w:eastAsia="Arial" w:hAnsi="Arial"/>
          <w:sz w:val="18"/>
          <w:szCs w:val="18"/>
          <w:color w:val="auto"/>
        </w:rPr>
        <w:t>required to maintain Novartis’ percentage ownership of Mereo at 19.5%, with the maximum aggregate number of Mereo Shares that may</w:t>
      </w:r>
    </w:p>
    <w:p>
      <w:pPr>
        <w:ind w:left="200"/>
        <w:spacing w:after="0" w:line="235" w:lineRule="auto"/>
        <w:rPr>
          <w:sz w:val="20"/>
          <w:szCs w:val="20"/>
          <w:color w:val="auto"/>
        </w:rPr>
      </w:pPr>
      <w:r>
        <w:rPr>
          <w:rFonts w:ascii="Arial" w:cs="Arial" w:eastAsia="Arial" w:hAnsi="Arial"/>
          <w:sz w:val="18"/>
          <w:szCs w:val="18"/>
          <w:color w:val="auto"/>
        </w:rPr>
        <w:t>be issued to Novartis under the Subscription Agreement set at 14,000,000. On June 9, 2016, Mereo issued an additional 30,727,361</w:t>
      </w:r>
    </w:p>
    <w:p>
      <w:pPr>
        <w:ind w:left="200"/>
        <w:spacing w:after="0" w:line="235" w:lineRule="auto"/>
        <w:rPr>
          <w:sz w:val="20"/>
          <w:szCs w:val="20"/>
          <w:color w:val="auto"/>
        </w:rPr>
      </w:pPr>
      <w:r>
        <w:rPr>
          <w:rFonts w:ascii="Arial" w:cs="Arial" w:eastAsia="Arial" w:hAnsi="Arial"/>
          <w:sz w:val="18"/>
          <w:szCs w:val="18"/>
          <w:color w:val="auto"/>
        </w:rPr>
        <w:t>Mereo Shares to the Existing Investors pursuant to the drawdown and 8,697,480 Mereo Shares to Novartis to maintain its percentage</w:t>
      </w:r>
    </w:p>
    <w:p>
      <w:pPr>
        <w:ind w:left="200"/>
        <w:spacing w:after="0" w:line="235" w:lineRule="auto"/>
        <w:rPr>
          <w:sz w:val="20"/>
          <w:szCs w:val="20"/>
          <w:color w:val="auto"/>
        </w:rPr>
      </w:pPr>
      <w:r>
        <w:rPr>
          <w:rFonts w:ascii="Arial" w:cs="Arial" w:eastAsia="Arial" w:hAnsi="Arial"/>
          <w:sz w:val="18"/>
          <w:szCs w:val="18"/>
          <w:color w:val="auto"/>
        </w:rPr>
        <w:t>ownership following the drawdown and an additional private placement of Mereo Shares, for aggregate cash proceeds to Mereo of</w:t>
      </w:r>
    </w:p>
    <w:p>
      <w:pPr>
        <w:ind w:left="200"/>
        <w:spacing w:after="0" w:line="235" w:lineRule="auto"/>
        <w:rPr>
          <w:sz w:val="20"/>
          <w:szCs w:val="20"/>
          <w:color w:val="auto"/>
        </w:rPr>
      </w:pPr>
      <w:r>
        <w:rPr>
          <w:rFonts w:ascii="Arial" w:cs="Arial" w:eastAsia="Arial" w:hAnsi="Arial"/>
          <w:sz w:val="18"/>
          <w:szCs w:val="18"/>
          <w:color w:val="auto"/>
        </w:rPr>
        <w:t>£72.6 million. In accordance with its terms, the Subscription Agreement was terminated upon the admission of Mereo Shares to trading on</w:t>
      </w:r>
    </w:p>
    <w:p>
      <w:pPr>
        <w:ind w:left="200"/>
        <w:spacing w:after="0" w:line="235" w:lineRule="auto"/>
        <w:rPr>
          <w:sz w:val="20"/>
          <w:szCs w:val="20"/>
          <w:color w:val="auto"/>
        </w:rPr>
      </w:pPr>
      <w:r>
        <w:rPr>
          <w:rFonts w:ascii="Arial" w:cs="Arial" w:eastAsia="Arial" w:hAnsi="Arial"/>
          <w:sz w:val="18"/>
          <w:szCs w:val="18"/>
          <w:color w:val="auto"/>
        </w:rPr>
        <w:t>AIM on June 9, 2016. In lieu of the remaining Mereo Shares that Mereo was obligated to issue to Novartis under the Subscription</w:t>
      </w:r>
    </w:p>
    <w:p>
      <w:pPr>
        <w:ind w:left="200"/>
        <w:spacing w:after="0" w:line="235" w:lineRule="auto"/>
        <w:rPr>
          <w:sz w:val="20"/>
          <w:szCs w:val="20"/>
          <w:color w:val="auto"/>
        </w:rPr>
      </w:pPr>
      <w:r>
        <w:rPr>
          <w:rFonts w:ascii="Arial" w:cs="Arial" w:eastAsia="Arial" w:hAnsi="Arial"/>
          <w:sz w:val="18"/>
          <w:szCs w:val="18"/>
          <w:color w:val="auto"/>
        </w:rPr>
        <w:t>Agreement, Novartis is entitled to receive additional shares upon conversion of the convertible notes issued to Novartis on June 3, 2016.</w:t>
      </w:r>
    </w:p>
    <w:p>
      <w:pPr>
        <w:ind w:left="200"/>
        <w:spacing w:after="0"/>
        <w:rPr>
          <w:sz w:val="20"/>
          <w:szCs w:val="20"/>
          <w:color w:val="auto"/>
        </w:rPr>
      </w:pPr>
      <w:r>
        <w:rPr>
          <w:rFonts w:ascii="Arial" w:cs="Arial" w:eastAsia="Arial" w:hAnsi="Arial"/>
          <w:sz w:val="18"/>
          <w:szCs w:val="18"/>
          <w:color w:val="auto"/>
        </w:rPr>
        <w:t>See “—Other Transactions with Novartis—Novartis Notes.”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5"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On July 28, 2015, Mereo entered into asset purchase agreements with Novartis to purchase each of BPS-804, BCT-197, and BGS-649. See “Business—Material Agreements—Novartis Agreements.” As consideration, Mereo issued 3,849,000 Mereo Shares to Novartis.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June 3, 2016, Mereo issued 3,463,563 Novartis Notes to Novartis, for aggregate proceeds to Mereo of £3.5 million. The Novartis Notes bear interest at 4% per annum and accruing daily. Novartis may at any time convert all or some of the Novartis Notes into Mereo Shares at a conversion price of £2.21 per Mereo Share as long as, following such conversion, Novartis holds no more than 19.5% of the aggregate voting rights of Mereo.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Mereo is obligated to pay Novartis the principal amount of such outstanding Novartis Notes together with any accrued interest.</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Shares. Additionally, in connection with such conversion, Mereo issued 588,532 Bonus Shares to Novartis.</w:t>
      </w:r>
    </w:p>
    <w:p>
      <w:pPr>
        <w:spacing w:after="0" w:line="203" w:lineRule="exact"/>
        <w:rPr>
          <w:sz w:val="20"/>
          <w:szCs w:val="20"/>
          <w:color w:val="auto"/>
        </w:rPr>
      </w:pPr>
    </w:p>
    <w:p>
      <w:pPr>
        <w:jc w:val="center"/>
        <w:ind w:left="680" w:right="100"/>
        <w:spacing w:after="0" w:line="418" w:lineRule="auto"/>
        <w:rPr>
          <w:sz w:val="20"/>
          <w:szCs w:val="20"/>
          <w:color w:val="auto"/>
        </w:rPr>
      </w:pPr>
      <w:r>
        <w:rPr>
          <w:rFonts w:ascii="Arial" w:cs="Arial" w:eastAsia="Arial" w:hAnsi="Arial"/>
          <w:sz w:val="18"/>
          <w:szCs w:val="18"/>
          <w:color w:val="auto"/>
        </w:rPr>
        <w:t>As of the date of this proxy statement/prospectus, the outstanding principal and accrued interest of the Novartis Notes is £2.3 million. 256</w:t>
      </w:r>
    </w:p>
    <w:p>
      <w:pPr>
        <w:sectPr>
          <w:pgSz w:w="11900" w:h="16838" w:orient="portrait"/>
          <w:cols w:equalWidth="0" w:num="1">
            <w:col w:w="11200"/>
          </w:cols>
          <w:pgMar w:left="240" w:top="460"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2016, Mereo paid Novartis a total of £968,219. In 2017, Mereo paid Novartis a total of £4,610,106 for the manufacture and supply of clinical trial material. No payments were made from Mereo to Novartis in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Pursuant to Mereo’s articles of association, for as long as Novartis holds not less than one percent of Mereo’s issued share capital, Novartis may appoint one observer who may attend, but not participate or vote in, any meeting of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Mereo’s Executive Officers and Directors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Mereo paid Phase4 a total of £458,359 for reimbursement of pre-establishment third-party consultancy services and for office and travel costs.</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has entered into employment agreements or consultancy agreements with certain of its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Mereo has entered into deeds of indemnity with each of its directors and expects to enter into a deed of indemnity with each of Michael Wyzga and Deepika Pakianathan in connection with the Merger.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Mereo Board expects to adopt a written related person transaction policy, to be effective upon the closing of the Merger, setting forth the policies and procedures for the review and approval or ratification of related person transactions. This policy will cover any transaction or proposed transaction between Mereo and a related person that is material to Mereo or the related person, including without limitation, purchases of goods or services by or from the related person or entities in which the related person has a material interest, indebtedness, guarantees of indebtedness and employment by Mereo of a related person. In reviewing and approving any such transactions, Mereo’s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20"/>
          </w:cols>
          <w:pgMar w:left="24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80" w:right="260"/>
        <w:spacing w:after="0" w:line="271" w:lineRule="auto"/>
        <w:rPr>
          <w:sz w:val="20"/>
          <w:szCs w:val="20"/>
          <w:color w:val="auto"/>
        </w:rPr>
      </w:pPr>
      <w:r>
        <w:rPr>
          <w:rFonts w:ascii="Arial" w:cs="Arial" w:eastAsia="Arial" w:hAnsi="Arial"/>
          <w:sz w:val="18"/>
          <w:szCs w:val="18"/>
          <w:b w:val="1"/>
          <w:bCs w:val="1"/>
          <w:color w:val="auto"/>
        </w:rPr>
        <w:t>MEREO’S MANAGEMENT’S DISCUSSION AND ANALYSIS OF FINANCIAL CONDITION AND RESULTS OF OPERATIONS OF MEREO</w:t>
      </w:r>
    </w:p>
    <w:p>
      <w:pPr>
        <w:spacing w:after="0" w:line="266" w:lineRule="exact"/>
        <w:rPr>
          <w:sz w:val="20"/>
          <w:szCs w:val="20"/>
          <w:color w:val="auto"/>
        </w:rPr>
      </w:pPr>
    </w:p>
    <w:p>
      <w:pPr>
        <w:ind w:left="200" w:firstLine="331"/>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Mereo’s financial condition and results of operations together with the information in “Selected Consolidated Financial Information of Mereo” and Mereo’s Consolidated Financial Statements, including the notes thereto.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“Risk Factors” and elsewhere in this proxy statement/prospectus.</w:t>
      </w:r>
    </w:p>
    <w:p>
      <w:pPr>
        <w:spacing w:after="0" w:line="175" w:lineRule="exact"/>
        <w:rPr>
          <w:sz w:val="20"/>
          <w:szCs w:val="20"/>
          <w:color w:val="auto"/>
        </w:rPr>
      </w:pPr>
    </w:p>
    <w:p>
      <w:pPr>
        <w:ind w:left="200" w:right="160" w:firstLine="331"/>
        <w:spacing w:after="0" w:line="241" w:lineRule="auto"/>
        <w:rPr>
          <w:sz w:val="20"/>
          <w:szCs w:val="20"/>
          <w:color w:val="auto"/>
        </w:rPr>
      </w:pPr>
      <w:r>
        <w:rPr>
          <w:rFonts w:ascii="Arial" w:cs="Arial" w:eastAsia="Arial" w:hAnsi="Arial"/>
          <w:sz w:val="18"/>
          <w:szCs w:val="18"/>
          <w:i w:val="1"/>
          <w:iCs w:val="1"/>
          <w:color w:val="auto"/>
        </w:rPr>
        <w:t>Mereo’s financial statements are presented in pound sterling. For the convenience of the reader, the information in the tables below has been translated from pound sterling into U.S. dollars at the noon buying rate of the Federal Reserve Bank of New York on June 29, 2018, which was £1.00 to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they acquired from large pharmaceutical companies. Mereo is developing BPS-804 for the treatment of OI, MPH-966 for the treatment of severe AATD, BCT-197 for the treatment of AECOPD and BGS-649 for the treatment of HH in obese men. Each of Mereo’s product candidates has generated positive clinical data for Mereo’s target indication or for a related indication. Mereo believes its portfolio is well diversified because each of its product candidates employs a different mechanism of action and targets a separate indication. Mereo intends to develop and directly commercialize Mereo’s rare disease product candidates. For its specialty disease product candidates, Mereo intends to seek strategic relationships for further clinical development and commercialization.</w:t>
      </w:r>
    </w:p>
    <w:p>
      <w:pPr>
        <w:spacing w:after="0" w:line="208" w:lineRule="exact"/>
        <w:rPr>
          <w:sz w:val="20"/>
          <w:szCs w:val="20"/>
          <w:color w:val="auto"/>
        </w:rPr>
      </w:pPr>
    </w:p>
    <w:p>
      <w:pPr>
        <w:ind w:left="200" w:right="260" w:firstLine="331"/>
        <w:spacing w:after="0" w:line="257" w:lineRule="auto"/>
        <w:rPr>
          <w:sz w:val="20"/>
          <w:szCs w:val="20"/>
          <w:color w:val="auto"/>
        </w:rPr>
      </w:pPr>
      <w:r>
        <w:rPr>
          <w:rFonts w:ascii="Arial" w:cs="Arial" w:eastAsia="Arial" w:hAnsi="Arial"/>
          <w:sz w:val="17"/>
          <w:szCs w:val="17"/>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its current product candidates from Novartis and AstraZeneca. Mereo has commenced or completed large, randomized, placebo-controlled Phase 2 clinical trials for all of its product candidates.</w:t>
      </w:r>
    </w:p>
    <w:p>
      <w:pPr>
        <w:spacing w:after="0" w:line="18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does not have any approved products and, as a result, has not generated any revenue from product sales. Mereo’s ability to generate revenue sufficient to achieve profitability will depend on its successful development and eventual commercialization of its product candidates, if approved. Since Mereo’s formation, it has incurred significant operating losses. For the years ended December 31, 2016 and 2017, Mereo incurred net losses of £28.4 million and £38.8 million, respectively. For the six months ended June 30, 2017 and 2018, Mereo incurred net losses of £22.7 million and £17.0 million, respectively. As of June 30, 2018, Mereo had an accumulated loss of £96.2 million.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00"/>
          </w:cols>
          <w:pgMar w:left="240" w:top="460"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Mereo expects to continue to incur significant expenses and operating losses for the foreseeable future as it advances the clinical development of its product candidates and seeks regulatory approval. In addition, if Mereo obtains regulatory approval for any of its product candidates and does not enter into a third-party commercialization relationship, Mereo expects to incur significant commercialization expenses related to product manufacturing, marketing, sales, and distribution. Mereo also expects to incur expenses in connection with the in-license or acquisition of additional product candidates and the potential clinical development of any such product candidates. Furthermore, upon the closing of the Merger, Mereo expects to incur additional costs associated with operating as a U.S. public company listed on Nasdaq in addition to operating as a U.K. public company admitted for trading on AIM, including significant legal, accounting, investor relations, and other expenses that it did not previously incur.</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As a result of these anticipated expenditures, Mereo will need additional financing to support its continuing operations. Until such time as Mereo can generate significant revenue from product sales, if ever, Mereo expects to finance its operations through a combination of public or private equity or debt financings or other sources, which may include collaborations with third parties. Adequate additional financing may not be available to Mereo on acceptable terms, or at all. Mereo’s inability to raise capital as and when needed would have a negative impact on its financial condition and its ability to pursue its business strategy. Mereo will need to generate significant revenue to achieve profitability, and it may never do so.</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was incorporated in March 2015 and is headquartered in London, United Kingdom. Since June 9, 2016, Mereo Shares have traded on AIM under the symbol “MPH.” Since its formation, Mereo has raised a total of £102.9 million in gross proceeds from private and public placements of its ordinary shares to institutional investors and £3.5 million from the issuance of the Novartis Notes. In August 2017, Mereo also entered into a credit facility in the amount of £20.0 million which was fully drawn by December 31, 2017. As of June 30, 2018, Mereo had cash and short-term deposits and short-term investments of £36.9 million.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Mereo is organized into a single segment following management’s view of the business as a single portfolio of product candidates. Research and development expenses are monitored at a product candidate level; however, decisions over resource allocation are made at an overall portfolio level. Mereo’s financing is managed and monitored on a consolidated basis.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In July 2015, three of Mereo’s wholly-owned subsidiaries, Mereo BioPharma 3 Limited, Mereo BioPharma 2 Limited, and Mereo BioPharma 1 Limited entered into the Purchase Agreements to acquire from Novartis rights to the Novartis Assets.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connection with the acquisition of the Novartis Assets, Mereo issued 3,849,000 Mereo Shares to Novartis pursuant to a subscription agreement. See “Related Party Transactions—Subscription Agreement.” In addition, Mereo paid Novartis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20"/>
          </w:cols>
          <w:pgMar w:left="240" w:top="460"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Mereo further agreed that in the event of a change in control that involves the transfer, license, assignment, or lease of all or substantially all of a subsidiary’s assets, including a 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202" w:lineRule="exact"/>
        <w:rPr>
          <w:sz w:val="20"/>
          <w:szCs w:val="20"/>
          <w:color w:val="auto"/>
        </w:rPr>
      </w:pPr>
    </w:p>
    <w:p>
      <w:pPr>
        <w:ind w:left="200" w:right="60" w:firstLine="331"/>
        <w:spacing w:after="0" w:line="257" w:lineRule="auto"/>
        <w:rPr>
          <w:sz w:val="20"/>
          <w:szCs w:val="20"/>
          <w:color w:val="auto"/>
        </w:rPr>
      </w:pPr>
      <w:r>
        <w:rPr>
          <w:rFonts w:ascii="Arial" w:cs="Arial" w:eastAsia="Arial" w:hAnsi="Arial"/>
          <w:sz w:val="17"/>
          <w:szCs w:val="17"/>
          <w:color w:val="auto"/>
        </w:rPr>
        <w:t>Mereo also entered into the Sublicense Agreement, pursuant to which Novartis granted Mereo an exclusive, worldwide, royalty-bearing sublicense for the Antibody Products, including BPS-804. Under the Sublicense Agreement, Mereo has agreed to pay Novartis royalties in the low single digits on worldwide net sales of Antibody Products. Mereo has also agreed to pay Novartis up to $3.25 million in development and regulatory milestones, and to use commercially reasonable efforts to develop and commercialize an Antibody Product.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jc w:val="both"/>
        <w:ind w:left="200" w:right="240" w:firstLine="331"/>
        <w:spacing w:after="0" w:line="239" w:lineRule="auto"/>
        <w:rPr>
          <w:sz w:val="20"/>
          <w:szCs w:val="20"/>
          <w:color w:val="auto"/>
        </w:rPr>
      </w:pPr>
      <w:r>
        <w:rPr>
          <w:rFonts w:ascii="Arial" w:cs="Arial" w:eastAsia="Arial" w:hAnsi="Arial"/>
          <w:sz w:val="18"/>
          <w:szCs w:val="18"/>
          <w:color w:val="auto"/>
        </w:rPr>
        <w:t>In October 2017, Mereo’s wholly-owned subsidiary Mereo BioPharma 4 Limited entered into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together with the acquisition of certain related assets.</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entering into the License Agreement, Mereo made an upfront payment of $3.0 million to AstraZeneca in cash and issued 490,798 new Mereo Shares for an aggregate upfront payment equal to $ 5.0 million. In connection with certain development and regulatory milestones, Mereo has agreed to make payments of up to $115.5 million in the aggregate and issue additional Mereo Shares to AstraZeneca for licensed products containing MPH-966. In addition, Mereo has agreed to make payments to AstraZeneca based on specified commercial milestones of the product. In the event that Mereo sub-license MPH-966, it has also agreed to pay a specified percentage of 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Mereo does not currently have any approved products. Accordingly, Mereo has not generated any revenue and does not expect to do so unless it obtains regulatory approval and commercializes any of its product candidates or until it receives revenues from collaborations with third parties, neither of which may occur.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right="72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Mereo’s manufacturing processes by CMOs;</w:t>
      </w:r>
    </w:p>
    <w:p>
      <w:pPr>
        <w:spacing w:after="0" w:line="26"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00"/>
          </w:cols>
          <w:pgMar w:left="240" w:top="460"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0" w:hanging="432"/>
        <w:spacing w:after="0" w:line="218" w:lineRule="auto"/>
        <w:tabs>
          <w:tab w:leader="none" w:pos="960" w:val="left"/>
        </w:tabs>
        <w:numPr>
          <w:ilvl w:val="0"/>
          <w:numId w:val="16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Mereo’s clinical trials and pre-clinical and non-clinical studies.</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Mereo’s direct research and development expenses are allocated on a product-by-product basis. Mereo allocates employee-related expenses for Mereo’s research and development personnel and other related expenses to specific product candidate development programs.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Mereo expects that its research and development expense will increase substantially as it continues to advance the clinical development of its product candidates, including through its ongoing Phase 2b clinical trial of BPS-804 in adults and its planned Phase 3 clinical trial of BPS-804 in children, its ongoing Phase 2 proof-of-concept trial for MPH-966; hire additional clinical, scientific, and commercial personnel; and acquire or in-license future product candidates and technologies. As a result, Mereo expects its research and development expenses will increase for the foreseeable future.</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successful development, approval, and commercialization of Mereo’s product candidates is highly uncertain. At this time, Mereo cannot reasonably estimate the nature, timing, and estimated costs of the efforts that will be necessary to complete the development of, or the period, if any, in which material net cash inflows may commence from any of Mereo’s product candidates.</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Mereo’s future expenditure on developing its product candidates is therefore highly uncertain. This is due to numerous risks and uncertainties associated with developing Mereo’s drugs, including the uncertainty of:</w:t>
      </w:r>
    </w:p>
    <w:p>
      <w:pPr>
        <w:spacing w:after="0" w:line="188" w:lineRule="exact"/>
        <w:rPr>
          <w:sz w:val="20"/>
          <w:szCs w:val="20"/>
          <w:color w:val="auto"/>
        </w:rPr>
      </w:pPr>
    </w:p>
    <w:p>
      <w:pPr>
        <w:ind w:left="960" w:hanging="432"/>
        <w:spacing w:after="0"/>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Mereo’s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Mereo’s clinical trials and Mereo’s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Mereo’s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Mereo’s rights in its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Mereo’s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18"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strategic relationships for late-stage clinical development and/or commercialization of Mereo’s specialty product candidates and performance of Mereo’s strategic partners under these arrangements;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Mereo’s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Mereo’s product candidates following approval.</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Any of these variables with respect to the development of Mereo’s product candidates or any other future candidate that Mereo may develop could result in a significant change in the costs and timing associated with their development. For example, if the FDA, the EMA, or another regulatory authority were to require Mereo to conduct pre-clinical studies and clinical trials beyond those Mereo currently anticipates will be required for the completion of clinical development or if Mereo experiences significant delays in enrollment in any clinical trials, Mereo could be required to expend significant additional financial resources and time on the completion of Mereo’s clinical development programs. Mereo may never succeed in obtaining regulatory approval for any of its product candidates.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80"/>
          </w:cols>
          <w:pgMar w:left="240" w:top="460" w:right="4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Mereo’s general and administrative expenses principally consist of salaries and related benefits, including share-based compensation, for personnel in Mereo’s executive, finance and other administrative functions. Other general and administrative costs include facility-related costs and professional services fees for auditing, tax and general legal services, as well as expenses associated with Mereo’s requirements of being a listed public company on AIM and costs incurred relating to the issue of equity to the extent not capitalized, including the costs associated with the postponed initial public offering in the United States of Mereo Shares in 2018.</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expects that its general and administrative costs will increase in the future as its business expands and increases its headcount to support the expected growth in its operating activities. These increases will likely include increased costs related to the hiring of additional personnel and fees to outside consultants, lawyers and accountants, among other expenses. In addition, Mereo expects to continue to grant share-based compensation awards to existing and future key management personnel and other employees. Additionally, Mereo anticipates increased costs associated with being a U.S. public company, including expenses related to services associated with maintaining compliance with Nasdaq rules and SEC requirements, director compensation, insurance, and investor relation costs. If any of Mereo’s product candidates that Mereo intends to directly commercialize obtains regulatory approval, Mereo expects that it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income consists of interest earned on Mereo short-term cash deposits.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Finance charge consists of interest on the Novartis Notes, interest on Mereo’s credit facility and losses on short term deposits. For further information on the terms of the Novartis Notes and Mereo’s credit facility see “—Indebtedness.”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99"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Mereo’s functional currency is pound sterling. Mereo initially records transactions in foreign currencies at the rate ruling on the date the transaction first qualifies for recognition. Net foreign exchange gain/(loss) consists of the difference arising on settlement or translation of Mereo’s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85" w:lineRule="exact"/>
        <w:rPr>
          <w:sz w:val="20"/>
          <w:szCs w:val="20"/>
          <w:color w:val="auto"/>
        </w:rPr>
      </w:pPr>
    </w:p>
    <w:p>
      <w:pPr>
        <w:ind w:left="200" w:right="140" w:firstLine="331"/>
        <w:spacing w:after="0" w:line="248" w:lineRule="auto"/>
        <w:rPr>
          <w:sz w:val="20"/>
          <w:szCs w:val="20"/>
          <w:color w:val="auto"/>
        </w:rPr>
      </w:pPr>
      <w:r>
        <w:rPr>
          <w:rFonts w:ascii="Arial" w:cs="Arial" w:eastAsia="Arial" w:hAnsi="Arial"/>
          <w:sz w:val="17"/>
          <w:szCs w:val="17"/>
          <w:color w:val="auto"/>
        </w:rPr>
        <w:t>As a U.K. resident trading entity, Mereo is subject to U.K. corporate taxation. Due to the nature of Mereo’s business, it has generated losses since formation. As of December 31, 2016 and 2017, Mereo had cumulative carryforward tax losses of £16.3 million and</w:t>
      </w:r>
    </w:p>
    <w:p>
      <w:pPr>
        <w:spacing w:after="0" w:line="1" w:lineRule="exact"/>
        <w:rPr>
          <w:sz w:val="20"/>
          <w:szCs w:val="20"/>
          <w:color w:val="auto"/>
        </w:rPr>
      </w:pPr>
    </w:p>
    <w:p>
      <w:pPr>
        <w:ind w:left="200" w:right="340"/>
        <w:spacing w:after="0" w:line="234" w:lineRule="auto"/>
        <w:rPr>
          <w:sz w:val="20"/>
          <w:szCs w:val="20"/>
          <w:color w:val="auto"/>
        </w:rPr>
      </w:pPr>
      <w:r>
        <w:rPr>
          <w:rFonts w:ascii="Arial" w:cs="Arial" w:eastAsia="Arial" w:hAnsi="Arial"/>
          <w:sz w:val="18"/>
          <w:szCs w:val="18"/>
          <w:color w:val="auto"/>
        </w:rPr>
        <w:t>£36.0 million, respectively. Subject to any relevant restrictions, Mereo expects these to be available to carry forward and offset against future operating profits. As a company that carries out extensive research and development (“R&amp;D”) activities, Mereo benefits from the U.K. R&amp;D small or medium-sized enterprise tax credit regime and is able to surrender some of its trading losses that arise from its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w:t>
      </w:r>
    </w:p>
    <w:p>
      <w:pPr>
        <w:spacing w:after="0" w:line="5"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21.67%. Mereo’s effective cash rebate on qualifying R&amp;D expenditure in 2017 was £8.2 million, which it received in August 2018. Mereo’s cash rebate for 2016 was £5.3 million, which it received in May 2017. The cash rebate Mereo received in 2018 with respect to 2017 increased by £2.9 million, reflecting the higher level of qualifying R&amp;D spend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20"/>
          </w:cols>
          <w:pgMar w:left="24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 2017. Mereo may not be able to continue to claim payable R&amp;D tax credits in the future because it may no longer qualify as a small or medium-sized company.</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Mereo generates revenues in the future, it may benefit from the U.K. “patent box” regime that allows profits attributable to revenues from patents or patented products to be taxed at an effective rate of 10%. This relief applies to profits earned from April 1, 2013. When taken in combination with the enhanced relief available on Mereo’s R&amp;D expenditures, Mereo expects a long-term lower rate of corporation tax to apply to Mereo. If, however, there are unexpected adverse changes to the U.K. R&amp;D tax credit regime or the “patent box” regime, or for any reason Mereo is unable to qualify for such advantageous tax legislation, or is unable to use net operating loss and tax credit carryforwards and certain built-in losses to reduce future tax payments, its business, results of operations, and financial condition may be adversely 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following table sets forth Mereo’s results of operations for the years ended December 31, 2016 and 2017 for the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(24,563)</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(32,415)</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(34,607)</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(45,670)</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(21,407)</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(28,250)</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(10,864)</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(11,617)</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(15,331)</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(10,697)</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(14,117)</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(5,041)</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(6,652)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(7,102)</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(36,180)</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(47,746)</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(45,304)</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(59,787)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(26,448)</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(34,902)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(17,966)</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(23,710)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(180)</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(1,438)</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(1,587)</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2,986</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(1,384)</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(1,827)</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(1,040)</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(1,373)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(33,722)</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(44,502)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(46,951)</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(61,961)</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(27,288)</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(36,012)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(19,353)</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(25,540)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5,331</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7,036</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8,152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10,758</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5,999</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2,365</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(28,391)</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(37,466)</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(38,799)</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(51,203)</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(22,742)</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(30,013)</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(16,988)</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following table sets forth Mereo’s research and development expenses by product development program for the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0" w:type="dxa"/>
            <w:vAlign w:val="bottom"/>
            <w:gridSpan w:val="8"/>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80" w:type="dxa"/>
            <w:vAlign w:val="bottom"/>
            <w:tcBorders>
              <w:top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rPr>
              <w:t>2017</w:t>
            </w:r>
          </w:p>
        </w:tc>
        <w:tc>
          <w:tcPr>
            <w:tcW w:w="1540" w:type="dxa"/>
            <w:vAlign w:val="bottom"/>
            <w:tcBorders>
              <w:top w:val="single" w:sz="8" w:color="auto"/>
            </w:tcBorders>
            <w:gridSpan w:val="4"/>
          </w:tcPr>
          <w:p>
            <w:pPr>
              <w:jc w:val="right"/>
              <w:ind w:right="45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right"/>
              <w:ind w:right="119"/>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4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7,777</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10,263</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BGS-649</w:t>
            </w:r>
          </w:p>
        </w:tc>
        <w:tc>
          <w:tcPr>
            <w:tcW w:w="4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6,705</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8,849</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3,515</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BCT-197</w:t>
            </w:r>
          </w:p>
        </w:tc>
        <w:tc>
          <w:tcPr>
            <w:tcW w:w="4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5,275</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6,961</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3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36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2,093</w:t>
            </w:r>
          </w:p>
        </w:tc>
        <w:tc>
          <w:tcPr>
            <w:tcW w:w="80" w:type="dxa"/>
            <w:vAlign w:val="bottom"/>
            <w:shd w:val="clear" w:color="auto" w:fill="CCEEFF"/>
          </w:tcPr>
          <w:p>
            <w:pPr>
              <w:spacing w:after="0"/>
              <w:rPr>
                <w:sz w:val="17"/>
                <w:szCs w:val="17"/>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21,407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14,338</w:t>
            </w:r>
          </w:p>
        </w:tc>
        <w:tc>
          <w:tcPr>
            <w:tcW w:w="8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60" w:type="dxa"/>
            <w:vAlign w:val="bottom"/>
          </w:tcPr>
          <w:p>
            <w:pPr>
              <w:jc w:val="right"/>
              <w:ind w:right="2290"/>
              <w:spacing w:after="0"/>
              <w:rPr>
                <w:sz w:val="20"/>
                <w:szCs w:val="20"/>
                <w:color w:val="auto"/>
              </w:rPr>
            </w:pPr>
            <w:r>
              <w:rPr>
                <w:rFonts w:ascii="Arial" w:cs="Arial" w:eastAsia="Arial" w:hAnsi="Arial"/>
                <w:sz w:val="18"/>
                <w:szCs w:val="18"/>
                <w:color w:val="auto"/>
              </w:rPr>
              <w:t>263</w:t>
            </w: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Mereo’s total research and development expenses decreased by £10.5 million, or 49%, from £21.4 million for the six months ended June 30, 2017 to £10.9 million for the six months ended June 30, 2018. The decrease was primarily a result of a decrease in manufacturing costs related to BPS-804 and the completion of the Phase 2 trials for BGS-649 and BCT-197 in the first half of 2018.</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 research and development expenses for BPS-804 decreased by £4.2 million, from £7.8 million for the six months ended</w:t>
      </w:r>
    </w:p>
    <w:p>
      <w:pPr>
        <w:ind w:left="200"/>
        <w:spacing w:after="0" w:line="234" w:lineRule="auto"/>
        <w:rPr>
          <w:sz w:val="20"/>
          <w:szCs w:val="20"/>
          <w:color w:val="auto"/>
        </w:rPr>
      </w:pPr>
      <w:r>
        <w:rPr>
          <w:rFonts w:ascii="Arial" w:cs="Arial" w:eastAsia="Arial" w:hAnsi="Arial"/>
          <w:sz w:val="18"/>
          <w:szCs w:val="18"/>
          <w:color w:val="auto"/>
        </w:rPr>
        <w:t>June 30, 2017 to £3.6 million for the six months ended June 30, 2018, due to higher costs related to the transfer of production of BPS-804</w:t>
      </w:r>
    </w:p>
    <w:p>
      <w:pPr>
        <w:ind w:left="200"/>
        <w:spacing w:after="0" w:line="235" w:lineRule="auto"/>
        <w:rPr>
          <w:sz w:val="20"/>
          <w:szCs w:val="20"/>
          <w:color w:val="auto"/>
        </w:rPr>
      </w:pPr>
      <w:r>
        <w:rPr>
          <w:rFonts w:ascii="Arial" w:cs="Arial" w:eastAsia="Arial" w:hAnsi="Arial"/>
          <w:sz w:val="18"/>
          <w:szCs w:val="18"/>
          <w:color w:val="auto"/>
        </w:rPr>
        <w:t>from Novartis to Mereo’s CMO and to the manufacture of clinical trial supplies in preparation for the start of the adult Phase 2b trial during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six months ended June 30, 2017.</w:t>
      </w:r>
    </w:p>
    <w:p>
      <w:pPr>
        <w:spacing w:after="0" w:line="21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Direct research and development expenses for BGS-649 decreased by £ 3.2 million, from £ 6.7 million for the six months ended June 30, 2017 to £3.5 million for the six months ended June 30, 2018, due to the completion of the Phase 2 trial in the first half of 2018.</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Direct research and development expenses for BCT-197 decreased by £3.8 million, from £5.3 million for the six months ended June 30, 2017 to £1.5 million for the six months ended June 30, 2018, due to the completion of the Phase 2 trial in the first half of 2018.</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Direct research and development expenses for MPH-966 for the six months ended June 30, 2018 were £0.7 million and related to supplier costs for the Phase 2b trial. Because Mereo acquired this product in October 2017, no costs were incurred during the six months ended June 30, 2017.</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These costs decreased by £ 0.1 million, from £1.7 million for the six months ended June 30, 2017 to £1.6 million for the six months ended June 30, 2018, due to higher costs in the six months ended June 30, 2017 related to share-based payments partially offset against a higher average headcount in the six months ended June 30,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Administrative expenses increased by £2.1 million, from £5.0 million for the six months ended June 30, 2017 to £7.1 million for the six months ended June 30, 2018. This increase was mainly due to an increase in legal and other professional fees and expenses of</w:t>
      </w:r>
    </w:p>
    <w:p>
      <w:pPr>
        <w:spacing w:after="0" w:line="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£2.2 million relating to costs incurred relating to the issue of equity, including the costs incurred in respect of the postponed initial public offering in the United States of Mereo Shares earlier in 2018, that were written off in the unaudited consolidated interim statement of comprehensive loss for the six months ended June 30, 2018, some of which were incurred in the period ended December 31, 2017, partially offset by a lower share-based payment charge of £1.1 million for the six months ended June 30, 2018 compared to £1.5 million in the six months ended June 30, 2017. Other administrative expenses increased by £0.4 million in the six months ended June 30, 2018 as compared to the six months ended June 30, 2017.</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Finance charges increased by £1.5 million from £0.1 million for the six months ended June 30, 2017 to £1.6 million for the six months ended June 30, 2018, primarily reflecting the interest costs on the bank loan Mereo entered into in the second half of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Gains/(Losses)</w:t>
      </w:r>
    </w:p>
    <w:p>
      <w:pPr>
        <w:spacing w:after="0" w:line="81"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Net foreign exchange gains/(losses) were negligible for the six months ended June 30, 2018, compared to a £1.0 million loss for the six months ended June 30, 2017, which represented losses on the translation of foreign denominated cash balances at the period end.</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60"/>
          </w:cols>
          <w:pgMar w:left="240" w:top="460"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9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recorded a tax credit of £4.5 million for the six months ended June 30, 2017 and £2.4 million for the six months ended June 30, 2018. The tax credit represents the cash rebate from the U.K. tax authorities Mereo qualified for in respect of eligible research and development activities during the periods. The reduction in the tax credit accrued is due to the reduction in qualifying research and development expenditure in the six months ended June 30, 2018 compared to the prior period. The tax credit for 2017 was received in 2018 and Mereo expects to receive the tax credit for 2018 in 2019.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following table sets forth Mereo’s research and development expenses by product development program for the years ended December 31, 2016 and 2017.</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360" w:type="dxa"/>
            <w:vAlign w:val="bottom"/>
            <w:tcBorders>
              <w:bottom w:val="single" w:sz="8" w:color="auto"/>
            </w:tcBorders>
            <w:gridSpan w:val="7"/>
          </w:tcPr>
          <w:p>
            <w:pPr>
              <w:jc w:val="center"/>
              <w:ind w:left="4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380" w:type="dxa"/>
            <w:vAlign w:val="bottom"/>
            <w:gridSpan w:val="3"/>
          </w:tcPr>
          <w:p>
            <w:pPr>
              <w:jc w:val="right"/>
              <w:ind w:right="456"/>
              <w:spacing w:after="0" w:line="155" w:lineRule="exact"/>
              <w:rPr>
                <w:sz w:val="20"/>
                <w:szCs w:val="20"/>
                <w:color w:val="auto"/>
              </w:rPr>
            </w:pPr>
            <w:r>
              <w:rPr>
                <w:rFonts w:ascii="Arial" w:cs="Arial" w:eastAsia="Arial" w:hAnsi="Arial"/>
                <w:sz w:val="14"/>
                <w:szCs w:val="14"/>
                <w:b w:val="1"/>
                <w:bCs w:val="1"/>
                <w:color w:val="auto"/>
              </w:rPr>
              <w:t>2016</w:t>
            </w:r>
          </w:p>
        </w:tc>
        <w:tc>
          <w:tcPr>
            <w:tcW w:w="1540" w:type="dxa"/>
            <w:vAlign w:val="bottom"/>
            <w:gridSpan w:val="5"/>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6,340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17,658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9,734</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12,846</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13,215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12,446</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14,254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7"/>
                <w:szCs w:val="17"/>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24,563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32,415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45,670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Mereo’s total R&amp;D expenses increased by £10.0 million, or 41%, from £24.6 million in 2016 to £34.6 million in 2017. This was a result of increased spending on clinical development as Mereo continued the Phase 2 programs for BCT-197 and BGS-649 and commenced the adult Phase 2b program for BPS-804. Total R&amp;D expenses included payments Mereo made to CROs and other suppliers for the ongoing clinical development of each of BPS-804, BCT-197, and BGS-649, which increased from £17.9 million in 2016 to £22.8 million in 2017, reflecting the inclusion of expenses relating to the adult Phase 2b study for BPS-804. Additionally, Mereo’s R&amp;D employee related costs increased from £3.1 million in 2016 to £4.1 million in 2017, reflecting increased headcount, higher other employee-related expenses, including travel, and higher bonus amounts earned in 2017. Mereo’s payments to CMOs for the provision of drug substance and drug product and associated manufacturing development to support Mereo’s clinical trials and the transfer of manufacturing of drug substance and drug product from Novartis to third-party manufacturers increased from £2.9 million in 2016 to £ 7.3 million in 2017, reflecting ongoing manufacturing activity primarily due to the manufacture of additional clinical trial materials in respect of BPS-804.</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Direct research and development expenses related to BCT-197 increased by £0.3 million, from £9.7 million in 2016 to £ 10.0 million in 2017, due to the completion of the Phase 2 clinical trial for BCT-197 in the fourth quarter of 2017, which trial commenced in the first half of 2016.</w:t>
      </w:r>
    </w:p>
    <w:p>
      <w:pPr>
        <w:spacing w:after="0" w:line="203" w:lineRule="exact"/>
        <w:rPr>
          <w:sz w:val="20"/>
          <w:szCs w:val="20"/>
          <w:color w:val="auto"/>
        </w:rPr>
      </w:pPr>
    </w:p>
    <w:p>
      <w:pPr>
        <w:jc w:val="both"/>
        <w:ind w:left="200" w:right="100" w:firstLine="331"/>
        <w:spacing w:after="0" w:line="246" w:lineRule="auto"/>
        <w:rPr>
          <w:sz w:val="20"/>
          <w:szCs w:val="20"/>
          <w:color w:val="auto"/>
        </w:rPr>
      </w:pPr>
      <w:r>
        <w:rPr>
          <w:rFonts w:ascii="Arial" w:cs="Arial" w:eastAsia="Arial" w:hAnsi="Arial"/>
          <w:sz w:val="18"/>
          <w:szCs w:val="18"/>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240" w:top="460" w:right="4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General and administrative expenses decreased by £ 0.9 million, or 7.8%, from £11.6 million in 2016 to £ 10.7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MPH-966 in October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Interest earned on Mereo’s short-term cash deposits increased from £0.4 million in 2016 to £0.8 million in 2017, reflecting higher cash balances held in deposit in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Mereo’s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Gain/(Loss)</w:t>
      </w:r>
    </w:p>
    <w:p>
      <w:pPr>
        <w:spacing w:after="0" w:line="95"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In 2016, the net foreign exchange gain was £2.3 million, primarily as a result of the unrealized gain on translation of cash deposits held primarily in U.S. dollars at year end, reflecting a strengthening of the U.S. dollar against pound sterling during the year. In 2017, net foreign exchange loss was £1.4 million, reflecting a weakening of the U.S. dollar against pound sterling during the year which negatively impacted the translation of Mereo’s foreign deposits and investments at December 31, 2017.</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Mereo recorded a tax credit of £ 5.3 million in 2016 and £8.2 million in 2017. The tax credit represents the cash rebate from the U.K. tax authorities Mereo qualified for in respect of eligible research and development activities during the years. Due to the increase in qualifying R&amp;D expenditure in 2017, the 2017 tax credit increased by £ 2.9 million from the 2016 tax credit. The 2016 tax credit was received in May 2017. The 2017 tax credit of £8.2 million was received in August 2018.</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Since Mereo’s formation, it has incurred significant operating losses. Mereo expects to incur significant expenses and operating losses for the foreseeable future as it advances the clinical development of its product candidates. Mereo expects that its research and development and general and administrative costs will increase in connection with conducting clinical trials for its product candidates and any new product candidates it acquires and due to the costs in seeking marketing approval for its product candidates in Europe and the United States as well as other jurisdictions. As a result, Mereo will need additional capital to fund its operations, which it may obtain from additional debt or equity financings, collaborations, licensing arrangements, or other sources.</w:t>
      </w:r>
    </w:p>
    <w:p>
      <w:pPr>
        <w:spacing w:after="0" w:line="205" w:lineRule="exact"/>
        <w:rPr>
          <w:sz w:val="20"/>
          <w:szCs w:val="20"/>
          <w:color w:val="auto"/>
        </w:rPr>
      </w:pPr>
    </w:p>
    <w:p>
      <w:pPr>
        <w:ind w:left="200" w:right="20" w:firstLine="331"/>
        <w:spacing w:after="0" w:line="261" w:lineRule="auto"/>
        <w:rPr>
          <w:sz w:val="20"/>
          <w:szCs w:val="20"/>
          <w:color w:val="auto"/>
        </w:rPr>
      </w:pPr>
      <w:r>
        <w:rPr>
          <w:rFonts w:ascii="Arial" w:cs="Arial" w:eastAsia="Arial" w:hAnsi="Arial"/>
          <w:sz w:val="17"/>
          <w:szCs w:val="17"/>
          <w:color w:val="auto"/>
        </w:rPr>
        <w:t>Mereo does not currently have any approved products and has never generated any revenue from product sales or otherwise. To date, Mereo has financed its operations primarily through the issuances of its equity securities and convertible debt and its credit facility, which Mereo entered into in August 2017. Since its incorporation, Mereo has raised a total of £102.9 million in gross proceeds from private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20"/>
          </w:cols>
          <w:pgMar w:left="24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and public placements of Mereo Shares to institutional investors and £3.5 million from the issuance of the Novartis Notes. In August 2017, Mereo also entered into a credit facility in the amount of £20.0 million which it has fully drawn down during 2017. On September 28, 2018 Mereo completed a revision to the terms of such credit facility. As of June 30, 2018, Mereo had cash and short term deposits and short term investments of £36.9 million.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Mereo’s cash flows for the periods presented.</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(29,662)</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(39,145)</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(32,148)</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(42,426)</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(10,489)</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(13,843)</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(15,031)</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(19,836)</w:t>
            </w: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492</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(3,745)</w:t>
            </w:r>
          </w:p>
        </w:tc>
        <w:tc>
          <w:tcPr>
            <w:tcW w:w="4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(4,942)</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(4,243)</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(5,600)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90,210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33,744</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44,532</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14,270</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18,833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w:t>
            </w:r>
          </w:p>
        </w:tc>
      </w:tr>
      <w:tr>
        <w:trPr>
          <w:trHeight w:val="209"/>
        </w:trPr>
        <w:tc>
          <w:tcPr>
            <w:tcW w:w="39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equivalents</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39,067</w:t>
            </w:r>
          </w:p>
        </w:tc>
        <w:tc>
          <w:tcPr>
            <w:tcW w:w="8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51,557</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(2,149)</w:t>
            </w:r>
          </w:p>
        </w:tc>
        <w:tc>
          <w:tcPr>
            <w:tcW w:w="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2,836</w:t>
            </w: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(462)</w:t>
            </w:r>
          </w:p>
        </w:tc>
        <w:tc>
          <w:tcPr>
            <w:tcW w:w="106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(610)</w:t>
            </w: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(15,681)</w:t>
            </w:r>
          </w:p>
        </w:tc>
        <w:tc>
          <w:tcPr>
            <w:tcW w:w="40" w:type="dxa"/>
            <w:vAlign w:val="bottom"/>
          </w:tcPr>
          <w:p>
            <w:pPr>
              <w:spacing w:after="0"/>
              <w:rPr>
                <w:sz w:val="17"/>
                <w:szCs w:val="17"/>
                <w:color w:val="auto"/>
              </w:rPr>
            </w:pPr>
          </w:p>
        </w:tc>
        <w:tc>
          <w:tcPr>
            <w:tcW w:w="7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w w:val="98"/>
              </w:rPr>
              <w:t>(20,694)</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increase in net cash used in operating activities was £4.5 million, from £10.5 million for the six months ended June 30, 2017 to £15.0 million for the six months ended June 30, 2018. This was due to a reduction in the loss before taxation of £7.9 million, reflecting lower research and development activity, offset in part by the inclusion in the six months ended June 30, 2017 of the receipt of research and development tax credits of £5.3 million with no corresponding receipt in the six months ended June 30, 2018, as the 2017 amount was received after the end of the period. In addition there was a decrease in payables from £8.7 million to £1.1 million as the payables balance during the six months ended June 30, 2017 unwound due to lower levels of activity in the six months ended June 30, 2018 and due to timing differences on cash payments to suppliers.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 £0.9 million in 2016 to £5.3 million in 2017. In addition there were changes in the add-backs for non-cash expenses as follows: (i) share based payment add-backs were reduced from £6.5 million to £ 3.7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Mereo’s net cash from investing activities was £0.1 million for the six months ended June 30, 2018, compared to net cash used in investing activities of £4.2 million in the six months ended June 30, 2017 due to the investment of cash.</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Mereo’s net cash from investing activities reduced from £0.4 million in 2016 to net cash used in financing activities of £3.7 million in 2017, largely due to the £2.3 million cash cost of purchasing a license for MPH -966 from AstraZeneca in October 2017 and £2.5 million of cash transferred into short-term investments held on deposit, partially offset by £1.1 million of interests received on Mereo’s short-term deposits.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Mereo’s net cash from financing activities for the six months ended June 30, 2017 was £14.3 million due to an equity financing in the period. There was no significant financing activity during the six months ended June 30, 2018, other than £0.9 million of interest Mereo paid on the bank loan offset by £0.1 million of proceeds from the issue of Mereo Shares.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Mereo’s net cash from financing activities reduced from £68.4 million in 2016 to £ 33.7 million in 2017. In June 2016, Mereo raised gross proceeds of £56.5 million in the second tranche of a private placement entered into in 2015. In June 2016, in connection with Mereo Shares being admitted to trading on the AIM market, Mereo raised gross proceeds of £11.4 million in private placements of its Mereo Shares with institutional investors. In addition, and as part of that transaction, Mereo raised £3.5 million gross proceeds in the form of the Novartis Notes. Mereo’s total costs in respect of the foregoing transactions were £3.0 million. In April 2017, Mereo raised gross proceeds of £15.0 million in a placement of Mereo Shares with institutional investors, for which the cash cost amounted to £0.8 million. In August 2017, Mereo borrowed the first £10.0 million tranche under its credit facility and in December 2017 it borrowed the second and final tranche under its credit facility for another £10.0 million. In addition, in 2017, Mereo paid an aggregate of £0.3 million of interest on its outstanding borrowings under its credit facility.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As of June 30, 2018, Mereo had an accumulated loss of £96.2 million. Mereo expects to continue to report significant operating losses in 2018 and for the foreseeable future as it continues its research and development efforts and seeks to obtain regulatory approval of its current product candidates and any future product candidate Mereo may develop.</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Mereo expects its expenses to increase substantially in connection with its ongoing development activities related to its product candidates. In addition, upon the closing of the Merger, Mereo expects to incur additional costs associated with operating as a U.S. public company listed on Nasdaq in addition to operating as a U.K. public company listed on AIM.</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Mereo anticipates that its expenses will increase substantially due to the costs associated with its current and planned clinical trials, Mereo’s outsourced manufacturing activities and other associated costs including the management of its intellectual property portfolio. These costs will increase further if Mereo:</w:t>
      </w:r>
    </w:p>
    <w:p>
      <w:pPr>
        <w:spacing w:after="0" w:line="194" w:lineRule="exact"/>
        <w:rPr>
          <w:sz w:val="20"/>
          <w:szCs w:val="20"/>
          <w:color w:val="auto"/>
        </w:rPr>
      </w:pPr>
    </w:p>
    <w:p>
      <w:pPr>
        <w:ind w:left="960" w:hanging="432"/>
        <w:spacing w:after="0"/>
        <w:tabs>
          <w:tab w:leader="none" w:pos="96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regulatory approvals for any of Mereo’s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140" w:hanging="432"/>
        <w:spacing w:after="0" w:line="229" w:lineRule="auto"/>
        <w:tabs>
          <w:tab w:leader="none" w:pos="960" w:val="left"/>
        </w:tabs>
        <w:numPr>
          <w:ilvl w:val="0"/>
          <w:numId w:val="165"/>
        </w:numPr>
        <w:rPr>
          <w:rFonts w:ascii="MS PGothic" w:cs="MS PGothic" w:eastAsia="MS PGothic" w:hAnsi="MS PGothic"/>
          <w:sz w:val="24"/>
          <w:szCs w:val="24"/>
          <w:color w:val="auto"/>
          <w:vertAlign w:val="superscript"/>
        </w:rPr>
      </w:pPr>
      <w:r>
        <w:rPr>
          <w:rFonts w:ascii="Arial" w:cs="Arial" w:eastAsia="Arial" w:hAnsi="Arial"/>
          <w:sz w:val="17"/>
          <w:szCs w:val="17"/>
          <w:color w:val="auto"/>
        </w:rPr>
        <w:t>potentially establishes a sales, marketing, and distribution infrastructure and scale-up manufacturing capabilities to commercialize any products for which Mereo may obtain regulatory approval and chose to commercialize directly;</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expands Mereo’s intellectual property portfolio;</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29" w:lineRule="auto"/>
        <w:tabs>
          <w:tab w:leader="none" w:pos="960" w:val="left"/>
        </w:tabs>
        <w:numPr>
          <w:ilvl w:val="0"/>
          <w:numId w:val="165"/>
        </w:numPr>
        <w:rPr>
          <w:rFonts w:ascii="MS PGothic" w:cs="MS PGothic" w:eastAsia="MS PGothic" w:hAnsi="MS PGothic"/>
          <w:sz w:val="24"/>
          <w:szCs w:val="24"/>
          <w:color w:val="auto"/>
          <w:vertAlign w:val="superscript"/>
        </w:rPr>
      </w:pPr>
      <w:r>
        <w:rPr>
          <w:rFonts w:ascii="Arial" w:cs="Arial" w:eastAsia="Arial" w:hAnsi="Arial"/>
          <w:sz w:val="17"/>
          <w:szCs w:val="17"/>
          <w:color w:val="auto"/>
        </w:rPr>
        <w:t>adds further central clinical, scientific, operational, financial and management information systems, and personnel, including personnel to support Mereo’s development and to support Mereo’s operations as a U.S. public company listed on Nasdaq; or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00"/>
          </w:cols>
          <w:pgMar w:left="24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80" w:hanging="432"/>
        <w:spacing w:after="0" w:line="218"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experiences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expects that its existing cash resources, together with the anticipated net cash to be held by OncoMed at the time of the closing of the Merger, will enable it to fund its currently committed clinical trials and operating expenses and capital expenditure requirements into early 2020. Mereo has based these estimates on assumptions that may prove to be wrong, and it may use its available capital resources sooner than it currently expects. Because of the numerous risks and uncertainties associated with the development of Mereo’s product candidates and any future product candidates and because the extent to which Mereo may enter into collaborations with third parties for development of any of Mereo’s product candidates is unknown, Mereo is unable to estimate the amounts of increased capital outlays and operating expenses associated with completing the research and development of its product candidates. Mereo’s future capital requirements will depend on many factors, including:</w:t>
      </w:r>
    </w:p>
    <w:p>
      <w:pPr>
        <w:spacing w:after="0" w:line="235" w:lineRule="exact"/>
        <w:rPr>
          <w:sz w:val="20"/>
          <w:szCs w:val="20"/>
          <w:color w:val="auto"/>
        </w:rPr>
      </w:pPr>
    </w:p>
    <w:p>
      <w:pPr>
        <w:ind w:left="960" w:right="48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Mereo’s ongoing Phase 2b clinical trial for BPS-804, its planned pediatric Phase 3 study for BPS-804 in Europe, and its ongoing Phase 2 clinical trial for MPH-966;</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Mereo’s product candidates;</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Mereo’s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Mereo’s product candidates that Mereo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Mereo’s product candidates;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23"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Mereo’s intellectual property rights and defending any intellectual property-related claims, including any claims by third parties that Mereo is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Mereo is able to acquire new product candidates or enter into licensing or collaboration arrangements for its product candidates, although Mereo currently have no commitments or agreements to complete any such transactions;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Mereo’s license and option agreement with AstraZeneca.</w:t>
      </w:r>
    </w:p>
    <w:p>
      <w:pPr>
        <w:spacing w:after="0" w:line="20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Mereo’s revenues, if any, will be derived from sales of any products that it is able to successfully develop, receive regulatory approval for, and commercialize in future years. In the meantime, Mereo will need to obtain substantial additional funds to achieve its business objective.</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Adequate additional funds may not be available to Mereo on acceptable terms, or at all. To the extent that Mereo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Mereo’s ability to take specific actions, such as incurring additional debt, making capital expenditures or declaring dividends and may require the issuance of warrants, which could potentially dilute your ownership interests.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20"/>
          </w:cols>
          <w:pgMar w:left="24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If Mereo raised additional funds through collaborations, strategic alliances, or licensing arrangements with third parties, Mereo may have to relinquish valuable rights to its technologies, future revenue streams, research programs or product candidates or grant licenses on terms that may not be favorable to Mereo. If Mereo is unable to raise additional funds through equity or debt financings when needed, Mereo may be required to delay, limit, reduce, or terminate Mereo’s product development programs or any future commercialization efforts or grant rights to develop and market product candidates that Mereo would otherwise prefer to develop and market itself.</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260" w:firstLine="331"/>
        <w:spacing w:after="0" w:line="236" w:lineRule="auto"/>
        <w:rPr>
          <w:sz w:val="20"/>
          <w:szCs w:val="20"/>
          <w:color w:val="auto"/>
        </w:rPr>
      </w:pPr>
      <w:r>
        <w:rPr>
          <w:rFonts w:ascii="Arial" w:cs="Arial" w:eastAsia="Arial" w:hAnsi="Arial"/>
          <w:sz w:val="18"/>
          <w:szCs w:val="18"/>
          <w:color w:val="auto"/>
        </w:rPr>
        <w:t>On June 3, 2016, as part of the fundraising for Mereo’s product development programs and for general corporate purposes and in connection with Mereo Shares being admitted to trading on AIM, Mereo issued 3,463,563 unsecured convertible loan notes to Novartis (the “Novartis Notes”) for aggregate proceeds of £3,463,563. The Novartis Notes bear interest at 4% per annum payable annually and accruing daily and rank senior to any other unsecured obligations Mereo may have. Novartis may at any time convert all or some of the Novartis Notes, together with accrued interest, into Mereo Shares at a conversion price of £2.21 per Mereo Share as long as, following such conversion, Novartis holds no more than 19.5% of the aggregate voting rights of Mereo. In addition, upon conversion, Novartis is entitled to receive an additional number of Mereo Shares equal to the number of shares into which such Novartis Notes and accrued interest are converted multiplied by 0.93 (the “Bonus Shares”). At December 31, 2016, Novartis was entitled to receive up to 1,453,520 Bonus Shares.</w:t>
      </w:r>
    </w:p>
    <w:p>
      <w:pPr>
        <w:spacing w:after="0" w:line="207"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Shares. Additionally, in connection with such conversion, Mereo issued 588,532 Bonus Shares to Novartis. At June 30, 2018, Novartis was entitled to receive up to 864,998 Bonus Shares.</w:t>
      </w:r>
    </w:p>
    <w:p>
      <w:pPr>
        <w:spacing w:after="0" w:line="20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To the extent any of the Novartis Notes remain outstanding on March 2, 2021, Mereo is obligated to pay Novartis the principal amount of such outstanding Novartis Notes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August 7, 2017, Mereo entered into a loan agreement (the “Original Loan Agreement”) with Silicon Valley Bank and Kreos Capital V (UK) Limited, which provided for total borrowings of £20.0 million. Mereo borrowed £10.0 million on each of August 21, 2017 and December 29, 2017, for general working capital purposes. Under the Original Loan Agreement, Mereo was obligated to make interest-only payments on the loan amount until September 30, 2018, and thereafter Mereo was obligated to pay interest and principal in 30 equal monthly installments until March 2021. The loan bore interest at an annual fixed rate equal to 9.0%. On September 28, 2018, Mereo, Silicon Valley Bank and Kreos Capital V (UK) Limited entered into a new loan agreement (the “New Loan Agreement”), which replaced the Original Loan Agreement in its entirety and (i) increased the total commitments of the lenders to £20,455,000, (ii) extended the interest-only period from September 30, 2018 to April 30, 2019, and (iii) reduced the interest rate from 9.0% to 8.5%. Under the New Loan Agreement, both the interest-only period and the maturity date may be further extended subject to the achievement by Mereo of certain conditions set forth in the New Loan Agreement. The New Loan Agreement is secured by substantially all of Mereo’s assets, including intellectual property rights owned or controlled by Mereo.</w:t>
      </w:r>
    </w:p>
    <w:p>
      <w:pPr>
        <w:spacing w:after="0" w:line="206"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In connection with the New Loan Agreement, Mereo has issued warrants giving the lenders the right to subscribe for 225,974 Mereo Shares at an exercise price of £2.31 per Mereo Share. These warrants will be capable of exercise until October 1, 2028.</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00"/>
          </w:cols>
          <w:pgMar w:left="24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Mereo’s contractual obligations at 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19"/>
              <w:spacing w:after="0" w:line="143" w:lineRule="exact"/>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Up to 1 year</w:t>
            </w:r>
          </w:p>
        </w:tc>
        <w:tc>
          <w:tcPr>
            <w:tcW w:w="4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44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5 Years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£2,079</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Bank loan(2)</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3,574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17,794</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2,983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24,351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4,401</w:t>
            </w:r>
          </w:p>
        </w:tc>
        <w:tc>
          <w:tcPr>
            <w:tcW w:w="54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18,494</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27,957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hanging="316"/>
        <w:spacing w:after="0" w:line="234" w:lineRule="auto"/>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Includes interest. See “—Indebtedness—Credit Facility.”</w:t>
      </w:r>
    </w:p>
    <w:p>
      <w:pPr>
        <w:ind w:left="520" w:right="560" w:hanging="316"/>
        <w:spacing w:after="0" w:line="246" w:lineRule="auto"/>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Reflects payments due for Mereo’s office lease under a lease agreement that expires in August 2025. Mereo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Mereo has agreed to make milestone payments and pay royalties. Mereo has not included any deferred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In addition, Mereo enters into contracts in the ordinary course of business with CROs, CMOs, and other vendors to assist in the performance of its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did not have during the period presented, and does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is exposed to a variety of financial risks. Mereo’s overall risk management program seeks to minimize potential adverse effects of these financial risks on its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Mereo manages interest rate risk by monitoring short and medium-term interest rates and placing cash on deposit for periods that optimize the amount of interest earned while maintaining access to sufficient funds to meet day-to-day cash requirements. Mereo has a committed borrowing facility in an amount of £ 20.0 million which was fully drawn as of the date of this proxy statement/prospectus. Loans under the credit facility bear interest at a fixed rate of 9.0% per annum. The interest payable on the Novartis Notes is fixed at 4.0% per annum. Consequently, there is no material exposure to interest rate risk in respect of interest payable.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99" w:lineRule="exact"/>
        <w:rPr>
          <w:sz w:val="20"/>
          <w:szCs w:val="20"/>
          <w:color w:val="auto"/>
        </w:rPr>
      </w:pPr>
    </w:p>
    <w:p>
      <w:pPr>
        <w:ind w:left="200" w:right="1200" w:firstLine="331"/>
        <w:spacing w:after="0" w:line="246" w:lineRule="auto"/>
        <w:rPr>
          <w:sz w:val="20"/>
          <w:szCs w:val="20"/>
          <w:color w:val="auto"/>
        </w:rPr>
      </w:pPr>
      <w:r>
        <w:rPr>
          <w:rFonts w:ascii="Arial" w:cs="Arial" w:eastAsia="Arial" w:hAnsi="Arial"/>
          <w:sz w:val="18"/>
          <w:szCs w:val="18"/>
          <w:color w:val="auto"/>
        </w:rPr>
        <w:t>Mereo considers all of its material counterparties to be creditworthy. Mereo considers the credit risk for each of its major counterparties to be low. Mereo is, however, dependent on a number of third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240" w:top="459" w:right="4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parties for the delivery of its programs and, in addition, where appropriate it pays upfront deposits and fees in advance of the delivery of services where required. Mereo continues to assess credit risk as part of its management of these third-party relationships.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Mereo manages its liquidity risk by maintaining adequate cash reserves at banking facilities and invested in short term money market accounts, and by continuously monitoring its cash forecasts, its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Mereo’s operating costs are denominated in pound sterling, Euros, and U.S. dollars. Mereo’s financial position, as expressed in pound sterling, is exposed to movements in foreign exchange rates against the U.S. dollar and the euro. Mereo’s main trading currencies are pound sterling and U.S. dollars. Mereo is exposed to foreign currency risk as a result of operating transactions and the translation of foreign currency bank accounts and short-term deposits. Mereo monitors its exposure to foreign exchange risk. Mereo has not entered into foreign exchange contracts to hedge against foreign exchange fluctuations but maintain cash and investments in U.S. dollars to cover anticipated forward commitments. For the year ended December 31, 2017, Mereo recorded a net foreign exchange loss of £1.4 million, compared to a £2.3 million gain for the year ended December 31, 2016, primarily as a result of the accretion in value of Mereo’s U.S. dollar cash deposits measured at the balance sheet date compared to the date of conversion. These deposits amounted to $20.0 million and $10.5 million as of December 31, 2016 and 2017,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Mereo’s financial statements have been prepared in accordance with IFRS as issued by the IASB. In the application of Mereo’s accounting policies, it is required to make judgments, estimates, and assumptions about the value of assets and liabilities for which there is no definitive third-party reference. The estimates and associated assumptions are based on historical experience and other factors that Mereo considered to be relevant. Actual results may differ from these estimates. Mereo reviews its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following are Mereo’s critical judgments and estimates that it has made in the process of applying its accounting policies and that have the most significant effect on the amounts recognized in its consolidated financial statements included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99"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Through June 30, 2018, Mereo granted share options and awards under the following four equity award plans: (i) the 2015 Plan; (ii) the Share Option Plan; (iii) the LTIP; and (iv) the 2016 DBSP.</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measures share options at fair value at its grant date in accordance with IFRS 2, “Share-based Payment.” Mereo calculates the fair value of the share options using either the Black-Scholes model, or for options with performance conditions, a simulation model. Mereo charges the fair value to the statement of comprehensive income over the expected vesting period.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2015 Plan</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Under the 2015 Plan, Mereo has granted share options to its employees, including its senior executives, and its non-executive directors. For all employees, share options vest over four years with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00"/>
          </w:cols>
          <w:pgMar w:left="240" w:top="460"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0"/>
        <w:spacing w:after="0" w:line="239" w:lineRule="auto"/>
        <w:rPr>
          <w:sz w:val="20"/>
          <w:szCs w:val="20"/>
          <w:color w:val="auto"/>
        </w:rPr>
      </w:pPr>
      <w:r>
        <w:rPr>
          <w:rFonts w:ascii="Arial" w:cs="Arial" w:eastAsia="Arial" w:hAnsi="Arial"/>
          <w:sz w:val="18"/>
          <w:szCs w:val="18"/>
          <w:color w:val="auto"/>
        </w:rPr>
        <w:t>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Mereo measures the share options under the 2015 Plan at fair value at its grant date in accordance with IFRS 2, “Share-based Payment,” using the Black-Scholes model. The exercise price of the share options under the 2015 Plan is in the range of £1.29 to £2.21 per Mereo Share and the share options were granted between September 2015 and May 2016 with an exercise period of 10 years from the date of grant.</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Arial" w:cs="Arial" w:eastAsia="Arial" w:hAnsi="Arial"/>
                <w:sz w:val="18"/>
                <w:szCs w:val="18"/>
                <w:color w:val="auto"/>
              </w:rPr>
              <w:t>Other inputs to determine the fair value included:</w:t>
            </w:r>
          </w:p>
        </w:tc>
        <w:tc>
          <w:tcPr>
            <w:tcW w:w="3820" w:type="dxa"/>
            <w:vAlign w:val="bottom"/>
          </w:tcPr>
          <w:p>
            <w:pPr>
              <w:spacing w:after="0"/>
              <w:rPr>
                <w:sz w:val="18"/>
                <w:szCs w:val="18"/>
                <w:color w:val="auto"/>
              </w:rPr>
            </w:pPr>
          </w:p>
        </w:tc>
      </w:tr>
      <w:tr>
        <w:trPr>
          <w:trHeight w:val="230"/>
        </w:trPr>
        <w:tc>
          <w:tcPr>
            <w:tcW w:w="65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82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97"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Option Plan</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Share Option Plan, Mereo has granted 1,896,188 share options to executive officers and other employees and 15,000</w:t>
      </w:r>
    </w:p>
    <w:p>
      <w:pPr>
        <w:ind w:left="200"/>
        <w:spacing w:after="0" w:line="234" w:lineRule="auto"/>
        <w:rPr>
          <w:sz w:val="20"/>
          <w:szCs w:val="20"/>
          <w:color w:val="auto"/>
        </w:rPr>
      </w:pPr>
      <w:r>
        <w:rPr>
          <w:rFonts w:ascii="Arial" w:cs="Arial" w:eastAsia="Arial" w:hAnsi="Arial"/>
          <w:sz w:val="18"/>
          <w:szCs w:val="18"/>
          <w:color w:val="auto"/>
        </w:rPr>
        <w:t>options have lapsed. The weighted-average remaining contractual life for the share options outstanding as of December 31, 2017 and</w:t>
      </w:r>
    </w:p>
    <w:p>
      <w:pPr>
        <w:ind w:left="200"/>
        <w:spacing w:after="0" w:line="235" w:lineRule="auto"/>
        <w:rPr>
          <w:sz w:val="20"/>
          <w:szCs w:val="20"/>
          <w:color w:val="auto"/>
        </w:rPr>
      </w:pPr>
      <w:r>
        <w:rPr>
          <w:rFonts w:ascii="Arial" w:cs="Arial" w:eastAsia="Arial" w:hAnsi="Arial"/>
          <w:sz w:val="18"/>
          <w:szCs w:val="18"/>
          <w:color w:val="auto"/>
        </w:rPr>
        <w:t>June 30, 2018 was 9.4 years and 9.1, respectively. The weighted-average fair value of options granted during the year ended</w:t>
      </w:r>
    </w:p>
    <w:p>
      <w:pPr>
        <w:ind w:left="200"/>
        <w:spacing w:after="0" w:line="235" w:lineRule="auto"/>
        <w:rPr>
          <w:sz w:val="20"/>
          <w:szCs w:val="20"/>
          <w:color w:val="auto"/>
        </w:rPr>
      </w:pPr>
      <w:r>
        <w:rPr>
          <w:rFonts w:ascii="Arial" w:cs="Arial" w:eastAsia="Arial" w:hAnsi="Arial"/>
          <w:sz w:val="18"/>
          <w:szCs w:val="18"/>
          <w:color w:val="auto"/>
        </w:rPr>
        <w:t>December 31, 2017 and the six months ended June 30, 2018 was £1.85 and £2.38 per share, respectively. Share options outstanding as</w:t>
      </w:r>
    </w:p>
    <w:p>
      <w:pPr>
        <w:ind w:left="200"/>
        <w:spacing w:after="0" w:line="235" w:lineRule="auto"/>
        <w:rPr>
          <w:sz w:val="20"/>
          <w:szCs w:val="20"/>
          <w:color w:val="auto"/>
        </w:rPr>
      </w:pPr>
      <w:r>
        <w:rPr>
          <w:rFonts w:ascii="Arial" w:cs="Arial" w:eastAsia="Arial" w:hAnsi="Arial"/>
          <w:sz w:val="18"/>
          <w:szCs w:val="18"/>
          <w:color w:val="auto"/>
        </w:rPr>
        <w:t>of December 31, 2017 had an exercise price of between £3.03 and £3.23, respectively per share and as of June 30, 2018, between £3.03</w:t>
      </w:r>
    </w:p>
    <w:p>
      <w:pPr>
        <w:ind w:left="200"/>
        <w:spacing w:after="0"/>
        <w:rPr>
          <w:sz w:val="20"/>
          <w:szCs w:val="20"/>
          <w:color w:val="auto"/>
        </w:rPr>
      </w:pPr>
      <w:r>
        <w:rPr>
          <w:rFonts w:ascii="Arial" w:cs="Arial" w:eastAsia="Arial" w:hAnsi="Arial"/>
          <w:sz w:val="18"/>
          <w:szCs w:val="18"/>
          <w:color w:val="auto"/>
        </w:rPr>
        <w:t>and £3.25 per share.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weighted-average inputs to the models used for the fair value of share options were as follows:</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180" w:type="dxa"/>
            <w:vAlign w:val="bottom"/>
          </w:tcPr>
          <w:p>
            <w:pPr>
              <w:spacing w:after="0"/>
              <w:rPr>
                <w:sz w:val="15"/>
                <w:szCs w:val="15"/>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1.06-1.33</w:t>
            </w:r>
          </w:p>
        </w:tc>
        <w:tc>
          <w:tcPr>
            <w:tcW w:w="44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6"/>
              </w:rPr>
              <w:t>1.53</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3.03-3.23</w:t>
            </w:r>
          </w:p>
        </w:tc>
        <w:tc>
          <w:tcPr>
            <w:tcW w:w="44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6"/>
              </w:rPr>
              <w:t>3.25</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6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60"/>
          </w:cols>
          <w:pgMar w:left="240" w:top="459"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Mereo Share and have an exercise price of £nil.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Tranche 1</w:t>
            </w: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6"/>
              </w:rPr>
              <w:t>Tranche 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48.9%</w:t>
            </w:r>
          </w:p>
        </w:tc>
        <w:tc>
          <w:tcPr>
            <w:tcW w:w="156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£nil</w:t>
            </w:r>
          </w:p>
        </w:tc>
        <w:tc>
          <w:tcPr>
            <w:tcW w:w="15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right="320" w:firstLine="331"/>
        <w:spacing w:after="0" w:line="275" w:lineRule="auto"/>
        <w:rPr>
          <w:sz w:val="20"/>
          <w:szCs w:val="20"/>
          <w:color w:val="auto"/>
        </w:rPr>
      </w:pPr>
      <w:r>
        <w:rPr>
          <w:rFonts w:ascii="Arial" w:cs="Arial" w:eastAsia="Arial" w:hAnsi="Arial"/>
          <w:sz w:val="17"/>
          <w:szCs w:val="17"/>
          <w:color w:val="auto"/>
        </w:rPr>
        <w:t>Mereo measures the fair value of the share price element of the LTIP share options at its grant date in accordance with IFRS 2, “Share-based Payment,” using a Monte Carlo simulation model. Share options have an exercise period of one year from vesting date.</w:t>
      </w:r>
    </w:p>
    <w:p>
      <w:pPr>
        <w:spacing w:after="0" w:line="17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£1.34 per Mereo Share and have an exercise price of £nil. Mereo measures the fair value of the strategic element of the LTIP share options using the Black-Scholes model.</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2017 and £0.1 million in 2016.</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Bonus Share Plan</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2016 DBSP, 100,817 share options were granted to executive officers on April 26, 2018 in respect of the year ended</w:t>
      </w:r>
    </w:p>
    <w:p>
      <w:pPr>
        <w:ind w:left="200"/>
        <w:spacing w:after="0" w:line="234" w:lineRule="auto"/>
        <w:rPr>
          <w:sz w:val="20"/>
          <w:szCs w:val="20"/>
          <w:color w:val="auto"/>
        </w:rPr>
      </w:pPr>
      <w:r>
        <w:rPr>
          <w:rFonts w:ascii="Arial" w:cs="Arial" w:eastAsia="Arial" w:hAnsi="Arial"/>
          <w:sz w:val="18"/>
          <w:szCs w:val="18"/>
          <w:color w:val="auto"/>
        </w:rPr>
        <w:t>December 31, 2017 and 62,180 share options were granted to executive officers on April 4, 2017 in respect of the year ended</w:t>
      </w:r>
    </w:p>
    <w:p>
      <w:pPr>
        <w:ind w:left="200"/>
        <w:spacing w:after="0" w:line="235" w:lineRule="auto"/>
        <w:rPr>
          <w:sz w:val="20"/>
          <w:szCs w:val="20"/>
          <w:color w:val="auto"/>
        </w:rPr>
      </w:pPr>
      <w:r>
        <w:rPr>
          <w:rFonts w:ascii="Arial" w:cs="Arial" w:eastAsia="Arial" w:hAnsi="Arial"/>
          <w:sz w:val="18"/>
          <w:szCs w:val="18"/>
          <w:color w:val="auto"/>
        </w:rPr>
        <w:t>December 31, 2016. Share options have no performance conditions, an exercise price of £nil, a normal vesting date of 3 years from grant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are exercisable within one year of vesting.</w:t>
      </w:r>
    </w:p>
    <w:p>
      <w:pPr>
        <w:spacing w:after="0" w:line="212"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Since the 2016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460" w:firstLine="331"/>
        <w:spacing w:after="0" w:line="239"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2016 DBSP for the years ended December 31, 2016 and 2017 were £0.2 million and £0.3 million respectively. The expense under the 2016 DBSP for the periods ended June 30, 2017 and June 30, 2018 were £0.1 million and £0.1 million, respectively.</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40"/>
          </w:cols>
          <w:pgMar w:left="240" w:top="460" w:right="5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accounts for related social security contributions on all share options as cash-settled share-based payment transactions. Mereo recognizes a liability over the vesting period in respect of share options to be exercised. The total charge in respect of social security was £1.1 million in 2017 and £1.0 million in 2016.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expects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Mereo’s Intangible Assets</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At each year-end reporting date, Mereo reviews the carrying value of its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Mereo considers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Mereo receives upfront fees, milestone payments, and royalties on sales; therefore, Mereo does not incur any costs of commercialization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Mereo has used for the value-in-use calculations are described as follows:</w:t>
      </w:r>
    </w:p>
    <w:p>
      <w:pPr>
        <w:spacing w:after="0" w:line="239" w:lineRule="exact"/>
        <w:rPr>
          <w:sz w:val="20"/>
          <w:szCs w:val="20"/>
          <w:color w:val="auto"/>
        </w:rPr>
      </w:pPr>
    </w:p>
    <w:p>
      <w:pPr>
        <w:ind w:left="960" w:right="80" w:hanging="432"/>
        <w:spacing w:after="0" w:line="223"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Mereo’s directors have developed cost estimates based on Mereo’s previous experience and in conjunction with the expertise of Mereo’s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Mereo’s expected date of launch for products based on the timeline of development programs required to obtain regulatory approval. The assumptions are based on Mereo’s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development—Mereo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out-licensing upfront fees, milestones, and royalty rates on sales—Mereo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Mereo’s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23"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Mereo’s internal projections of current product manufacturing costings, with input from manufacturing partners where applicable, and estimates of operating costs based on Mereo’s prior industry experience;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20"/>
          </w:cols>
          <w:pgMar w:left="24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18" w:lineRule="auto"/>
        <w:tabs>
          <w:tab w:leader="none" w:pos="960" w:val="left"/>
        </w:tabs>
        <w:numPr>
          <w:ilvl w:val="0"/>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BCT-197—18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BGS-649—17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BPS-804—14 years; and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MPH-966—16 years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7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Mereo’s estimated cost of capital and is applied consistently across each of the operating segments. The cost of capital in 2017 was reviewed in 2017 and was 15.3%. In 2016, the cost of capital was 11.2%.</w:t>
      </w:r>
    </w:p>
    <w:p>
      <w:pPr>
        <w:spacing w:after="0" w:line="204"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At this stage of product development, Mereo believes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connection with the borrowings under the credit facility in 2017, Mereo issued to the lenders warrants to subscribe for an aggregate of 363,156 Mereo Shares at an exercise price of £3.029 per Mereo Share and warrants to subscribe for an aggregate of 333,334 Mereo Shares at an exercise price of £3.30 per Mereo Share.</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fair value of the warrants is measured using the Black-Scholes model taking into account any appropriate amendments to inputs in respect of volatility and remaining expected life of the warrants.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periods ended December 31, 2017 and June 30, 2018 were as follows: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60" w:type="dxa"/>
            <w:vAlign w:val="bottom"/>
          </w:tcPr>
          <w:p>
            <w:pPr>
              <w:spacing w:after="0"/>
              <w:rPr>
                <w:sz w:val="15"/>
                <w:szCs w:val="15"/>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 2017</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50-51</w:t>
            </w:r>
          </w:p>
        </w:tc>
        <w:tc>
          <w:tcPr>
            <w:tcW w:w="3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67</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1.10-1.25</w:t>
            </w:r>
          </w:p>
        </w:tc>
        <w:tc>
          <w:tcPr>
            <w:tcW w:w="3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1.38</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9.6-10</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9.3</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3.00-3.25</w:t>
            </w:r>
          </w:p>
        </w:tc>
        <w:tc>
          <w:tcPr>
            <w:tcW w:w="3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3.12</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900" w:type="dxa"/>
            <w:vAlign w:val="bottom"/>
            <w:gridSpan w:val="2"/>
            <w:shd w:val="clear" w:color="auto" w:fill="CCEEFF"/>
          </w:tcPr>
          <w:p>
            <w:pPr>
              <w:jc w:val="center"/>
              <w:ind w:right="380"/>
              <w:spacing w:after="0" w:line="202" w:lineRule="exact"/>
              <w:rPr>
                <w:sz w:val="20"/>
                <w:szCs w:val="20"/>
                <w:color w:val="auto"/>
              </w:rPr>
            </w:pPr>
            <w:r>
              <w:rPr>
                <w:rFonts w:ascii="Arial" w:cs="Arial" w:eastAsia="Arial" w:hAnsi="Arial"/>
                <w:sz w:val="18"/>
                <w:szCs w:val="18"/>
                <w:color w:val="auto"/>
                <w:w w:val="99"/>
              </w:rPr>
              <w:t>Black Scholes</w:t>
            </w: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Black Scholes</w:t>
            </w: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fair value of the warrants at June 30, 2018 was £1.5 million and at December 31, 2017 was £1.3 million. The carrying value of the loan at June 30, 2018 was £19.0 million and at December 31, 2017 was £18.8 million.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MPH-966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Mereo may make. The payments are dependent on reaching specific milestones based on the commencement and outcome of clinical trials.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80"/>
          </w:cols>
          <w:pgMar w:left="24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total amount of provision for deferred cash consideration at June 30, 2018 was £2.0 million and at December 31, 2017 was £2.1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0" w:type="dxa"/>
            <w:vAlign w:val="bottom"/>
            <w:shd w:val="clear" w:color="auto" w:fill="CCEEFF"/>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15.3%</w:t>
            </w:r>
          </w:p>
        </w:tc>
      </w:tr>
      <w:tr>
        <w:trPr>
          <w:trHeight w:val="203"/>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ind w:left="120"/>
              <w:spacing w:after="0" w:line="202" w:lineRule="exact"/>
              <w:rPr>
                <w:sz w:val="20"/>
                <w:szCs w:val="20"/>
                <w:color w:val="auto"/>
              </w:rPr>
            </w:pPr>
            <w:r>
              <w:rPr>
                <w:rFonts w:ascii="Arial" w:cs="Arial" w:eastAsia="Arial" w:hAnsi="Arial"/>
                <w:sz w:val="18"/>
                <w:szCs w:val="18"/>
                <w:color w:val="auto"/>
              </w:rPr>
              <w:t>Likely payment date:</w:t>
            </w:r>
          </w:p>
        </w:tc>
        <w:tc>
          <w:tcPr>
            <w:tcW w:w="7900" w:type="dxa"/>
            <w:vAlign w:val="bottom"/>
          </w:tcPr>
          <w:p>
            <w:pPr>
              <w:ind w:left="440"/>
              <w:spacing w:after="0" w:line="202" w:lineRule="exact"/>
              <w:rPr>
                <w:sz w:val="20"/>
                <w:szCs w:val="20"/>
                <w:color w:val="auto"/>
              </w:rPr>
            </w:pPr>
            <w:r>
              <w:rPr>
                <w:rFonts w:ascii="Arial" w:cs="Arial" w:eastAsia="Arial" w:hAnsi="Arial"/>
                <w:sz w:val="18"/>
                <w:szCs w:val="18"/>
                <w:color w:val="auto"/>
              </w:rPr>
              <w:t>Based on the expected timing of the ongoing Phase 2 study for MPH-966</w:t>
            </w:r>
          </w:p>
        </w:tc>
      </w:tr>
      <w:tr>
        <w:trPr>
          <w:trHeight w:val="203"/>
        </w:trPr>
        <w:tc>
          <w:tcPr>
            <w:tcW w:w="200" w:type="dxa"/>
            <w:vAlign w:val="bottom"/>
            <w:shd w:val="clear" w:color="auto" w:fill="CCEEFF"/>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Risk adjustment:</w:t>
            </w:r>
          </w:p>
        </w:tc>
        <w:tc>
          <w:tcPr>
            <w:tcW w:w="7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Standard risk adjustments for orphan asset development programs</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99"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may not be able to continue to claim research and development tax credits in the future under the current research and development tax credit scheme when it becomes a U.S. public company because it may no longer qualify as a small or medium-sized company. However, Mereo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Mereo’s losses carried forward because there is currently no indication that Mereo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8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In the period ended June 30, 2018, Mereo adopted IFRS 15 Revenue from Contracts with Customers (“IFRS 15”). The new revenue standard is applicable to all entities and will supersede all current revenue recognition requirements under IFRS. There has been no impact from IFRS 15 to Mereo’s financial reporting in the period ended June 30,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refers to Note 3 to its consolidated financial statements for the year ended December 31, 2017 included elsewhere in this proxy statement/prospectus for a discussion of new standards and interpretations not yet adopted by Mereo.</w:t>
      </w:r>
    </w:p>
    <w:p>
      <w:pPr>
        <w:spacing w:after="0" w:line="197"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During the period ended June 30, 2018, Mereo adopted IFRS 9 Financial Instruments (as revised in July 2014, “IFRS 9”) and the related consequential amendments to other IFRSs. IFRS 9 introduces new requirements for (i) the classification and measurement of financial assets and financial liabilities, (ii) impairment for financial assets, (iii) general hedge accounting and (iv) new accounting for certain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960"/>
        <w:spacing w:after="0"/>
        <w:rPr>
          <w:sz w:val="20"/>
          <w:szCs w:val="20"/>
          <w:color w:val="auto"/>
        </w:rPr>
      </w:pPr>
      <w:r>
        <w:rPr>
          <w:rFonts w:ascii="Arial" w:cs="Arial" w:eastAsia="Arial" w:hAnsi="Arial"/>
          <w:sz w:val="18"/>
          <w:szCs w:val="18"/>
          <w:color w:val="auto"/>
        </w:rPr>
        <w:t>modifications and exchanges of financial liabilities measured at amortised cost. The only impact on Mereo is in relation to the non-substantial modification of the convertible loan notes, as detailed below. Mereo has applied IFRS 9 in full without restating comparatives with an initial date of application of January 1, 2018.</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Mereo’s unaudited consolidated interim financial statements for the period ended June 30, 2018 included elsewhere in this proxy statement/prospectus, was adjusted to recognize the modification gain in the retained earnings as of the date of initial application of IFRS 9 (January 1,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bearing loans and borrowings—Convertible loan notes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5"/>
        </w:trPr>
        <w:tc>
          <w:tcPr>
            <w:tcW w:w="1080" w:type="dxa"/>
            <w:vAlign w:val="bottom"/>
            <w:tcBorders>
              <w:bottom w:val="single" w:sz="8" w:color="CCEEFF"/>
            </w:tcBorders>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1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At January 1,</w:t>
            </w:r>
          </w:p>
        </w:tc>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2018 calculated under IAS 39</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shd w:val="clear" w:color="auto" w:fill="CCEEFF"/>
          </w:tcPr>
          <w:p>
            <w:pPr>
              <w:spacing w:after="0"/>
              <w:rPr>
                <w:sz w:val="17"/>
                <w:szCs w:val="17"/>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At January 1,</w:t>
            </w:r>
          </w:p>
        </w:tc>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 under IFRS 9</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1,853,528</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Mereo currently reports and expects to continue to report under IFRS as issued by the IASB, it has irrevocably elected not to avail itself of this extended transition period, and, as a result, it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00"/>
          </w:cols>
          <w:pgMar w:left="24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ONCOMED SECURITY OWNERSHIP OF CERTAIN BENEFICIAL OWNERS AND MANAGEMENT</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information as to the beneficial ownership of OncoMed common stock as of March 15, 2019 for:</w:t>
      </w:r>
    </w:p>
    <w:p>
      <w:pPr>
        <w:spacing w:after="0" w:line="203" w:lineRule="exact"/>
        <w:rPr>
          <w:sz w:val="20"/>
          <w:szCs w:val="20"/>
          <w:color w:val="auto"/>
        </w:rPr>
      </w:pPr>
    </w:p>
    <w:p>
      <w:pPr>
        <w:ind w:left="960" w:hanging="432"/>
        <w:spacing w:after="0"/>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beneficially own more than five percent of OncoMed common stock;</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named executive officer as identified in Part III, Item 11 of OncoMed’s Annual Report on Form 10-K for the fiscal year ended December 31, 2018, filed with the SEC on March 7, 2019;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the OncoMed directors as of March 15, 2019;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current executive officers and directors of OncoMed as a group.</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OncoMed’s knowledge, the persons and entities named in the table have sole voting and sole investment power with respect to all shares beneficially owned, subject to community property laws where applicable. Shares of OncoMed common stock subject to options that are currently exercisable or exercisable within 60 days of March 15, 2019, and restricted stock units that vest within 60 days of March 15, 2019, are deemed to be outstanding and to be beneficially owned by the person holding the options or restricted stock units for the purpose of computing the percentage ownership of that person, but are not treated as outstanding for the purpose of computing the percentage ownership of any other person.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Percentage ownership of OncoMed common stock in the table is based on 38,690,089 shares of OncoMed common stock issued and outstanding on March 15, 2019. Unless otherwise indicated, the address of each of the individuals and entities named below is c/o OncoMed Pharmaceuticals, Inc., 800 Chesapeake Drive, Redwood City, California 94063.</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Shares of Common Stock Beneficially Owned(1)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b w:val="1"/>
                <w:bCs w:val="1"/>
                <w:color w:val="auto"/>
              </w:rPr>
              <w:t>Stock</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Within 60 Days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1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PRIMECAP Management Company(2)</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5,506,300</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5,506,300</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Biotechnology Value Fund, L.P.(3)</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4,042,989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4,042,989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Celgene Corporation(4)</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2,970,588</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2,970,588</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GlaxoSmithKline LLC(5)</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2,607,546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2,607,546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Entities Affiliated with Delphi Ventures(6)</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2,010,542</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2,010,542</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HarbourVest(7)</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1,901,106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1,901,106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Perceptive Advisors LLC(8)</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1,719,111</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1,719,111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John A. Lewicki, Ph.D.(9)</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130,354</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382,052</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512,406</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Yvonne Li (10)</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62,136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182,583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244,719</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Robert Stagg, Pharm.D. (11)</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21,919</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164,928</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186,847</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Ph.D.(12)</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31,753</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285,929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317,682</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Perry A. Karsen(13)</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80,500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180,189</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260,689</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Jack W. Lasersohn, J.D.(14)</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1,685,913</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1,745,913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Deepika R. Pakianathan, Ph.D.(15)</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2,010,542</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2,070,542</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D. Root, M.D.(16)</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121,020</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181,020</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Rick E Winningham(17)</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S. Wyzga(18)</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87,853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87,853</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All directors and current executive officers as a group</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(10 persons)(19)</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4,144,137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1,523,534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5,667,671</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40" w:hanging="43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shares of common stock of OncoMed.</w:t>
      </w:r>
    </w:p>
    <w:p>
      <w:pPr>
        <w:jc w:val="both"/>
        <w:ind w:left="640" w:right="80" w:hanging="436"/>
        <w:spacing w:after="0" w:line="234"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Represents shares of OncoMed common stock held and restricted stock units held by such individuals that may vest within 60 days of March 15, 2019, and options held by such individuals that are exercisable within 60 days of March 15, 2019. Includes shares held in the beneficial owner’s name or jointly with others, or in the name of a bank, nominee or trustee for the beneficial owner’s account. Reported numbers do not include restricted stock units or options that vest more than 60 days after March 15, 2019.</w:t>
      </w:r>
    </w:p>
    <w:p>
      <w:pPr>
        <w:spacing w:after="0" w:line="3" w:lineRule="exact"/>
        <w:rPr>
          <w:rFonts w:ascii="Arial" w:cs="Arial" w:eastAsia="Arial" w:hAnsi="Arial"/>
          <w:sz w:val="18"/>
          <w:szCs w:val="18"/>
          <w:color w:val="auto"/>
        </w:rPr>
      </w:pPr>
    </w:p>
    <w:p>
      <w:pPr>
        <w:ind w:left="640" w:right="460" w:hanging="436"/>
        <w:spacing w:after="0" w:line="234"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8, 2019 by PRIMECAP Management Company. The address of PRIMECAP Management Company is 177 E. Colorado Blvd., 11th Floor, Pasadena, CA 91105.</w:t>
      </w:r>
    </w:p>
    <w:p>
      <w:pPr>
        <w:spacing w:after="0" w:line="1"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reported on Schedule 13D filed with the SEC on March 15, 2019 by Biotechnology Value Fund, L.P. (“BVF”), Biotechnology Value Fund II, L.P. (“BVF2”), Biotechnology Value Trading Fund OS LP (“Trading Fund OS”), BVF Partners OS Ltd. (“Partners OS”), BVF Partners L.P. (“Partners”), BVF Inc., and Mark N. Lampert (“Mr. Lampert”). Partners OS as the general partner of Trading Fund OS may be deemed to beneficially own the 322,447 shares of OncoMed common stock beneficially owned by Trading Fund OS. Partners, as the general partner of BVF, BVF2, the investment manager of Trading Fund OS, and the sole member of Partners OS, may be deemed to beneficially own the 4,042,989 shares of OncoMed common stock beneficially owned in the aggregate by BVF, BVF2, Trading Fund OS, and certain Partners managed accounts (the “Partners Managed Accounts”), including 415,397 shares of OncoMed common stock held in the Partners Managed Accounts. BVF Inc., as the general partner of Partners, may be deemed to beneficially own the 4,042,989 shares of OncoMed common stock beneficially owned by Partners. Mr. Lampert, as a director and officer of BVF Inc., may be deemed to beneficially own the 4,042,989 shares of OncoMed common stock beneficially owned by BVF Inc. Partners OS disclaims beneficial ownership of the OncoMed common stock beneficially owned by Trading Fund OS. Each of Partners, BVF Inc. and Mr. Lampert disclaims beneficial ownership of the OncoMed common stock beneficially owned by BVF, BVF2, Trading Fund OS, and the Partners Managed Accounts. The address for BVF, BVF2, Partners, BVF Inc., and Mr. Lampert is 1 Sansome Street, 30th Floor, San Francisco, California 94104. The address for Trading Fund OS and Partners OS is PO Box 309 Ugland House, Grand Cayman, KY1-1104, Cayman Islands.</w:t>
      </w:r>
    </w:p>
    <w:p>
      <w:pPr>
        <w:spacing w:after="0" w:line="11" w:lineRule="exact"/>
        <w:rPr>
          <w:rFonts w:ascii="Arial" w:cs="Arial" w:eastAsia="Arial" w:hAnsi="Arial"/>
          <w:sz w:val="18"/>
          <w:szCs w:val="18"/>
          <w:color w:val="auto"/>
        </w:rPr>
      </w:pPr>
    </w:p>
    <w:p>
      <w:pPr>
        <w:ind w:left="640" w:right="160" w:hanging="436"/>
        <w:spacing w:after="0" w:line="234"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August 24, 2016 by Celgene Corporation. The address of Celgene Corporation is 86 Morris Avenue, Summit, New Jersey 07901.</w:t>
      </w:r>
    </w:p>
    <w:p>
      <w:pPr>
        <w:spacing w:after="0" w:line="1"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February 14, 2014 by GlaxoSmithKline plc, with respect to shares held by GlaxoSmithKline LLC. GlaxoSmithKline plc has sole voting and dispositive power over the shares held by GlaxoSmithKline LLC. The address of GlaxoSmithKline plc is 980 Great West Road, Brentford, Middlesex, TW8 9GS, England.</w:t>
      </w:r>
    </w:p>
    <w:p>
      <w:pPr>
        <w:spacing w:after="0" w:line="2" w:lineRule="exact"/>
        <w:rPr>
          <w:rFonts w:ascii="Arial" w:cs="Arial" w:eastAsia="Arial" w:hAnsi="Arial"/>
          <w:sz w:val="18"/>
          <w:szCs w:val="18"/>
          <w:color w:val="auto"/>
        </w:rPr>
      </w:pPr>
    </w:p>
    <w:p>
      <w:pPr>
        <w:ind w:left="640" w:right="80" w:hanging="436"/>
        <w:spacing w:after="0" w:line="236"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12, 2019 by Delphi Ventures VIII, L.P., a Delaware limited partnership (“DV VIII”), Delphi BioInvestments VIII, L.P., a Delaware limited partnership (“DBI VIII”), Delphi Management Partners VIII, L.L.C., a Delaware limited liability company (“DMP VIII”) and the general partner of DV VIII and DBI VIII, and James J. Bochnowski (“Bochnowski”), David L. Douglass (“Douglass”), Douglas A. Roeder (“Roeder”) and Deepika R. Pakianathan, Ph.D. (“Pakianathan”), the managing members of DMP VIII. DMP VIII is the general partner of DV VIII and DBI VIII and may be deemed to have sole power to vote and sole power to dispose of shares of the issuer directly owned by DV VIII and DBI VIII. Bochnowski, Douglass, Roeder and Pakianathan are the managing members of DMP VIII and may be deemed to have shared power to vote and shared power to dispose of the shares of the issuer directly owned by DV VIII and DBI VIII. Bochnowski, Douglass, Roeder and Pakianathan disclaim beneficial ownership of the reported securities directly owned by DV VIII and DBI VIII, except to the extent of any pecuniary interest therein. The address for such entities and persons is Delphi Ventures, 160 Bovet Rd., #408, San Mateo, CA 94402.</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20"/>
          </w:cols>
          <w:pgMar w:left="24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12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February 14, 2019 by HarbourVest Partners, LLC (“HarbourVest”), Dover VII Associates LLC (“Dover LLC”), Dover VII Associates L.P. (“Dover LP”) and Dover Street VII L.P. (“Dover Street”). HarbourVest is the managing member of Dover LLC, which is the general partner of Dover LP, which is the general partner of Dover Street. Each of HarbourVest, Dover LLC and Dover LP may be deemed to have a beneficial interest in the shares of OncoMed common stock held by Dover Street. Each of HarbourVest, Dover LLC, Dover LP and the members of the HarbourVest Investment Committee disclaim beneficial ownership of the shares held directly by Dover Street. The address for HarbourVest, Dover LLC, Dover LP and Dover Street is One Financial Center, Boston, MA 02111.</w:t>
      </w:r>
    </w:p>
    <w:p>
      <w:pPr>
        <w:spacing w:after="0" w:line="5" w:lineRule="exact"/>
        <w:rPr>
          <w:rFonts w:ascii="Arial" w:cs="Arial" w:eastAsia="Arial" w:hAnsi="Arial"/>
          <w:sz w:val="18"/>
          <w:szCs w:val="18"/>
          <w:color w:val="auto"/>
        </w:rPr>
      </w:pPr>
    </w:p>
    <w:p>
      <w:pPr>
        <w:ind w:left="640" w:right="18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14, 2019 by Perceptive Advisors LLC (“Perceptive Advisors”), Joseph Edelman (“Mr. Edelman”), and Perceptive Life Sciences Master Fund, Ltd. (the “Master Fund”).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 The address for such entities and persons is 51 Astor Place, 10th Floor, New York, NY 10003.</w:t>
      </w:r>
    </w:p>
    <w:p>
      <w:pPr>
        <w:spacing w:after="0" w:line="3" w:lineRule="exact"/>
        <w:rPr>
          <w:rFonts w:ascii="Arial" w:cs="Arial" w:eastAsia="Arial" w:hAnsi="Arial"/>
          <w:sz w:val="18"/>
          <w:szCs w:val="18"/>
          <w:color w:val="auto"/>
        </w:rPr>
      </w:pPr>
    </w:p>
    <w:p>
      <w:pPr>
        <w:ind w:left="640" w:right="32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111,181 shares held by John Allan Lewicki and Jenniffer Joan Lewicki, Trustees of the Lewicki Family Trust dated December 6, 2000 (“The Lewicki Trust”), (ii) 7,923 shares directly owned by Dr. Lewicki, and (iii) 378,407 shares that may be acquired pursuant to the exercise of stock options within 60 days of March 15, 2019 by Dr. Lewicki. Dr. Lewicki has shared voting and dispositive power over the shares held by The Lewicki Trust.</w:t>
      </w:r>
    </w:p>
    <w:p>
      <w:pPr>
        <w:spacing w:after="0" w:line="3"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62,136 shares directly owned by Ms. Li, and (ii) 182,583 shares that may be acquired pursuant to the exercise of stock options within 60 days of March 15, 2019 by Ms. Li.</w:t>
      </w:r>
    </w:p>
    <w:p>
      <w:pPr>
        <w:spacing w:after="0" w:line="1" w:lineRule="exact"/>
        <w:rPr>
          <w:rFonts w:ascii="Arial" w:cs="Arial" w:eastAsia="Arial" w:hAnsi="Arial"/>
          <w:sz w:val="18"/>
          <w:szCs w:val="18"/>
          <w:color w:val="auto"/>
        </w:rPr>
      </w:pPr>
    </w:p>
    <w:p>
      <w:pPr>
        <w:ind w:left="640" w:right="20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21,919 shares directly owned by Dr. Stagg, and (ii) 164,164 shares that may be acquired pursuant to the exercise of stock options within 60 days of March 15, 2019 by Dr. Stagg.</w:t>
      </w:r>
    </w:p>
    <w:p>
      <w:pPr>
        <w:spacing w:after="0" w:line="1" w:lineRule="exact"/>
        <w:rPr>
          <w:rFonts w:ascii="Arial" w:cs="Arial" w:eastAsia="Arial" w:hAnsi="Arial"/>
          <w:sz w:val="18"/>
          <w:szCs w:val="18"/>
          <w:color w:val="auto"/>
        </w:rPr>
      </w:pPr>
    </w:p>
    <w:p>
      <w:pPr>
        <w:ind w:left="640" w:right="20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31,753 shares directly owned by Dr. Hager, and (ii) 285,165 shares that may be acquired pursuant to the exercise of stock options within 60 days of March 15, 2019 by Dr. Hager.</w:t>
      </w:r>
    </w:p>
    <w:p>
      <w:pPr>
        <w:spacing w:after="0" w:line="1"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80,500 shares directly owned by Mr. Karsen, and (ii) 180,189 shares that may be acquired pursuant to the exercise of a stock option within 60 days of March 15, 2019 by Mr. Karsen.</w:t>
      </w:r>
    </w:p>
    <w:p>
      <w:pPr>
        <w:spacing w:after="0" w:line="1"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185,709 shares held directly by Mr. Lasersohn, (ii) 60,000 shares that may be acquired pursuant to the exercise of a stock option within 60 days of March 15, 2019 by Mr. Lasersohn, and (iii) 1,500,204 shares reported on Schedule 13G/A filed with the SEC on January 13, 2017 by Vertical Fund I, L.P. (“VFI”) and Vertical Fund II, L.P. (“VFII”). The Vertical Group, L.P., a Delaware limited partnership, is the sole general partner of each of VFI and VFII, and The Vertical Group GP, LLC, a Delaware limited liability company, controls The Vertical Group, L.P. Mr. Lasersohn is a member and manager of The Vertical Group GP, LLC. Mr. Lasersohn disclaims beneficial ownership of such shares except to the extent of his pecuniary interest therein. The address for such entities and persons is 106 Allen Road, Suite 207, Basking Ridge, New Jersey 07920.</w:t>
      </w:r>
    </w:p>
    <w:p>
      <w:pPr>
        <w:spacing w:after="0" w:line="5" w:lineRule="exact"/>
        <w:rPr>
          <w:rFonts w:ascii="Arial" w:cs="Arial" w:eastAsia="Arial" w:hAnsi="Arial"/>
          <w:sz w:val="18"/>
          <w:szCs w:val="18"/>
          <w:color w:val="auto"/>
        </w:rPr>
      </w:pPr>
    </w:p>
    <w:p>
      <w:pPr>
        <w:ind w:left="640" w:right="44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the shares described in Note (7) above, and (ii) 60,000 shares that may be acquired pursuant to the exercise of a stock option within 60 days of March 15, 2019 by Dr. Pakianathan.</w:t>
      </w:r>
    </w:p>
    <w:p>
      <w:pPr>
        <w:spacing w:after="0" w:line="1" w:lineRule="exact"/>
        <w:rPr>
          <w:rFonts w:ascii="Arial" w:cs="Arial" w:eastAsia="Arial" w:hAnsi="Arial"/>
          <w:sz w:val="18"/>
          <w:szCs w:val="18"/>
          <w:color w:val="auto"/>
        </w:rPr>
      </w:pPr>
    </w:p>
    <w:p>
      <w:pPr>
        <w:ind w:left="640" w:right="34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(i) 121,020 shares held directly by Dr. Root, and (ii) 60,000 shares that may be acquired pursuant to the exercise of a stock option within 60 days of March 15, 2019 by Dr. Root.</w:t>
      </w:r>
    </w:p>
    <w:p>
      <w:pPr>
        <w:spacing w:after="0" w:line="1" w:lineRule="exact"/>
        <w:rPr>
          <w:rFonts w:ascii="Arial" w:cs="Arial" w:eastAsia="Arial" w:hAnsi="Arial"/>
          <w:sz w:val="18"/>
          <w:szCs w:val="18"/>
          <w:color w:val="auto"/>
        </w:rPr>
      </w:pPr>
    </w:p>
    <w:p>
      <w:pPr>
        <w:ind w:left="640" w:right="560" w:hanging="436"/>
        <w:spacing w:after="0" w:line="234"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60,000 shares that may be acquired pursuant to the exercise of stock options within 60 days of March 15, 2019 by Mr. Winningham.</w:t>
      </w:r>
    </w:p>
    <w:p>
      <w:pPr>
        <w:spacing w:after="0" w:line="1" w:lineRule="exact"/>
        <w:rPr>
          <w:rFonts w:ascii="Arial" w:cs="Arial" w:eastAsia="Arial" w:hAnsi="Arial"/>
          <w:sz w:val="18"/>
          <w:szCs w:val="18"/>
          <w:color w:val="auto"/>
        </w:rPr>
      </w:pPr>
    </w:p>
    <w:p>
      <w:pPr>
        <w:ind w:left="640" w:right="200" w:hanging="436"/>
        <w:spacing w:after="0" w:line="246"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87,853 shares that may be acquired pursuant to the exercise of a stock option within 60 days of March 15, 2019 by Mr. Wyzga.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Includes: (i) 3,897,975 shares held by OncoMed’s non-employee directors and entities affiliated with certain of OncoMed’s directors, (ii) 246,162 shares held by OncoMed’s current executive officers, and (iii) 1,516,242 shares that may be acquired by OncoMed’s current executive officers and directors pursuant to the exercise of stock options within 60 days of March 15, 2019.</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240" w:top="460" w:right="5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342"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The following discussion describes the material U.S. federal income tax consequences of the Merger to U.S. Holders (as described below), as well as the material U.S. federal income tax consequences to U.S. Holders of owning and disposing of Mereo ADSs or Mereo Shares received in the Merger or with respect to a CVR.</w:t>
      </w:r>
    </w:p>
    <w:p>
      <w:pPr>
        <w:spacing w:after="0" w:line="203"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This discussion applies only to a U.S. Holder of OncoMed common stock that holds OncoMed common stock as a capital asset and that receives Mereo ADSs or Mereo Shares as Merger Consideration or with respect to a CVR and holds such Mereo ADSs or Mereo Shares as capital assets within the meaning of Section 1221 of the U.S. Internal Revenue Code of 1986, as amended (the “Code”) for U.S. federal income tax purposes. No state, local or non-U.S. tax considerations are addressed herein. In addition, this discussion does not address the tax consequences of transactions effectuated prior to or after the Merger (whether or not such transactions occur in connection with the Merger), nor does it address the tax consequences to holders of OncoMed common stock who exercise appraisal rights. Finally, this discussion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98" w:lineRule="exact"/>
        <w:rPr>
          <w:sz w:val="20"/>
          <w:szCs w:val="20"/>
          <w:color w:val="auto"/>
        </w:rPr>
      </w:pPr>
    </w:p>
    <w:p>
      <w:pPr>
        <w:ind w:left="960" w:hanging="432"/>
        <w:spacing w:after="0"/>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mutual funds, 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Mereo ADSs or Mereo Shares as part of a straddle, integrated transaction or similar transaction;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or entities or arrangements treated as partnerships for U.S. federal income tax purposes and their partners or investors;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including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received OncoMed common stock upon exercise of employee stock options or in other compensatory transactions, or persons receiving Mereo ADSs or Mereo Shares in exchange for OncoMed Options, OncoMed Units or otherwise as compensation;</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as qualified small business stock within the meaning of Sections 1202 and/or 1045 of the Code;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Mereo’s capital stock (by vote or value); or</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17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Mereo ADSs or Mereo Shares in connection with a trade or business outside the United States.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OncoMed common stock, Mereo ADSs or Mereo Shares, the U.S. federal income tax treatment of a partner will generally depend on the status of the partner and the activities of the partnership. Partnerships owning OncoMed common stock, Mereo ADSs or Mereo Shares and partners in such partnerships should consult their tax advisers as to the particular U.S. federal income tax consequences of the Merger and of owning and disposing of such securities.</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00"/>
          </w:cols>
          <w:pgMar w:left="24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used herein, a “U.S. Holder” is a beneficial owner of OncoMed common stock, Mereo ADSs or Mereo Shares that is, for U.S.</w:t>
      </w:r>
    </w:p>
    <w:p>
      <w:pPr>
        <w:ind w:left="200"/>
        <w:spacing w:after="0"/>
        <w:rPr>
          <w:sz w:val="20"/>
          <w:szCs w:val="20"/>
          <w:color w:val="auto"/>
        </w:rPr>
      </w:pPr>
      <w:r>
        <w:rPr>
          <w:rFonts w:ascii="Arial" w:cs="Arial" w:eastAsia="Arial" w:hAnsi="Arial"/>
          <w:sz w:val="18"/>
          <w:szCs w:val="18"/>
          <w:color w:val="auto"/>
        </w:rPr>
        <w:t>federal income tax purposes:</w:t>
      </w:r>
    </w:p>
    <w:p>
      <w:pPr>
        <w:spacing w:after="0" w:line="203" w:lineRule="exact"/>
        <w:rPr>
          <w:sz w:val="20"/>
          <w:szCs w:val="20"/>
          <w:color w:val="auto"/>
        </w:rPr>
      </w:pPr>
    </w:p>
    <w:p>
      <w:pPr>
        <w:ind w:left="960" w:hanging="432"/>
        <w:spacing w:after="0"/>
        <w:tabs>
          <w:tab w:leader="none" w:pos="960" w:val="left"/>
        </w:tabs>
        <w:numPr>
          <w:ilvl w:val="0"/>
          <w:numId w:val="1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jc w:val="both"/>
        <w:ind w:left="960" w:right="100" w:hanging="432"/>
        <w:spacing w:after="0" w:line="223" w:lineRule="auto"/>
        <w:tabs>
          <w:tab w:leader="none" w:pos="960" w:val="left"/>
        </w:tabs>
        <w:numPr>
          <w:ilvl w:val="0"/>
          <w:numId w:val="17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w:t>
      </w:r>
    </w:p>
    <w:p>
      <w:pPr>
        <w:spacing w:after="0" w:line="204"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This summary does not discuss any U.S. federal income tax considerations to persons who are not U.S. Holders (as described above), and non-U.S. Holders should consult their tax advisers as to the consequences under U.S. federal, state, local and non-U.S. tax laws with respect to the Merger and of receiving, owning and disposing of Mereo ADSs or Mereo Shares.</w:t>
      </w:r>
    </w:p>
    <w:p>
      <w:pPr>
        <w:spacing w:after="0" w:line="181" w:lineRule="exact"/>
        <w:rPr>
          <w:sz w:val="20"/>
          <w:szCs w:val="20"/>
          <w:color w:val="auto"/>
        </w:rPr>
      </w:pPr>
    </w:p>
    <w:p>
      <w:pPr>
        <w:ind w:left="200" w:right="40" w:firstLine="331"/>
        <w:spacing w:after="0" w:line="271" w:lineRule="auto"/>
        <w:rPr>
          <w:sz w:val="20"/>
          <w:szCs w:val="20"/>
          <w:color w:val="auto"/>
        </w:rPr>
      </w:pPr>
      <w:r>
        <w:rPr>
          <w:rFonts w:ascii="Arial" w:cs="Arial" w:eastAsia="Arial" w:hAnsi="Arial"/>
          <w:sz w:val="18"/>
          <w:szCs w:val="18"/>
          <w:b w:val="1"/>
          <w:bCs w:val="1"/>
          <w:i w:val="1"/>
          <w:iCs w:val="1"/>
          <w:color w:val="auto"/>
        </w:rPr>
        <w:t>All holders are urged to consult their tax advisers concerning the U.S. federal, state, local and non-U.S. tax consequences of the Merger and of receiving, owning and disposing of Mereo ADSs or Mereo Shares in their particular circumstances.</w:t>
      </w:r>
    </w:p>
    <w:p>
      <w:pPr>
        <w:spacing w:after="0" w:line="154" w:lineRule="exact"/>
        <w:rPr>
          <w:sz w:val="20"/>
          <w:szCs w:val="20"/>
          <w:color w:val="auto"/>
        </w:rPr>
      </w:pPr>
    </w:p>
    <w:p>
      <w:pPr>
        <w:ind w:left="200" w:right="3320"/>
        <w:spacing w:after="0" w:line="357" w:lineRule="auto"/>
        <w:rPr>
          <w:sz w:val="20"/>
          <w:szCs w:val="20"/>
          <w:color w:val="auto"/>
        </w:rPr>
      </w:pPr>
      <w:r>
        <w:rPr>
          <w:rFonts w:ascii="Arial" w:cs="Arial" w:eastAsia="Arial" w:hAnsi="Arial"/>
          <w:sz w:val="18"/>
          <w:szCs w:val="18"/>
          <w:b w:val="1"/>
          <w:bCs w:val="1"/>
          <w:color w:val="auto"/>
        </w:rPr>
        <w:t xml:space="preserve">Material U.S. Federal Income Tax Considerations of the Merger for OncoMed Stockholders </w:t>
      </w:r>
      <w:r>
        <w:rPr>
          <w:rFonts w:ascii="Arial" w:cs="Arial" w:eastAsia="Arial" w:hAnsi="Arial"/>
          <w:sz w:val="18"/>
          <w:szCs w:val="18"/>
          <w:b w:val="1"/>
          <w:bCs w:val="1"/>
          <w:i w:val="1"/>
          <w:iCs w:val="1"/>
          <w:color w:val="auto"/>
        </w:rPr>
        <w:t>General</w:t>
      </w:r>
    </w:p>
    <w:p>
      <w:pPr>
        <w:ind w:left="200" w:right="200" w:firstLine="331"/>
        <w:spacing w:after="0" w:line="238" w:lineRule="auto"/>
        <w:rPr>
          <w:sz w:val="20"/>
          <w:szCs w:val="20"/>
          <w:color w:val="auto"/>
        </w:rPr>
      </w:pPr>
      <w:r>
        <w:rPr>
          <w:rFonts w:ascii="Arial" w:cs="Arial" w:eastAsia="Arial" w:hAnsi="Arial"/>
          <w:sz w:val="18"/>
          <w:szCs w:val="18"/>
          <w:color w:val="auto"/>
        </w:rPr>
        <w:t>The exchange of OncoMed common stock for Merger Consideration in the Merger is expected to be, and this discussion assumes such exchange will be, a taxable transaction for U.S. federal income tax purposes. Assuming the Merger will be a taxable transaction for U.S. federal income tax purposes, the amount of gain or loss a holder of OncoMed common stock recognizes, and the timing and potentially the character of a portion of such gain or loss, depends in part on the U.S. federal income tax treatment of the CVRs, with respect to which there is substantial uncertainty.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receipt of the Merger Consideration may be treated as either an “open transaction” or a “closed transaction” for U.S. federal income tax purposes. There is no authority directly on point addressing whether a sale of property for, in whole or in part, contingent value rights with characteristics similar to the CVRs should be taxed as “open transactions” or “closed transactions,” and the issue is inherently factual in nature. Accordingly, U.S. Holders are urged to consult their tax advisers regarding this issue. The installment method of reporting will not be available with respect to any gain attributable to the receipt of a CVR because OncoMed common stock is traded on an established securities market.</w:t>
      </w:r>
    </w:p>
    <w:p>
      <w:pPr>
        <w:spacing w:after="0" w:line="205"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following sections discuss the tax consequences of the Merger if the receipt of the Merger Consideration is treated as an open transaction or, alternatively, as a closed transaction. You are urged to consult your tax adviser with respect to the tax considerations relating to the CVRs.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Consideration Received Upon the Closing of the Merger</w:t>
      </w:r>
    </w:p>
    <w:p>
      <w:pPr>
        <w:spacing w:after="0" w:line="85" w:lineRule="exact"/>
        <w:rPr>
          <w:sz w:val="20"/>
          <w:szCs w:val="20"/>
          <w:color w:val="auto"/>
        </w:rPr>
      </w:pPr>
    </w:p>
    <w:p>
      <w:pPr>
        <w:jc w:val="both"/>
        <w:ind w:left="200" w:right="340" w:firstLine="331"/>
        <w:spacing w:after="0"/>
        <w:rPr>
          <w:sz w:val="20"/>
          <w:szCs w:val="20"/>
          <w:color w:val="auto"/>
        </w:rPr>
      </w:pPr>
      <w:r>
        <w:rPr>
          <w:rFonts w:ascii="Arial" w:cs="Arial" w:eastAsia="Arial" w:hAnsi="Arial"/>
          <w:sz w:val="18"/>
          <w:szCs w:val="18"/>
          <w:color w:val="auto"/>
        </w:rPr>
        <w:t>Under either “open” or “closed” transaction treatment, gain or loss recognized in the transaction must be determined separately for each identifiable block of OncoMed common stock surrendered in the Merger (i.e., shares of OncoMed common stock acquired at the same cost in a single transaction).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20"/>
          </w:cols>
          <w:pgMar w:left="240" w:top="460"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Any such gain or loss will be long-term if OncoMed common stock is held for more than one year before such disposition. For U.S. Holders that are individuals, estates or trusts, long-term capital gain generally is taxed at preferential rates. The deductibility of both long-term and short-term capital loss is subject to certain limitations.</w:t>
      </w:r>
    </w:p>
    <w:p>
      <w:pPr>
        <w:spacing w:after="0" w:line="1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 xml:space="preserve">Treatment as Open Transaction. </w:t>
      </w:r>
      <w:r>
        <w:rPr>
          <w:rFonts w:ascii="Arial" w:cs="Arial" w:eastAsia="Arial" w:hAnsi="Arial"/>
          <w:sz w:val="18"/>
          <w:szCs w:val="18"/>
          <w:color w:val="auto"/>
        </w:rPr>
        <w:t>If the value of the CVRs cannot be “reasonably ascertained,” the receipt of the CVRs would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“open transaction.” If the receipt of the Merger Consideration is treated as an “open transaction” for U.S. federal income tax purposes, a U.S. Holder would generally recognize capital gain for U.S. federal income tax purposes in the year of the Merger if and to the extent the fair market value of the Mereo ADSs received upon the closing of the Merger exceeds such U.S. Holder’s adjusted tax basis in the OncoMed common stock surrendered pursuant to the Merger (but would not recognize loss for U.S. federal income tax purposes in the year of the Merger if such adjusted tax basis exceeds the fair market value of the Mereo ADSs received upon the closing of the Merger). Under such treatment, a U.S. Holder’s initial tax basis in the Mereo ADSs will equal the fair market value of the Mereo ADSs on the date of the closing of the Merger, and the holding period of the Mereo ADSs should begin on the day following the date of the closing of the Merger.</w:t>
      </w:r>
    </w:p>
    <w:p>
      <w:pPr>
        <w:spacing w:after="0" w:line="20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 U.S. Holder would take no tax basis in the CVRs but would, subject to the imputed interest rules discussed below, recognize capital gain as payments with respect to the CVRs are made or deemed made in accordance with the U.S. Holder’s regular method of accounting, but only to the extent the sum of such payments (and all previous payments under the CVRs), together with the amount of fair market value of the Mereo ADSs received upon closing of the Merger, exceeds such U.S. Holder’s adjusted tax basis in the OncoMed common stock surrendered pursuant to the Merger.</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Subject to the imputed interest rules discussed below, a U.S. Holder who does not receive an amount of Mereo ADSs and cash (if any) pursuant to the Merger (including for this purpose any ADSs or cash received as payments on the CVRs) at least equal to such U.S. Holder’s adjusted tax basis in the OncoMed common stock surrendered pursuant to the Merger will recognize a capital loss in the year that the U.S. Holder’s right to receive further payments under the CVRs terminates.</w:t>
      </w:r>
    </w:p>
    <w:p>
      <w:pPr>
        <w:spacing w:after="0" w:line="184"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i w:val="1"/>
          <w:iCs w:val="1"/>
          <w:color w:val="auto"/>
        </w:rPr>
        <w:t xml:space="preserve">Treatment as Closed Transaction. </w:t>
      </w:r>
      <w:r>
        <w:rPr>
          <w:rFonts w:ascii="Arial" w:cs="Arial" w:eastAsia="Arial" w:hAnsi="Arial"/>
          <w:sz w:val="18"/>
          <w:szCs w:val="18"/>
          <w:color w:val="auto"/>
        </w:rPr>
        <w:t>If the value of the CVRs can be “reasonably ascertained,” the transaction should generally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“closed” for U.S. federal income tax purposes, in which event a U.S. Holder should generally recognize capital gain or loss for U.S. federal income tax purposes upon closing of the Merger equal to the difference between (x) the sum of (i) the fair market value (determined as of the closing of the Merger) of the Mereo ADSs received upon the closing of the Merger and (ii) the fair market value</w:t>
      </w:r>
    </w:p>
    <w:p>
      <w:pPr>
        <w:ind w:left="200"/>
        <w:spacing w:after="0" w:line="238" w:lineRule="auto"/>
        <w:rPr>
          <w:sz w:val="20"/>
          <w:szCs w:val="20"/>
          <w:color w:val="auto"/>
        </w:rPr>
      </w:pPr>
      <w:r>
        <w:rPr>
          <w:rFonts w:ascii="Arial" w:cs="Arial" w:eastAsia="Arial" w:hAnsi="Arial"/>
          <w:sz w:val="18"/>
          <w:szCs w:val="18"/>
          <w:color w:val="auto"/>
        </w:rPr>
        <w:t>(determined as of the closing of the Merger) of the CVRs received, and (y) such U.S. Holder’s adjusted tax basis in the OncoMed common stock surrendered pursuant to the Merger. Mereo and its affiliates and OncoMed do not intend to obtain or report any valuation of the CVRs that may be used by OncoMed stockholders for this purpose, and the CVRs will not be listed on any exchange and may not be sold, assigned, pledged, encumbered or in any other manner transferred or disposed of, in whole or in part, except in the limited circumstances specified in the CVR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Payments on the CVRs</w:t>
      </w:r>
    </w:p>
    <w:p>
      <w:pPr>
        <w:spacing w:after="0" w:line="81" w:lineRule="exact"/>
        <w:rPr>
          <w:sz w:val="20"/>
          <w:szCs w:val="20"/>
          <w:color w:val="auto"/>
        </w:rPr>
      </w:pPr>
    </w:p>
    <w:p>
      <w:pPr>
        <w:ind w:left="200" w:right="100" w:firstLine="331"/>
        <w:spacing w:after="0" w:line="258" w:lineRule="auto"/>
        <w:rPr>
          <w:sz w:val="20"/>
          <w:szCs w:val="20"/>
          <w:color w:val="auto"/>
        </w:rPr>
      </w:pPr>
      <w:r>
        <w:rPr>
          <w:rFonts w:ascii="Arial" w:cs="Arial" w:eastAsia="Arial" w:hAnsi="Arial"/>
          <w:sz w:val="17"/>
          <w:szCs w:val="17"/>
          <w:i w:val="1"/>
          <w:iCs w:val="1"/>
          <w:color w:val="auto"/>
        </w:rPr>
        <w:t xml:space="preserve">Treatment as Open Transaction. </w:t>
      </w:r>
      <w:r>
        <w:rPr>
          <w:rFonts w:ascii="Arial" w:cs="Arial" w:eastAsia="Arial" w:hAnsi="Arial"/>
          <w:sz w:val="17"/>
          <w:szCs w:val="17"/>
          <w:color w:val="auto"/>
        </w:rPr>
        <w:t>If the transaction is treated as an “open transaction,” a payment pursuant to a CVR (whether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in Mereo ADSs) to a U.S. Holder of a CVR should be treated as a payment under a contract for the sale or exchange of OncoMed common stock. A portion of the payments made pursuant to a CVR may be treated as imputed interest, which would be ordinary income to the U.S. Holder of a CVR. The imputed interest amount would equal the excess of the amount of the CVR payment (i.e., the amount of cash paid or the fair market value of the Mereo ADSs issued) over its present value at the closing of the Merger, calculated using the applicable federal rate as the discount rate. A U.S. Holder must include in its taxable income imputed interest in accordance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00"/>
          </w:cols>
          <w:pgMar w:left="24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0"/>
        <w:spacing w:after="0"/>
        <w:rPr>
          <w:sz w:val="20"/>
          <w:szCs w:val="20"/>
          <w:color w:val="auto"/>
        </w:rPr>
      </w:pPr>
      <w:r>
        <w:rPr>
          <w:rFonts w:ascii="Arial" w:cs="Arial" w:eastAsia="Arial" w:hAnsi="Arial"/>
          <w:sz w:val="18"/>
          <w:szCs w:val="18"/>
          <w:color w:val="auto"/>
        </w:rPr>
        <w:t>with such U.S. Holder’s regular method of accounting. The portion of the payment pursuant to a CVR that is not treated as imputed interest would generally be treated as a payment with respect to the sale of OncoMed common stock, as discussed above under “Treatment of Consideration Received Upon Closing of the Merger—Treatment as Open Transaction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Except to the extent any portion of any payment pursuant to the CVRs is required to be treated as imputed interest, the parties to the CVR agreement will agree to treat the CVRs and all payments on the CVRs for all tax purposes as consideration for shares of OncoMed common stock pursuant to the Merger Agreement, and will not take any position to the contrary on any tax return or for other tax purposes except as required by applicable law.</w:t>
      </w:r>
    </w:p>
    <w:p>
      <w:pPr>
        <w:spacing w:after="0" w:line="184"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i w:val="1"/>
          <w:iCs w:val="1"/>
          <w:color w:val="auto"/>
        </w:rPr>
        <w:t xml:space="preserve">Treatment as Closed Transaction. </w:t>
      </w:r>
      <w:r>
        <w:rPr>
          <w:rFonts w:ascii="Arial" w:cs="Arial" w:eastAsia="Arial" w:hAnsi="Arial"/>
          <w:sz w:val="18"/>
          <w:szCs w:val="18"/>
          <w:color w:val="auto"/>
        </w:rPr>
        <w:t>If the transaction is treated as a “closed transaction,” there is no direct authority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treatment of holding and receiving payments with respect to property similar to the CVRs. Payments received with respect to a CVR, whether such payments are received in cash or in additional Mereo ADSs, up to the amount of the U.S. Holder’s adjusted tax basis in the CVR, may be treated as a non-taxable return of a U.S. Holder’s adjusted tax basis in the CVR, with any amount received in excess of basis treated as gain from the disposition of the CVR. Additionally, a portion of any payment received with respect to a CVR may constitute imputed interest. If not treated as described above, payments with respect to a CVR may be treated as either (i) payments with respect to a sale of a capital asset, (ii) ordinary income or (iii) dividends.</w:t>
      </w:r>
    </w:p>
    <w:p>
      <w:pPr>
        <w:spacing w:after="0" w:line="1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b w:val="1"/>
          <w:bCs w:val="1"/>
          <w:i w:val="1"/>
          <w:iCs w:val="1"/>
          <w:color w:val="auto"/>
        </w:rPr>
        <w:t>The U.S. federal income tax treatment of the CVRs is not certain. There is no legal authority directly addressing the U.S. federal income tax consequences of the receipt of CVRs or Mereo ADSs or cash in accordance with the terms of the CVRs, and U.S. Holders are urged to consult their tax advisers regarding the tax treatment of the issuance of the CVRs and any future payments under the CVRs. Neither Mereo nor OncoMed intends to seek a ruling from the IRS regarding the tax treatment of the CVRs. Due to the legal and factual uncertainty regarding the valuation and tax treatment of the CVRs, U.S. Holders are urged to consult their tax advisers concerning the recognition, timing and character of any gain or loss resulting from the Merger, including the receipt of the CVRs in the Merger, the tax consequences of the receipt of any payments in Mereo ADSs or cash under the CVRs after the Merger, and the determination of such U.S. Holder’s adjusted tax basis and holding period with respect to any Mereo ADSs received.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Consequences</w:t>
      </w:r>
    </w:p>
    <w:p>
      <w:pPr>
        <w:spacing w:after="0" w:line="99"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Additional U.S. federal income tax consequences of the Merger are described below under “Information Reporting and Backup Withholding.”</w:t>
      </w:r>
    </w:p>
    <w:p>
      <w:pPr>
        <w:spacing w:after="0" w:line="175" w:lineRule="exact"/>
        <w:rPr>
          <w:sz w:val="20"/>
          <w:szCs w:val="20"/>
          <w:color w:val="auto"/>
        </w:rPr>
      </w:pPr>
    </w:p>
    <w:p>
      <w:pPr>
        <w:ind w:left="200" w:firstLine="331"/>
        <w:spacing w:after="0" w:line="247" w:lineRule="auto"/>
        <w:rPr>
          <w:sz w:val="20"/>
          <w:szCs w:val="20"/>
          <w:color w:val="auto"/>
        </w:rPr>
      </w:pPr>
      <w:r>
        <w:rPr>
          <w:rFonts w:ascii="Arial" w:cs="Arial" w:eastAsia="Arial" w:hAnsi="Arial"/>
          <w:sz w:val="18"/>
          <w:szCs w:val="18"/>
          <w:b w:val="1"/>
          <w:bCs w:val="1"/>
          <w:i w:val="1"/>
          <w:iCs w:val="1"/>
          <w:color w:val="auto"/>
        </w:rPr>
        <w:t>We have not sought and will not seek any opinion of counsel or any ruling from the IRS with respect to the matters discussed herein. We urge U.S. Holders of shares of OncoMed common stock to consult their tax advisers with respect to the specific tax consequences to them in connection with the Merger in light of their own particular circumstances, including the tax consequences under state, local, non-U.S. and other tax laws.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 of Owning Mereo ADSs or Mereo Shares</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In general, if U.S. Holders own Mereo ADSs they will be treated as owning the underlying Mereo Shares represented by those Mereo ADSs for U.S. federal income tax purposes. Accordingly, no gain or loss will be recognized if a U.S. Holder exchanges Mereo ADSs for the underlying Mereo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00"/>
          </w:cols>
          <w:pgMar w:left="24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under “—Passive Foreign Investment Company Rules” below, distributions paid on Mereo ADSs or Mereo Shares, other than certain pro rata distributions of Mereo Shares, will be treated as dividends to the extent paid out of Mereo’s current or accumulated earnings and profits, as determined under U.S. federal income tax principles. Because Mereo does not maintain calculations of its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Non-corporate U.S. Holders should consult their tax advisers regarding the availability of this preferential rate in their particular circumstances.</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Mereo ADSs, the depositary’s, receipt. Dividends received generally will be income from non-U.S. sources, which may be relevant in calculating a U.S. Holder’s foreign tax credit limitation. The amount of any dividend income paid in pound sterling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dividend. A U.S. Holder may have foreign currency gain or loss if the dividend is converted into U.S. dollars after the date of receipt. U.S. Holders of Mereo ADSs should consult their tax advisers regarding the application of these rules to the amount of any dividend paid by Mereo in pound sterling that is converted into U.S. dollars by the depositary.</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8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under “—Passive Foreign Investment Company Rules” below, a U.S. Holder will generally recognize capital gain or loss on a sale or other taxable disposition of Mereo ADSs or Mereo Shares in an amount equal to the difference between the amount realized on the sale or disposition and the U.S. Holder’s tax basis in the Mereo ADSs or Mereo Shares disposed of, in each case as determined in U.S. dollars. A U.S. Holder’s tax basis in its Mereo ADSs or Mereo Shares generally will be equal to their fair market value on the closing date of the Merger. Except as described under “– Passive Foreign Investment Company Rules” below, any gain or loss will be long-term capital gain or loss if at the time of the sale or disposition the U.S. Holder has owned Mereo ADSs or Mereo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general, a non -U.S. corporation will be a PFIC for any taxable year in which (i) 75% or more of its gross income consists of passive income or (ii) 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assets shown on Mereo’s consolidated balance sheet (taking into account OncoMed assets acquired as a result of the Merger) are expected to include a significant amount of cash and cash equivalents for the foreseeable future. Therefore, whether Mereo will satisfy the assets test for the current or any future taxable year generally will depend largely on the quarterly value of Mereo’s goodwill, and on how quickly Mereo utilizes the cash in its business. Because (i) the value of Mereo’s goodwill may be determined by reference to the market price of the Mereo Shares or Mereo ADSs, which may be volatile given the nature and early stage of its business, (ii) Mereo expects to continue to hold a significant amount of cash, and (iii) a company’s PFIC status is an annual determination that can be made only after the end of each taxable year, Mereo cannot express a view as to whether it will be a PFIC for the current or any future taxable year. For the reasons described above, it is possible that Mereo may be a PFIC for its current or any future taxable year.</w:t>
      </w:r>
    </w:p>
    <w:p>
      <w:pPr>
        <w:spacing w:after="0" w:line="208"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If Mereo were a PFIC for any taxable year and any of its non-U.S. subsidiaries or other companies in which it owns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Generally, if Mereo is a PFIC for any taxable year during which a U.S. Holder holds Mereo ADSs or Mereo Shares, gain recognized upon a disposition (including, under certain circumstances, a pledge) of Mereo ADSs or Mereo Shares by the U.S. Holder will be allocated ratably over the U.S. Holder’s holding period for such Mereo ADSs or Mereo Shares. The amounts allocated to the taxable year of disposition and to years before Mereo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its Mereo ADSs or Mereo Shares exceeds 125% of the average of the annual distributions received on such securities during the preceding three years or the U.S. Holder’s holding period, whichever is shorter (an “excess distribution”), such excess distribution will be subject to taxation in the same manner.</w:t>
      </w:r>
    </w:p>
    <w:p>
      <w:pPr>
        <w:spacing w:after="0" w:line="20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Mereo is a PFIC for any taxable year during which a U.S. Holder owns Mereo ADSs or Mereo Shares, Mereo will generally continue to be treated as a PFIC with respect to such U.S. Holder for all succeeding years during which such U.S. Holder owns Mereo ADSs or Mereo Shares, even if Mereo ceases to meet the threshold requirements for PFIC status. If Mereo is a PFIC for any taxable year but ceases to be PFIC for subsequent years, U.S. Holders should consult their tax advisers regarding the advisability of making a “deemed sale” election that would allow them to eliminate the continuing PFIC status under certain circumstances.</w:t>
      </w:r>
    </w:p>
    <w:p>
      <w:pPr>
        <w:spacing w:after="0" w:line="203" w:lineRule="exact"/>
        <w:rPr>
          <w:sz w:val="20"/>
          <w:szCs w:val="20"/>
          <w:color w:val="auto"/>
        </w:rPr>
      </w:pPr>
    </w:p>
    <w:p>
      <w:pPr>
        <w:ind w:left="200" w:right="20" w:firstLine="331"/>
        <w:spacing w:after="0" w:line="252" w:lineRule="auto"/>
        <w:rPr>
          <w:sz w:val="20"/>
          <w:szCs w:val="20"/>
          <w:color w:val="auto"/>
        </w:rPr>
      </w:pPr>
      <w:r>
        <w:rPr>
          <w:rFonts w:ascii="Arial" w:cs="Arial" w:eastAsia="Arial" w:hAnsi="Arial"/>
          <w:sz w:val="17"/>
          <w:szCs w:val="17"/>
          <w:color w:val="auto"/>
        </w:rPr>
        <w:t xml:space="preserve">Alternatively, if Mereo is a PFIC and if Mereo ADSs or Mereo Shares are “regularly traded” on a “qualified exchange,” a U.S. Holder could make a mark-to-market election that would result in tax treatment different from the general tax treatment described in the preceding paragraphs. Mereo Shares would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Mereo Shares are traded on a qualified exchange on at least 15 days during each calendar quarter. The Nasdaq is a qualified exchange for this purpose. The IRS has not identified specific non-U.S. exchanges that are “qualified” for this purpose. If a U.S. Holder makes the mark-to-market election, the U.S. Holder generally will recognize as ordinary income any excess of the fair market value of the Mereo ADSs or Mereo Shares at the end of each taxable year over their adjusted tax basis, and will recognize an ordinary loss in respect of any excess of the adjusted tax basis of the Mereo ADSs or Mereo Shares over their fair market value at the end of the taxable year</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00"/>
          </w:cols>
          <w:pgMar w:left="24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(but only to the extent of the net amount of income previously included as a result of the mark-to-market election). If a U.S. Holder makes the election, the U.S. Holder’s tax basis in the Mereo ADSs or Mereo Shares will be adjusted to reflect these income or loss amounts. Any gain recognized on the sale or other disposition of Mereo ADSs or Mereo Shares in a year in which Mereo is a PFIC will be treated as ordinary income and any loss will be treated as an ordinary loss (but only to the extent of the net amount of income previously included as a result of the mark-to-market election). U.S. Holders will not be able to make a mark-to-market election with respect to Lower-tier PFICs, if any. U.S. Holders should consult their tax advisers as to the availability and desirability of a mark-to-market election in their particular circumstances if Mereo is a PFIC for any taxable year.</w:t>
      </w:r>
    </w:p>
    <w:p>
      <w:pPr>
        <w:spacing w:after="0" w:line="203"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A qualified electing fund election, if available, could materially affect the tax consequences of the ownership and disposition of Mereo ADSs or Mereo Shares if Mereo were a PFIC for any taxable year. However, Mereo does not intend to provide the information necessary for U.S. Holders to make qualified electing fund elections. Therefore, U.S. Holders will not be able to make such elections.</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a U.S. Holder owns Mereo ADSs or Mereo Shares during any year in which Mereo is a PFIC, the U.S. Holder generally will be required to file annual reports on IRS Form 8621 (or any successor form) with respect to us, generally with the U.S. Holder’s federal income tax return for that year. U.S. Holders should consult their tax advisers regarding Mereo’s PFIC status for any taxable year and the potential application of the PFIC rules to Mereo.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In general, cash payments made to U.S. Holders pursuant to a CVR, and payments of dividends and proceeds from the sale or other disposition of Mereo ADSs or Mereo Shares that are made within the United States or through certain U.S.-related financial intermediaries may be subject to information reporting and backup withholding, unless (i) the U.S. Holder is a corporation or other “exempt recipient” and</w:t>
      </w:r>
    </w:p>
    <w:p>
      <w:pPr>
        <w:spacing w:after="0" w:line="2" w:lineRule="exact"/>
        <w:rPr>
          <w:sz w:val="20"/>
          <w:szCs w:val="20"/>
          <w:color w:val="auto"/>
        </w:rPr>
      </w:pPr>
    </w:p>
    <w:p>
      <w:pPr>
        <w:ind w:left="200" w:firstLine="4"/>
        <w:spacing w:after="0"/>
        <w:tabs>
          <w:tab w:leader="none" w:pos="4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Mereo ADSs or Mereo Shares, or non-U.S. accounts through which Mereo ADSs or Mereo Shares are held. U.S. Holders should consult their tax advisers regarding their reporting obligations with respect to Mereo ADSs or Mereo Shares.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80"/>
          </w:cols>
          <w:pgMar w:left="24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U.K. TAX CONSIDERATIONS</w:t>
      </w:r>
    </w:p>
    <w:p>
      <w:pPr>
        <w:spacing w:after="0" w:line="34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following is a general summary of material U.K. tax considerations relating primarily to the ownership and disposal of Mereo ADSs. The comments set out below are based on current U.K. tax law as applied in England and Wales, and HM Revenue &amp; Customs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Mereo ADSs for the purposes of a trade, profession or vocation that you carry on in the U.K. through a branch, agency or permanent establishment in the U.K. and if you hold Mereo ADSs as an investment for U.K. tax purposes and are not subject to special rules.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summary does not address all possible tax consequences relating to an investment in Mereo ADSs. In particular it does not cover the U.K. inheritance tax consequences of holding Mereo ADSs. It assumes that DTC has not made an election under section 97A(1) of the Finance Act 1986. This summary is for general information only and is not intended to be, nor should it be considered to be, legal or tax advice to any particular holder. Holders of Mereo ADSs are strongly urged to consult their tax advisers in connection with the U.K. tax consequences of their investment in Mereo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Taxation of Dividends</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the Mereo Shares.</w:t>
      </w:r>
    </w:p>
    <w:p>
      <w:pPr>
        <w:spacing w:after="0" w:line="197"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Holders who hold their Mereo ADSs as an investment, who are not resident in the U.K. for U.K. tax purposes and who do not hold their Mereo ADSs in connection with any trade, profession or vocation carried on by them in the U.K. through a branch, agency or permanent establishment in the U.K. should not be subject to U.K. tax in respect of any dividends on the Mereo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Taxation of Capital Gains</w:t>
      </w:r>
    </w:p>
    <w:p>
      <w:pPr>
        <w:spacing w:after="0" w:line="85"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Mereo ADSs unless such holder carries on a trade, profession or vocation in the U.K. through a branch or agency in the U.K. to which the Mereo ADSs are attributable.</w:t>
      </w:r>
    </w:p>
    <w:p>
      <w:pPr>
        <w:spacing w:after="0" w:line="203"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Any such individual holder of Mereo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A corporate holder of Mereo ADSs which is not resident in the U.K. for U.K. tax purposes should not be liable for U.K. corporation tax on chargeable gains realized on the disposal of Mereo ADSs unless it carries on a trade in the U.K. through a permanent establishment in the U.K. to which the Mereo ADSs are attributable.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Withholding Tax in Respect of CVRs</w:t>
      </w:r>
    </w:p>
    <w:p>
      <w:pPr>
        <w:spacing w:after="0" w:line="8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is not expecting to withhold amounts for or on account of U.K. tax at source in respect of any payments made to CVR holders pursuant to the CVR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following statements apply to all holders, regardless of their jurisdiction of tax residence.</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i w:val="1"/>
          <w:iCs w:val="1"/>
          <w:color w:val="auto"/>
        </w:rPr>
        <w:t>It is assumed for the purposes of the following statements that all transfers or, or agreements to transfer, Mereo Shares are only made at times when (i) the Mereo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Mereo ADSs who propose to transfer, or agree to transfer, Mereo Shares during such time as these conditions are not met (including during any period between the creation and issue of the Mereo ADSs and the admission to trading of the Mereo Shares on AIM) are strongly urged to obtain their own advice.</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No stamp duty is payable on the issue of Mereo Shares into a depositary receipt system (such as, Mereo understands, that operated by Citibank) or a clearance service (such as, Mereo understands, DTC). No stamp duty reserve tax (“SDRT”) should be payable on the issue of Mereo Shares into a depositary receipt system or a clearance service. Accordingly, no stamp duty or SDRT should be payable on the creation and issue of Mereo ADSs pursuant to the issue of Mereo Shares to Citibank’s custodian.</w:t>
      </w:r>
    </w:p>
    <w:p>
      <w:pPr>
        <w:spacing w:after="0" w:line="202"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Mereo Shares into a depositary receipt system or a clearance service.</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No SDRT or stamp duty should be payable on paperless transfers of, or agreements to transfer, Mereo ADSs through the facilities of DTC.</w:t>
      </w:r>
    </w:p>
    <w:p>
      <w:pPr>
        <w:spacing w:after="0" w:line="197"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Mereo ADSs provided the instrument or agreement is executed and remains at all times outside the U.K. No SDRT should be payable in respect of agreements to transfer Mereo ADSs.</w:t>
      </w:r>
    </w:p>
    <w:p>
      <w:pPr>
        <w:spacing w:after="0" w:line="203"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Mereo Shares outside of a depositary receipt system or a clearance service.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80"/>
          </w:cols>
          <w:pgMar w:left="24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MEREO SHARES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was incorporated as a private limited company with the legal name Mereo BioPharma Group Limited under the laws of England and Wales on March 10, 2015 with the company number 09481161. On June 3, 2016, Mereo was re-registered as a public limited company with the legal name Mereo BioPharma Group plc. Mereo’s registered office is 4th Floor, One Cavendish Place, London, W1G 0QF, United Kingdom. The principal legislation under which Mereo operates and the Mereo Shares are issued is the U.K. Companies Act 2006.</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As of December 31, 2018, Mereo’s issued share capital was £213,721. The nominal value of the Mereo Shares is £0.003 per Mereo Share. Each issued Mereo Share is fully paid.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As of December 31, 2018, there were options to purchase 12,016,134 Mereo Shares outstanding under Mereo’s equity incentive plans with a weighted average exercise price of £1.47 per Mereo Share. The options generally lapse after 10 years from the date of the grant. As of December 31, 2018, there were nil-cost options to purchase 162,997 Mereo Shares outstanding under the 2016 DBSP, which generally lapse one year after vesting.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On June 3, 2016, Mereo issued 3,463,563 Novartis Notes to Novartis. As of the date of this proxy statement/prospectus, the outstanding principal and accrued interest on the Novartis Notes was £2,302,055, which may be converted into 1,041,654 Mereo Shares at a conversion price of £2.21 per Mereo Share at any time until they mature. In connection with any such conversion, Mereo is also obligated to issue a number of Bonus Shares equal to the number of shares into which the Novartis Notes are converted multiplied by</w:t>
      </w:r>
    </w:p>
    <w:p>
      <w:pPr>
        <w:spacing w:after="0" w:line="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0.93, up to a maximum of 1,453,520 Bonus Shares. To date, Mereo has issued 588,532 Bonus Shares. The Novartis Notes mature on March 2, 2021, at which time Mereo will be obligated to pay any outstanding principal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Mereo Shares:</w:t>
      </w:r>
    </w:p>
    <w:p>
      <w:pPr>
        <w:spacing w:after="0" w:line="239" w:lineRule="exact"/>
        <w:rPr>
          <w:sz w:val="20"/>
          <w:szCs w:val="20"/>
          <w:color w:val="auto"/>
        </w:rPr>
      </w:pPr>
    </w:p>
    <w:p>
      <w:pPr>
        <w:ind w:left="960" w:right="240" w:hanging="432"/>
        <w:spacing w:after="0" w:line="226"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Mereo Shares is entitled to one vote per Mereo Share at a meeting of shareholders (provided that certain shareholders each have its votes on a poll limited to 19.5% of the total voting share capital and any votes which would have otherwise been exercisable by Mereo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Mereo Shares shall be entitled to receive notice of, attend, speak, and vote at Mereo’s general meetings; and</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Mereo Shares are entitled to receive such dividends as are recommended by Mereo’s directors and declared by Mereo’s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Mereo is required by the U.K. Companies Act 2006 to keep a register of its shareholders. Under English law, the Mereo Shares are deemed to be issued when the name of the shareholder is entered in Mereo’s share register. The share register therefore is prima facie evidence of the identity of Mereo’s shareholders, and the shares that they hold. The share register generally provides limited, or no, information regarding the ultimate beneficial owners of Mereo Shares. Mereo’s share register is maintained by its registrar, Link Asset Services.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00"/>
          </w:cols>
          <w:pgMar w:left="240" w:top="460"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Holders of the Mereo ADSs will not be treated as shareholders and their names will therefore not be entered in Mereo’s share register. The depositary, the custodian or their nominees will be the holder of the Mereo Shares underlying Mereo ADSs. For a discussion of the Mereo ADSs and ADS holder rights see “Description of the Mereo ADSs” elsewhere in this proxy statement/prospectus. Holders of Mereo ADSs have a right to receive the Mereo Shares underlying their Mereo ADSs as discussed in “Description of the Mereo ADSs” elsewhere in this proxy statement/prospectus.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Under the U.K. Companies Act 2006, Mereo must enter an allotment of Mereo Shares in its share register as soon as practicable and in any event within two months of the allotment. Mereo will perform all procedures necessary to update the share register to reflect the Mereo Shares being issued in the Merger, including updating the share register with the number of Mereo Shares to be issued to the depositary upon the closing of the Merger. Mereo is also required by the U.K. Companies Act 2006 to register a transfer of Mereo Shares (or give the transferee notice of and reasons for refusal as the transferee may reasonably request)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any of Mereo’s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18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Mereo’s register of members; or</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8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Mereo has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Mereo’s shareholders upon its expiration (i.e., at least every five years). On June 2, 2016, Mereo’s shareholders approved the exclusion of preemptive rights for a period of five years from the date of the approval in respect of the allotment of up to a maximum amount of £350,000 of Mereo Shares of £0.003 each, which exclusion will need to be renewed upon expiration (i.e., at least every five years) to remain effective, but may be sought more frequently for additional five-year terms (or any shorter period).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description of Mereo’s articles of association (the “Articles”) as of the date hereof.</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Objects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Mereo’s company are unrestricted.</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Rights</w:t>
      </w:r>
    </w:p>
    <w:p>
      <w:pPr>
        <w:spacing w:after="0" w:line="95"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Subject to any special rights attaching to shares already in issue, Mereo Shares may be issued with or have attached to them any rights or restrictions as Mereo may resolve by ordinary resolution of the shareholders or failing such determination, as the board may determine.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Rights</w:t>
      </w:r>
    </w:p>
    <w:p>
      <w:pPr>
        <w:spacing w:after="0" w:line="9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Mereo’s share capital from time to time, the voting rights attaching to shares are as follows:</w:t>
      </w:r>
    </w:p>
    <w:p>
      <w:pPr>
        <w:spacing w:after="0" w:line="224" w:lineRule="exact"/>
        <w:rPr>
          <w:sz w:val="20"/>
          <w:szCs w:val="20"/>
          <w:color w:val="auto"/>
        </w:rPr>
      </w:pPr>
    </w:p>
    <w:p>
      <w:pPr>
        <w:ind w:left="960" w:right="180" w:hanging="432"/>
        <w:spacing w:after="0" w:line="218"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 provided that certain shareholders have their votes limited to 19.5% of the total voting share capital and any votes which would have otherwise been exercisable by them shall be deemed to be held and exercisable by the other shareholders, other than those shareholders subject to such cap whose voting rights have already been capped, on a pro rata basis.</w:t>
      </w:r>
    </w:p>
    <w:p>
      <w:pPr>
        <w:spacing w:after="0" w:line="203"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“Comparison of Shareholder Rights” elsewhere in this proxy statement/prospectus,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Restrictions on Voting</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such shareholder unless all sums payable by such shareholder in respect of that share have been paid.</w:t>
      </w:r>
    </w:p>
    <w:p>
      <w:pPr>
        <w:spacing w:after="0" w:line="197"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her or its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w:t>
      </w:r>
    </w:p>
    <w:p>
      <w:pPr>
        <w:spacing w:after="0" w:line="8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Mereo may, subject to the provisions of the U.K. Companies Act 2006 and Mereo’s Articles, by ordinary resolution of shareholders declare dividends out of profits available for distribution in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80"/>
          </w:cols>
          <w:pgMar w:left="240" w:top="459" w:right="4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accordance with the respective rights of shareholders but no such dividend shall exceed the amount recommended by the directors. The board may from time to time pay shareholders such interim dividends as appear to the board to be justified by Mereo’s financial position but, if at any time, Mereo’s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No dividend or other moneys payable by Mereo on or in respect of any share shall bear interest against Mereo unless otherwise provided by the rights attached to the share or the provisions of another agreement between the shareholder and Mereo.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Mereo Shares the right to elect to receive in lieu of a dividend, or part of a dividend, an allotment of Mereo Shares credited as fully paid up.</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of Control</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Mereo’s Articles that would have the effect of delaying, deferring, or preventing a change of control.</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Distributions on Winding Up</w:t>
      </w:r>
    </w:p>
    <w:p>
      <w:pPr>
        <w:spacing w:after="0" w:line="8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If Mereo is in liquidation, the liquidator may, if authorized by a special resolution of shareholders and any other authority required at law, divide among shareholders (excluding Mereo to the extent it is a shareholder by virtue only of holding treasury shares) in specie or in kind the whole or any part of Mereo’s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Mereo may be closed and Mereo dissolved), but no shareholder shall be compelled to accept any shares or other assets upon which there is any liability or potential liability.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Variation of Rights</w:t>
      </w:r>
    </w:p>
    <w:p>
      <w:pPr>
        <w:spacing w:after="0" w:line="81" w:lineRule="exact"/>
        <w:rPr>
          <w:sz w:val="20"/>
          <w:szCs w:val="20"/>
          <w:color w:val="auto"/>
        </w:rPr>
      </w:pPr>
    </w:p>
    <w:p>
      <w:pPr>
        <w:jc w:val="both"/>
        <w:ind w:left="200" w:right="500" w:firstLine="331"/>
        <w:spacing w:after="0"/>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20"/>
          </w:cols>
          <w:pgMar w:left="24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00"/>
        <w:spacing w:after="0" w:line="239" w:lineRule="auto"/>
        <w:rPr>
          <w:sz w:val="20"/>
          <w:szCs w:val="20"/>
          <w:color w:val="auto"/>
        </w:rPr>
      </w:pPr>
      <w:r>
        <w:rPr>
          <w:rFonts w:ascii="Arial" w:cs="Arial" w:eastAsia="Arial" w:hAnsi="Arial"/>
          <w:sz w:val="18"/>
          <w:szCs w:val="18"/>
          <w:color w:val="auto"/>
        </w:rPr>
        <w:t>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Alteration to Share Capital</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may, by ordinary resolution of shareholders, consolidate all or any of its share capital into shares of larger amount than Mereo’s existing shares, or sub-divide Mereo’s shares or any of them into shares of a smaller amount. Mereo may, by special resolution of shareholders, confirmed by the court, reduce Mereo’s share capital or any capital redemption reserve or any share premium account in any manner authorized by the U.K. Companies Act 2006. Mereo may redeem or purchase all or any of the Mereo Shares as described in “—Other U.K. Law Considerations—Purchase of Own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Preemption Rights</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In certain circumstances, Mereo’s shareholders may have statutory preemption rights under the U.K. Companies Act 2006 in respect of the allotment of new shares as described in “—Preemptive Rights” and “Comparison of Shareholder Rights”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8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Any shareholder holding shares in certificated form may transfer all or any such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Mereo’s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23"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00"/>
          </w:cols>
          <w:pgMar w:left="24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General Meetings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accordance with the U.K. Companies Act 2006, Mereo is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“Comparison of Shareholder Rights” elsewhere in this proxy statement/prospectus.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Notice of General Meetings</w:t>
      </w:r>
    </w:p>
    <w:p>
      <w:pPr>
        <w:spacing w:after="0" w:line="81"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“Comparison of Shareholder Rights” elsewhere in this proxy statement/prospectus.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Quorum of General Meetings</w:t>
      </w:r>
    </w:p>
    <w:p>
      <w:pPr>
        <w:spacing w:after="0" w:line="81"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 Meetings</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Directors</w:t>
      </w:r>
    </w:p>
    <w:p>
      <w:pPr>
        <w:spacing w:after="0" w:line="81"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Mereo may not have less than two directors on the board of directors and not more than nine. Mereo may, by ordinary resolution of the shareholders, vary the minimum and maximum number of directors from time to time.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Appointment of Directors</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Subject to the provisions of the Articles, Mereo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Mereo their willingness to be elected as a director not later than seven days before the general meeting at which the relevant resolution is proposed.</w:t>
      </w:r>
    </w:p>
    <w:p>
      <w:pPr>
        <w:spacing w:after="0" w:line="203"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such director must retire. In addition, a director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Directors’ Interests</w:t>
      </w:r>
    </w:p>
    <w:p>
      <w:pPr>
        <w:spacing w:after="0" w:line="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Mereo’s interests (other than a situation that cannot reasonably be regarded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00"/>
          </w:cols>
          <w:pgMar w:left="240" w:top="460"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likely to give rise to a conflict of interest or a conflict of interest arising in relation to a transaction or arrangement with Mereo), the board may authorize in accordance with the U.K. Companies Act 2006 the director’s interest and the continuing performance by the relevant director of his or her duties as a director on such terms as the board may determine.</w:t>
      </w:r>
    </w:p>
    <w:p>
      <w:pPr>
        <w:spacing w:after="0" w:line="203"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A director shall not be accountable to Mereo for any benefit which he derives from or in connection with a relationship involving a conflict of interest or possible conflict of interest which has been authorized by the directors or by Mereo in a general meeting and any such transaction or arrangement shall not be liable to be avoided on the grounds of any such benefit.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229" w:lineRule="exact"/>
        <w:rPr>
          <w:sz w:val="20"/>
          <w:szCs w:val="20"/>
          <w:color w:val="auto"/>
        </w:rPr>
      </w:pPr>
    </w:p>
    <w:p>
      <w:pPr>
        <w:ind w:left="960" w:right="420" w:hanging="432"/>
        <w:spacing w:after="0" w:line="218"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Mereo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00" w:right="260" w:hanging="426"/>
        <w:spacing w:after="0" w:line="218"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Mereo or any of its subsidiaries;</w:t>
      </w:r>
    </w:p>
    <w:p>
      <w:pPr>
        <w:spacing w:after="0" w:line="27" w:lineRule="exact"/>
        <w:rPr>
          <w:rFonts w:ascii="MS PGothic" w:cs="MS PGothic" w:eastAsia="MS PGothic" w:hAnsi="MS PGothic"/>
          <w:sz w:val="25"/>
          <w:szCs w:val="25"/>
          <w:color w:val="auto"/>
          <w:vertAlign w:val="superscript"/>
        </w:rPr>
      </w:pPr>
    </w:p>
    <w:p>
      <w:pPr>
        <w:ind w:left="1400" w:right="320" w:hanging="426"/>
        <w:spacing w:after="0" w:line="223"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Mereo or any of its subsidiaries, or to underwrite, sub-underwrite or guarantee an offer of any such shares or securities by Mereo or any of its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00" w:right="660" w:hanging="426"/>
        <w:spacing w:after="0" w:line="218"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available to employees and directors, or former employees and directors, of Mereo or any of its subsidiaries which do not provide special benefits for directors or former directors;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Mereo is empowered to purchase or maintain for directors or officers;</w:t>
      </w:r>
    </w:p>
    <w:p>
      <w:pPr>
        <w:spacing w:after="0" w:line="26" w:lineRule="exact"/>
        <w:rPr>
          <w:rFonts w:ascii="MS PGothic" w:cs="MS PGothic" w:eastAsia="MS PGothic" w:hAnsi="MS PGothic"/>
          <w:sz w:val="25"/>
          <w:szCs w:val="25"/>
          <w:color w:val="auto"/>
          <w:vertAlign w:val="superscript"/>
        </w:rPr>
      </w:pPr>
    </w:p>
    <w:p>
      <w:pPr>
        <w:ind w:left="1400" w:right="320" w:hanging="426"/>
        <w:spacing w:after="0" w:line="218"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or her duties;</w:t>
      </w:r>
    </w:p>
    <w:p>
      <w:pPr>
        <w:spacing w:after="0" w:line="27" w:lineRule="exact"/>
        <w:rPr>
          <w:rFonts w:ascii="MS PGothic" w:cs="MS PGothic" w:eastAsia="MS PGothic" w:hAnsi="MS PGothic"/>
          <w:sz w:val="25"/>
          <w:szCs w:val="25"/>
          <w:color w:val="auto"/>
          <w:vertAlign w:val="superscript"/>
        </w:rPr>
      </w:pPr>
    </w:p>
    <w:p>
      <w:pPr>
        <w:ind w:left="1400" w:right="120" w:hanging="426"/>
        <w:spacing w:after="0" w:line="223"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28" w:lineRule="exact"/>
        <w:rPr>
          <w:rFonts w:ascii="MS PGothic" w:cs="MS PGothic" w:eastAsia="MS PGothic" w:hAnsi="MS PGothic"/>
          <w:sz w:val="25"/>
          <w:szCs w:val="25"/>
          <w:color w:val="auto"/>
          <w:vertAlign w:val="superscript"/>
        </w:rPr>
      </w:pPr>
    </w:p>
    <w:p>
      <w:pPr>
        <w:ind w:left="1400" w:right="200" w:hanging="426"/>
        <w:spacing w:after="0" w:line="228" w:lineRule="auto"/>
        <w:tabs>
          <w:tab w:leader="none" w:pos="1400" w:val="left"/>
        </w:tabs>
        <w:numPr>
          <w:ilvl w:val="1"/>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her or its interest is derived) or of the voting rights available to shareholders of the relevant company.</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or she is not entitled to vote by reason of his or her interest.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00"/>
          </w:cols>
          <w:pgMar w:left="24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Directors’ Fees and Remuneration</w:t>
      </w:r>
    </w:p>
    <w:p>
      <w:pPr>
        <w:spacing w:after="0" w:line="95" w:lineRule="exact"/>
        <w:rPr>
          <w:sz w:val="20"/>
          <w:szCs w:val="20"/>
          <w:color w:val="auto"/>
        </w:rPr>
      </w:pPr>
    </w:p>
    <w:p>
      <w:pPr>
        <w:ind w:left="200" w:right="90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Mereo.</w:t>
      </w:r>
    </w:p>
    <w:p>
      <w:pPr>
        <w:spacing w:after="0" w:line="197"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Each director may be paid his or her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Mereo.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Indemnity</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Every director, officer or former director or officer of Mereo’s group may be indemnified against all costs, charges, losses, expenses and liabilities incurred by him or her in connection with any negligence, default, breach of duty, or breach of trust by him or her in relation to Mereo or in connection with Mereo’s activities as a trustee of an occupational pension scheme, in the actual or purported exercise of his or her powers or duties or otherwise as Mereo’s officer, to the extent permitted under the U.K. Companies Act 2006.</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Novartis Observer</w:t>
      </w:r>
    </w:p>
    <w:p>
      <w:pPr>
        <w:spacing w:after="0" w:line="81"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Mereo’s issued share capital, Novartis may appoint one observer who may attend, but not participate or vote in, any meeting of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U.K. Law Considerations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Notification of Voting Rights</w:t>
      </w:r>
    </w:p>
    <w:p>
      <w:pPr>
        <w:spacing w:after="0" w:line="9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Mereo of the percentage of his or her voting rights if the percentage of voting rights which 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Mereo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20"/>
          </w:cols>
          <w:pgMar w:left="24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compulsory acquisition any time prior to the end of those six weeks following which the offeror can execute a transfer of the outstanding shares in its favor and pay the consideration to Mereo,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 Out</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Mereo’s minority shareholders a right to be bought out in certain circumstances by an offeror who has made a takeover offer for all of the Mereo Shares. The holder of shares to which the offer relates, and who has not otherwise accepted the offer, may require the offeror to acquire such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such shareholder’s rights to be bought out, the offeror is required to acquire those shares on the terms of the offer or on such other terms as may be agreed.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Disclosure of Interest in Shares</w:t>
      </w:r>
    </w:p>
    <w:p>
      <w:pPr>
        <w:spacing w:after="0" w:line="81"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Pursuant to Part 22 of the U.K. Companies Act 2006, Mereo is empowered to give notice in writing to any person whom they know or have reasonable cause to believe to be interested in Mereo Shares, or to have been so interested at any time during the three years immediately preceding the date on which the notice is issued requiring such persons, within a reasonable time, to disclose to Mereo particulars of that person’s interest and (so far as is within such person’s knowledge) particulars of any other interest that subsists or subsisted in those shares.</w:t>
      </w:r>
    </w:p>
    <w:p>
      <w:pPr>
        <w:spacing w:after="0" w:line="20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Under Mereo’s Articles, if a person defaults in supplying Mereo with the required particulars in relation to the shares in question, or default shares, within the prescribed period, the directors may by notice direct that:</w:t>
      </w:r>
    </w:p>
    <w:p>
      <w:pPr>
        <w:spacing w:after="0" w:line="224" w:lineRule="exact"/>
        <w:rPr>
          <w:sz w:val="20"/>
          <w:szCs w:val="20"/>
          <w:color w:val="auto"/>
        </w:rPr>
      </w:pPr>
    </w:p>
    <w:p>
      <w:pPr>
        <w:ind w:left="960" w:right="20" w:hanging="432"/>
        <w:spacing w:after="0" w:line="218"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30"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Mereo without liability to pay interest and, in circumstances where an option to elect to receive Mereo Shares instead of cash in respect of any dividend is provided to Mereo’s shareholders, any notice of election to receive such Mereo Shares exercised in respect of the default shares shall not be effective and/or (b) no transfers by the relevant shareholder of any default shares may be registered (unless the shareholder himself is not in default, the relevant transfer is in respect of part only of such shareholder’s holding and the shareholder provides a certificate, in a form satisfactory to the directors, to the effect that after due and careful enquiry the shareholder is satisfied that none of the shares to be transferred is a default share); and</w:t>
      </w:r>
    </w:p>
    <w:p>
      <w:pPr>
        <w:spacing w:after="0" w:line="30"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are part only of the shareholder’s holding and the shareholder provides a certificate, in a form satisfactory to the directors, to the effect that after due and careful enquiry the shareholder is satisfied that none of the shares to be converted into uncertificated form is a default share.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20"/>
          </w:cols>
          <w:pgMar w:left="24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of Own Shares</w:t>
      </w:r>
    </w:p>
    <w:p>
      <w:pPr>
        <w:spacing w:after="0" w:line="9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above, Mereo may purchase its own shares in the manner prescribed below. Mereo may make a market purchase of its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 may purchase its own fully paid shares otherwise than on a recognized investment exchange pursuant to a purchase contract authorized by resolution of shareholders before the purchase takes place. Any authority will not be effective if any shareholder from whom Mereo proposes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Distributions and Dividends</w:t>
      </w:r>
    </w:p>
    <w:p>
      <w:pPr>
        <w:spacing w:after="0" w:line="8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Mereo and to each of its subsidiaries that has been incorporated under English law</w:t>
      </w:r>
    </w:p>
    <w:p>
      <w:pPr>
        <w:spacing w:after="0" w:line="205" w:lineRule="exact"/>
        <w:rPr>
          <w:sz w:val="20"/>
          <w:szCs w:val="20"/>
          <w:color w:val="auto"/>
        </w:rPr>
      </w:pPr>
    </w:p>
    <w:p>
      <w:pPr>
        <w:ind w:left="200" w:right="500" w:firstLine="331"/>
        <w:spacing w:after="0"/>
        <w:rPr>
          <w:sz w:val="20"/>
          <w:szCs w:val="20"/>
          <w:color w:val="auto"/>
        </w:rPr>
      </w:pPr>
      <w:r>
        <w:rPr>
          <w:rFonts w:ascii="Arial" w:cs="Arial" w:eastAsia="Arial" w:hAnsi="Arial"/>
          <w:sz w:val="18"/>
          <w:szCs w:val="18"/>
          <w:color w:val="auto"/>
        </w:rPr>
        <w:t>It is not sufficient that Mereo, as a public company, has made a distributable profit for the purpose of making a distribution. An additional capital maintenance requirement is imposed on Mereo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260" w:hanging="432"/>
        <w:spacing w:after="0" w:line="218"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City Code on Takeovers and Mergers</w:t>
      </w:r>
    </w:p>
    <w:p>
      <w:pPr>
        <w:spacing w:after="0" w:line="81" w:lineRule="exact"/>
        <w:rPr>
          <w:sz w:val="20"/>
          <w:szCs w:val="20"/>
          <w:color w:val="auto"/>
        </w:rPr>
      </w:pPr>
    </w:p>
    <w:p>
      <w:pPr>
        <w:ind w:left="200" w:right="200" w:firstLine="331"/>
        <w:spacing w:after="0" w:line="261" w:lineRule="auto"/>
        <w:rPr>
          <w:sz w:val="20"/>
          <w:szCs w:val="20"/>
          <w:color w:val="auto"/>
        </w:rPr>
      </w:pPr>
      <w:r>
        <w:rPr>
          <w:rFonts w:ascii="Arial" w:cs="Arial" w:eastAsia="Arial" w:hAnsi="Arial"/>
          <w:sz w:val="17"/>
          <w:szCs w:val="17"/>
          <w:color w:val="auto"/>
        </w:rPr>
        <w:t>As a public company incorporated in England and Wales with Mereo’s registered office in England and Wales which has shares admitted to AIM, Mereo is subject to the U.K. City Code, which is issued and administered by the U.K. Panel on Takeovers and Mergers (the “Panel”). The U.K. City Code provides a framework within which takeovers of companies subject to it are conducted. In particular,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80"/>
          </w:cols>
          <w:pgMar w:left="240" w:top="459" w:right="4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U.K. City Code contains certain rules in respect of mandatory offers. Under Rule 9 of the U.K. City Code, if a person:</w:t>
      </w:r>
    </w:p>
    <w:p>
      <w:pPr>
        <w:spacing w:after="0" w:line="239" w:lineRule="exact"/>
        <w:rPr>
          <w:sz w:val="20"/>
          <w:szCs w:val="20"/>
          <w:color w:val="auto"/>
        </w:rPr>
      </w:pPr>
    </w:p>
    <w:p>
      <w:pPr>
        <w:ind w:left="960" w:right="80" w:hanging="432"/>
        <w:spacing w:after="0" w:line="218" w:lineRule="auto"/>
        <w:tabs>
          <w:tab w:leader="none" w:pos="960" w:val="left"/>
        </w:tabs>
        <w:numPr>
          <w:ilvl w:val="0"/>
          <w:numId w:val="1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Mereo Shares which, when taken together with shares in which such person, or persons acting in concert with such person, are interested, carries 30% or more of the voting rights of Mereo’s share capital;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6" w:lineRule="auto"/>
        <w:tabs>
          <w:tab w:leader="none" w:pos="960" w:val="left"/>
        </w:tabs>
        <w:numPr>
          <w:ilvl w:val="0"/>
          <w:numId w:val="18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Mereo’s share capital, and such persons, or any person acting in concert with him, acquires additional interests in shares that increase the percentage of shares carrying voting rights in which that person is interested,</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the acquirer and, depending on the circumstances, their concert parties, would be required (except with the consent of the Panel) to make a cash offer for Mereo’s outstanding shares at a price not less than the highest price paid for any interests in the shares by the acquirer or its concert parties during the previous 12 months.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Exchange Controls</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Mereo Shares or Mereo ADSs, other than withholding tax requirements. There is no limitation imposed by English law or in the Articles on the right of non-residents to hold or vote shares.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20"/>
          </w:cols>
          <w:pgMar w:left="240" w:top="460"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MEREO ADSs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Citibank, N.A. (“Citibank”) has agreed to act as the depositary for the Mereo ADSs. Citibank’s depositary offices are located at 388 Greenwich Street, New York, New York 10013. Mereo ADSs represent ownership interests in securities that are on deposit with the depositary. Mereo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has appointed Citibank as depositary pursuant to a deposit agreement. A copy of the deposit agreement is on file with the SEC under cover of a registration statement on Form F-6. You may obtain a copy of the deposit agreement from the SEC’s website (www.sec.gov). Please refer to registration number 333-223890 when retrieving such copy.</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Mereo is providing you with a summary description of the material terms of the Mereo ADSs and of your material rights as an owner of Mereo ADSs. Please remember that summaries by their nature lack the precision of the information summarized and that the rights and obligations of an owner of Mereo ADSs will be determined by reference to the terms of the deposit agreement and not by this summary. Mereo urges you to review the deposit agreement in its entirety.</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Each Mereo ADS represents the right to receive, and to exercise the beneficial ownership interests in, five Mereo Shares that are on deposit with the depositary and/or custodian. A Mereo ADS also represents the right to receive, and to exercise the beneficial interests in, any other property received by the depositary or the custodian on behalf of the owner of the Mereo ADS but that has not been distributed to the owners of Mereo ADSs because of legal restrictions or practical considerations. Mereo and the depositary may agree to change the Mereo ADS-to-Mereo Share ratio by amending the deposit agreement. This amendment may give rise to, or change, the depositary fees payable by Mereo ADS owners. The custodian, the depositary and their respective nominees will hold all deposited property for the benefit of the holders and beneficial owners of Mereo ADSs. The deposited property does not constitute the proprietary assets of the depositary, the custodian or their nominees. Beneficial ownership in the deposited property will, under the terms of the deposit agreement, be vested in the beneficial owners of the Mereo ADSs. The depositary, the custodian and their respective nominees will be the record holders of the deposited property represented by the Mereo ADSs for the benefit of the holders and beneficial owners of the corresponding Mereo ADSs. A beneficial owner of Mereo ADSs may or may not be the holder of Mereo ADSs. Beneficial owners of Mereo ADSs will be able to receive, and to exercise beneficial ownership interests in, the deposited property only through the registered holders of the Mereo ADSs, the registered holders of the Mereo ADSs (on behalf of the applicable Mereo ADS owners) only through the depositary, and the depositary (on behalf of the owners of the corresponding Mereo ADSs) directly, or indirectly, through the custodian or their respective nominees, in each case upon the terms of the deposit agreement.</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If you become an owner of Mereo ADSs, you will become a party to the deposit agreement and therefore will be bound to its terms and to the terms of any ADR that represents your Mereo ADSs. The deposit agreement and the ADR specify Mereo’s rights and obligations as well as your rights and obligations as an owner of Mereo ADSs and those of the depositary. As a Mereo ADS holder you appoint the depositary to act on your behalf in certain circumstances. The deposit agreement and the ADRs are governed by New York law. However, Mereo’s obligations to the holders of Mereo Shares will continue to be governed by the laws of England and Wales, which may be different from the laws in the United States.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20"/>
          </w:cols>
          <w:pgMar w:left="24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Mereo, the depositary, the custodian or any of their respective agents or affiliates shall be required to take any actions whatsoever on your behalf to satisfy such reporting requirements or obtain such regulatory approvals under applicable laws and regulations.</w:t>
      </w:r>
    </w:p>
    <w:p>
      <w:pPr>
        <w:spacing w:after="0" w:line="202"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manner in which you own the Mereo ADSs (e.g., in a brokerage account vs. as registered holder, or as holder of certificated vs. uncertificated ADSs) may affect your rights and obligations, and the manner in which, and extent to which, the depositary’s services are made available to you. As an owner of Mereo ADSs, Mereo will not treat you as one of its shareholders and you will not have direct shareholder rights. The depositary will hold on your behalf the shareholder rights attached to the Mereo Shares underlying your Mereo ADSs. As an owner of Mereo ADSs you will be able to exercise the shareholders rights for the Mereo Shares represented by your Mereo ADSs through the depositary only to the extent contemplated in the deposit agreement. To exercise any shareholder rights not contemplated in the deposit agreement you will, as a Mereo ADS owner, need to arrange for the cancellation of your Mereo ADSs and become a direct shareholder.</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an owner of Mereo ADSs, you may hold your Mereo ADSs either by means of an ADR registered in your name, through a brokerage or safekeeping account, or through an account established by the depositary in your name reflecting the registration of uncertificated Mereo ADSs directly on the books of the depositary (commonly referred to as the direct registration system or DRS). The direct registration system reflects the uncertificated (book-entry) registration of ownership of Mereo ADSs by the depositary. Under the direct registration system, ownership of Mereo ADSs is evidenced by periodic statements issued by the depositary to the holders of the Mereo ADSs. The direct registration system includes automated transfers between the depositary and The Depository Trust Company (“DTC”), the central book-entry clearing and settlement system for equity securities in the United States. If you decide to hold your Mereo ADSs through your brokerage or safekeeping account, you must rely on the procedures of your broker or bank to assert your rights as a Mereo ADS owner. Banks and brokers typically hold securities such as the Mereo ADSs through clearing and settlement systems such as DTC. The procedures of such clearing and settlement systems may limit your ability to exercise your rights as an owner of Mereo ADSs. Please consult with your broker or bank if you have any questions concerning these limitations and procedures. All Mereo ADSs held through DTC will be registered in the name of a nominee of DTC. This summary description assumes you have opted to own the Mereo ADSs directly by means of a Mereo ADS registered in your name and, as such, Mereo will refer to you as the “holder.” When Mereo refers to “you,” Mereo assumes the reader owns Mereo ADSs and will own Mereo ADSs at the relevant time.</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registration of the Mereo Shares in the name of the depositary or the custodian shall, to the maximum extent permitted by applicable law, vest in the depositary or the custodian the record ownership in the applicable Mereo Shares with the beneficial ownership rights and interests in such Mereo Shares being at all times vested with the beneficial owners of the Mereo ADSs representing the Mereo Shares. The depositary or the custodian shall at all times be entitled to exercise the beneficial ownership rights in all deposited property, in each case only on behalf of the holders and beneficial owners of the Mereo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holder of Mereo ADSs, you generally have the right to receive the distributions Mereo makes on the securities deposited with the custodian. Your receipt of these distributions may be limited, however, by practical considerations and legal limitations. Holders of Mereo ADSs will receive such distributions under the terms of the deposit agreement in proportion to the number of Mereo ADSs held as of the specified record date, after deduction of applicable fees, taxes, and expenses.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180"/>
          </w:cols>
          <w:pgMar w:left="24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Whenever Mereo makes a cash distribution for the securities on deposit with the custodian, it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Mereo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85" w:lineRule="exact"/>
        <w:rPr>
          <w:sz w:val="20"/>
          <w:szCs w:val="20"/>
          <w:color w:val="auto"/>
        </w:rPr>
      </w:pPr>
    </w:p>
    <w:p>
      <w:pPr>
        <w:ind w:left="200" w:right="60" w:firstLine="331"/>
        <w:spacing w:after="0" w:line="255" w:lineRule="auto"/>
        <w:rPr>
          <w:sz w:val="20"/>
          <w:szCs w:val="20"/>
          <w:color w:val="auto"/>
        </w:rPr>
      </w:pPr>
      <w:r>
        <w:rPr>
          <w:rFonts w:ascii="Arial" w:cs="Arial" w:eastAsia="Arial" w:hAnsi="Arial"/>
          <w:sz w:val="17"/>
          <w:szCs w:val="17"/>
          <w:color w:val="auto"/>
        </w:rPr>
        <w:t>Whenever Mereo makes a free distribution of Mereo Shares for the securities on deposit with the custodian, it will deposit the applicable number of Mereo Shares with the custodian. Upon receipt of confirmation of such deposit, the depositary will either distribute to holders new Mereo ADSs representing the Mereo Shares deposited or modify the Mereo ADS-to-Mereo Shares ratio, in which case each Mereo ADS you hold will represent rights and interests in the additional Mereo Shares so deposited. Only whole new Mereo ADSs will be distributed. Fractional entitlements will be sold and the proceeds of such sale will be distributed as in the case of a cash distribution.</w:t>
      </w:r>
    </w:p>
    <w:p>
      <w:pPr>
        <w:spacing w:after="0" w:line="191"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distribution of new Mereo ADSs or the modification of the Mereo ADS-to-Mereo Shares ratio upon a distribution of Mereo Shares will be made net of the fees, expenses, taxes, and governmental charges payable by holders under the terms of the deposit agreement. In order to pay such taxes or governmental charges, the depositary may sell all or a portion of the new Mereo Shares so distributed.</w:t>
      </w:r>
    </w:p>
    <w:p>
      <w:pPr>
        <w:spacing w:after="0" w:line="185" w:lineRule="exact"/>
        <w:rPr>
          <w:sz w:val="20"/>
          <w:szCs w:val="20"/>
          <w:color w:val="auto"/>
        </w:rPr>
      </w:pPr>
    </w:p>
    <w:p>
      <w:pPr>
        <w:ind w:left="200" w:right="80" w:firstLine="331"/>
        <w:spacing w:after="0" w:line="251" w:lineRule="auto"/>
        <w:rPr>
          <w:sz w:val="20"/>
          <w:szCs w:val="20"/>
          <w:color w:val="auto"/>
        </w:rPr>
      </w:pPr>
      <w:r>
        <w:rPr>
          <w:rFonts w:ascii="Arial" w:cs="Arial" w:eastAsia="Arial" w:hAnsi="Arial"/>
          <w:sz w:val="18"/>
          <w:szCs w:val="18"/>
          <w:color w:val="auto"/>
        </w:rPr>
        <w:t>No such distribution of new Mereo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Mereo ADSs as described above, it may sell the Mereo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Mereo intends to distribute rights to subscribe for additional Mereo Shares, it will give prior notice to the depositary and it will assist the depositary in determining whether it is lawful and reasonably practicable to distribute rights to subscribe for additional Mereo ADSs to holders.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subscribe for additional Mereo ADSs to holders and to enable such holders to exercise such rights if it is lawful and reasonably practicable to make the rights available to holders of Mereo ADSs, and if Mereo provides all of the documentation contemplated in the deposit agreement (such as opinions to address the lawfulness of the transaction). You may have to pay fees, expenses, taxes and other governmental charges to subscribe for the new Mereo ADSs upon the exercise of your rights. The depositary is not obligated to establish procedures to facilitate the distribution and exercise by holders of rights to subscribe for new Mereo Shares other than in the form of Mereo ADSs.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8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timely request that the rights be distributed to you or Mereo requests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fails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9"/>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Whenever Mereo intends to distribute a dividend payable at the election of shareholders either in cash or in additional shares, it will give prior notice thereof to the depositary and will indicate whether Mereo wishes the elective distribution to be made available to you. In such case, Mereo will assist the depositary in determining whether such distribution is lawful and reasonably practicable.</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Mereo has provided all of the documentation contemplated in the deposit agreement. In such case, the depositary will establish procedures to enable you to elect to receive either cash or additional Mereo ADSs, in each case as described in the deposit agreement.</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Mereo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Mereo intends to distribute property other than cash, Mereo Shares, or rights to purchase additional Mereo Shares, it will notify the depositary in advance and will indicate whether it wishes such distribution to be made to you. If so, Mereo will assist the depositary in determining whether such distribution to holders is lawful and reasonably practicable.</w:t>
      </w:r>
    </w:p>
    <w:p>
      <w:pPr>
        <w:spacing w:after="0" w:line="203" w:lineRule="exact"/>
        <w:rPr>
          <w:sz w:val="20"/>
          <w:szCs w:val="20"/>
          <w:color w:val="auto"/>
        </w:rPr>
      </w:pPr>
    </w:p>
    <w:p>
      <w:pPr>
        <w:ind w:left="200" w:right="620" w:firstLine="331"/>
        <w:spacing w:after="0" w:line="275" w:lineRule="auto"/>
        <w:rPr>
          <w:sz w:val="20"/>
          <w:szCs w:val="20"/>
          <w:color w:val="auto"/>
        </w:rPr>
      </w:pPr>
      <w:r>
        <w:rPr>
          <w:rFonts w:ascii="Arial" w:cs="Arial" w:eastAsia="Arial" w:hAnsi="Arial"/>
          <w:sz w:val="17"/>
          <w:szCs w:val="17"/>
          <w:color w:val="auto"/>
        </w:rPr>
        <w:t>If it is reasonably practicable to distribute such property to you and if Mereo provides to the depositary all of the documentation contemplated in the deposit agreement, the depositary will distribute the property to the holders in a manner it deems practicable.</w:t>
      </w:r>
    </w:p>
    <w:p>
      <w:pPr>
        <w:spacing w:after="0" w:line="17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9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 not request that the property be distributed to you or if Mereo requests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00"/>
          </w:cols>
          <w:pgMar w:left="24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Whenever Mereo decides to redeem any of the securities on deposit with the custodian, it will notify the depositary in advance. If it is practicable and if Mereo provides all of the documentation contemplated in the deposit agreement, the depositary will provide notice of the redemption to the holders.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Mereo ADSs to the depositary. You may have to pay fees, expenses, taxes, and other governmental charges upon the redemption of your Mereo ADSs. If less than all Mereo ADSs are being redeemed, the Mereo ADSs to be retired will be selected by lot or on a pro rata basis, as the depositary may determine.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Mereo Shares</w:t>
      </w:r>
    </w:p>
    <w:p>
      <w:pPr>
        <w:spacing w:after="0" w:line="85" w:lineRule="exact"/>
        <w:rPr>
          <w:sz w:val="20"/>
          <w:szCs w:val="20"/>
          <w:color w:val="auto"/>
        </w:rPr>
      </w:pPr>
    </w:p>
    <w:p>
      <w:pPr>
        <w:jc w:val="both"/>
        <w:ind w:left="200" w:right="520" w:firstLine="331"/>
        <w:spacing w:after="0"/>
        <w:rPr>
          <w:sz w:val="20"/>
          <w:szCs w:val="20"/>
          <w:color w:val="auto"/>
        </w:rPr>
      </w:pPr>
      <w:r>
        <w:rPr>
          <w:rFonts w:ascii="Arial" w:cs="Arial" w:eastAsia="Arial" w:hAnsi="Arial"/>
          <w:sz w:val="18"/>
          <w:szCs w:val="18"/>
          <w:color w:val="auto"/>
        </w:rPr>
        <w:t>The Mereo Shares held on deposit for your Mereo ADSs may change from time to time. For example, there may be a change in nominal (or par) value, split-up, cancellation, consolidation, or any other reclassification of such Mereo Shares or a recapitalization, reorganization, merger, consolidation, or sale of assets of Mereo.</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any such change were to occur, your Mereo ADSs would, to the extent permitted by law and the deposit agreement, represent the right to receive the property received or exchanged in respect of the Mereo Shares held on deposit. The depositary may in such circumstances deliver new Mereo ADSs to you, amend the deposit agreement, the ADRs and the applicable registration statement(s) on Form F-6, call for the exchange of your existing Mereo ADSs for new Mereo ADSs and take any other actions that are appropriate to reflect as to the Mereo ADSs the change affecting the Mereo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Mereo ADSs upon Deposit of Mereo Shares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Upon completion of the Merger, the Mereo Shares being offered pursuant to this proxy statement/prospectus will be deposited by Mereo with the custodian. Upon receipt of confirmation of such deposit, the depositary will issue Mereo ADSs in accordance with the Merger Agreement. See “The Merger Agreement—Exchange Agent; Letter of Transmittal” elsewhere in this proxy statement/prospectus.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the closing of the Merger, the depositary may create Mereo ADSs on your behalf if you or your broker deposit Mereo Shares with the custodian. The depositary will deliver these Mereo ADSs to the person you indicate only after you pay any applicable issuance fees and any charges and taxes payable for the transfer of the Mereo Shares to the custodian. Your ability to deposit Mereo Shares and receive Mereo ADSs may be limited by the legal considerations in the United States and England and Wales applicable at the time of deposit.</w:t>
      </w:r>
    </w:p>
    <w:p>
      <w:pPr>
        <w:spacing w:after="0" w:line="203"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The issuance of Mereo ADSs may be delayed until the depositary or the custodian receives confirmation that all required approvals have been given and that the Mereo Shares have been duly transferred to the custodian. The depositary will only issue Mereo ADSs in whole numbers.</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When you make a deposit of Mereo Shares, you will be responsible for transferring good and valid title to the depositary. As such, you will be deemed to represent and warrant that:</w:t>
      </w:r>
    </w:p>
    <w:p>
      <w:pPr>
        <w:spacing w:after="0" w:line="224" w:lineRule="exact"/>
        <w:rPr>
          <w:sz w:val="20"/>
          <w:szCs w:val="20"/>
          <w:color w:val="auto"/>
        </w:rPr>
      </w:pPr>
    </w:p>
    <w:p>
      <w:pPr>
        <w:ind w:left="5560" w:right="2140" w:hanging="5032"/>
        <w:spacing w:after="0" w:line="365" w:lineRule="auto"/>
        <w:tabs>
          <w:tab w:leader="none" w:pos="956" w:val="left"/>
        </w:tabs>
        <w:numPr>
          <w:ilvl w:val="0"/>
          <w:numId w:val="1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are duly authorized, validly issued, fully paid, non-assessable, and legally obtained; 307</w:t>
      </w:r>
    </w:p>
    <w:p>
      <w:pPr>
        <w:sectPr>
          <w:pgSz w:w="11900" w:h="16838" w:orient="portrait"/>
          <w:cols w:equalWidth="0" w:num="1">
            <w:col w:w="11200"/>
          </w:cols>
          <w:pgMar w:left="24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Mereo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Mereo Shares;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presented for deposit are free and clear of any lien, encumbrance, security interest, charge, mortgage, or adverse claim, and are not, and the Mereo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presented for deposit have not been stripped of any rights or entitlements.</w:t>
      </w:r>
    </w:p>
    <w:p>
      <w:pPr>
        <w:spacing w:after="0" w:line="202"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If any of the representations or warranties is incorrect in any way, Mereo and the depositary may, at your cost and expense, take any and all actions necessary to correct the consequences of the misrepresentation.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9"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As an ADR holder, you will be entitled to transfer, combine, or split up your ADRs and the Mereo ADSs evidenced thereby. For transfers of ADRs, you will have to surrender the ADRs to be transferred to the depositary and also must:</w:t>
      </w:r>
    </w:p>
    <w:p>
      <w:pPr>
        <w:spacing w:after="0" w:line="188" w:lineRule="exact"/>
        <w:rPr>
          <w:sz w:val="20"/>
          <w:szCs w:val="20"/>
          <w:color w:val="auto"/>
        </w:rPr>
      </w:pPr>
    </w:p>
    <w:p>
      <w:pPr>
        <w:ind w:left="960" w:hanging="432"/>
        <w:spacing w:after="0"/>
        <w:tabs>
          <w:tab w:leader="none" w:pos="960" w:val="left"/>
        </w:tabs>
        <w:numPr>
          <w:ilvl w:val="0"/>
          <w:numId w:val="19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9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Mereo Shares Upon Cancellation of Mereo ADSs</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holder, you will be entitled to present your Mereo ADSs to the depositary for cancellation and then receive the corresponding number of underlying Mereo Shares at the custodian’s offices. Your ability to withdraw the Mereo Shares held in respect of the Mereo ADSs may be limited by the legal considerations in the United States and England and Wales applicable at the time of withdrawal. In order to withdraw the Mereo Shares represented by your Mereo ADSs, you will be required to pay to the depositary the fees for cancellation of Mereo ADSs and any charges and taxes payable upon the transfer of the Mereo Shares.</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You assume the risk for delivery of all funds and securities upon withdrawal. Once canceled, the Mereo ADSs will not have any rights under the deposit agreement.</w:t>
      </w:r>
    </w:p>
    <w:p>
      <w:pPr>
        <w:spacing w:after="0" w:line="19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hold Mereo ADSs registered in your name, the depositary may ask you to provide proof of identity and genuineness of any signature and such other documents as the depositary may deem appropriate before it will cancel your Mereo ADSs. The withdrawal of the Mereo Shares represented by your Mereo ADSs may be delayed until the depositary receives satisfactory evidence of compliance with all applicable laws and regulations. Please keep in mind that the depositary will only accept Mereo ADSs for cancellation that represent a whole number of securities on deposit.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220"/>
          </w:cols>
          <w:pgMar w:left="24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Mereo ADSs at any time except for:</w:t>
      </w:r>
    </w:p>
    <w:p>
      <w:pPr>
        <w:spacing w:after="0" w:line="239" w:lineRule="exact"/>
        <w:rPr>
          <w:sz w:val="20"/>
          <w:szCs w:val="20"/>
          <w:color w:val="auto"/>
        </w:rPr>
      </w:pPr>
    </w:p>
    <w:p>
      <w:pPr>
        <w:ind w:left="960" w:right="300" w:hanging="432"/>
        <w:spacing w:after="0" w:line="218"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Mereo Shares or Mereo ADSs are closed, or (ii) Mereo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Mereo ADSs or the withdrawal of securities on deposit.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Mereo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Mereo Shares represented by your Mereo ADSs. The voting rights of holders of Mereo Shares are described in “Description of the Mereo Shares and Articles of Association—Articles of Association” elsewhere in this proxy statement/prospectus.</w:t>
      </w:r>
    </w:p>
    <w:p>
      <w:pPr>
        <w:spacing w:after="0" w:line="203" w:lineRule="exact"/>
        <w:rPr>
          <w:sz w:val="20"/>
          <w:szCs w:val="20"/>
          <w:color w:val="auto"/>
        </w:rPr>
      </w:pPr>
    </w:p>
    <w:p>
      <w:pPr>
        <w:ind w:left="200" w:right="660" w:firstLine="331"/>
        <w:spacing w:after="0" w:line="275" w:lineRule="auto"/>
        <w:rPr>
          <w:sz w:val="20"/>
          <w:szCs w:val="20"/>
          <w:color w:val="auto"/>
        </w:rPr>
      </w:pPr>
      <w:r>
        <w:rPr>
          <w:rFonts w:ascii="Arial" w:cs="Arial" w:eastAsia="Arial" w:hAnsi="Arial"/>
          <w:sz w:val="17"/>
          <w:szCs w:val="17"/>
          <w:color w:val="auto"/>
        </w:rPr>
        <w:t>At Mereo’s request, the depositary will distribute to you any notice of shareholders’ meeting received from Mereo together with information explaining how to instruct the depositary to exercise the voting rights of the securities represented by Mereo ADSs.</w:t>
      </w:r>
    </w:p>
    <w:p>
      <w:pPr>
        <w:spacing w:after="0" w:line="17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the depositary timely receives voting instructions from a holder of Mereo ADSs, it will endeavor to vote the securities (in person or by proxy) represented by the holder’s Mereo ADSs as follows:</w:t>
      </w:r>
    </w:p>
    <w:p>
      <w:pPr>
        <w:spacing w:after="0" w:line="206" w:lineRule="exact"/>
        <w:rPr>
          <w:sz w:val="20"/>
          <w:szCs w:val="20"/>
          <w:color w:val="auto"/>
        </w:rPr>
      </w:pPr>
    </w:p>
    <w:p>
      <w:pPr>
        <w:ind w:left="960" w:right="80" w:hanging="432"/>
        <w:spacing w:after="0" w:line="230" w:lineRule="auto"/>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Mereo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100" w:hanging="432"/>
        <w:spacing w:after="0" w:line="227" w:lineRule="auto"/>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Mereo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Mereo ADSs. The depositary will give a discretionary proxy to a person designated by Mereo to vote any Mereo Shares held on deposit for which voting instructions were not received from the holders of Mereo ADSs, unless Mereo informs the depositary that (a) Mereo does not wish such proxy to be given,</w:t>
      </w:r>
    </w:p>
    <w:p>
      <w:pPr>
        <w:spacing w:after="0" w:line="1" w:lineRule="exact"/>
        <w:rPr>
          <w:rFonts w:ascii="MS PGothic" w:cs="MS PGothic" w:eastAsia="MS PGothic" w:hAnsi="MS PGothic"/>
          <w:sz w:val="25"/>
          <w:szCs w:val="25"/>
          <w:color w:val="auto"/>
          <w:vertAlign w:val="superscript"/>
        </w:rPr>
      </w:pPr>
    </w:p>
    <w:p>
      <w:pPr>
        <w:ind w:left="96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(b) substantial opposition exists, or (c) the rights of holders of Mereo ADSs may be adversely affected.</w:t>
      </w:r>
    </w:p>
    <w:p>
      <w:pPr>
        <w:spacing w:after="0" w:line="212"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Mereo cannot assure you that you will receive voting materials in time to enable you to return voting instructions to the depositary in a timely manner.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a Mereo ADS holder, you will be required to pay the following fees under the terms of the deposit agreement:</w:t>
      </w:r>
    </w:p>
    <w:p>
      <w:pPr>
        <w:sectPr>
          <w:pgSz w:w="11900" w:h="16838" w:orient="portrait"/>
          <w:cols w:equalWidth="0" w:num="1">
            <w:col w:w="11080"/>
          </w:cols>
          <w:pgMar w:left="240" w:top="459" w:right="579" w:bottom="1440" w:gutter="0" w:footer="0" w:header="0"/>
        </w:sect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394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7700" cy="394335"/>
                    </a:xfrm>
                    <a:prstGeom prst="rect">
                      <a:avLst/>
                    </a:prstGeom>
                    <a:noFill/>
                  </pic:spPr>
                </pic:pic>
              </a:graphicData>
            </a:graphic>
          </wp:anchor>
        </w:drawing>
      </w:r>
    </w:p>
    <w:p>
      <w:pPr>
        <w:spacing w:after="0" w:line="20" w:lineRule="exact"/>
        <w:rPr>
          <w:sz w:val="20"/>
          <w:szCs w:val="20"/>
          <w:color w:val="auto"/>
        </w:rPr>
      </w:pPr>
    </w:p>
    <w:p>
      <w:pPr>
        <w:ind w:left="380" w:hanging="179"/>
        <w:spacing w:after="0" w:line="234" w:lineRule="auto"/>
        <w:rPr>
          <w:sz w:val="20"/>
          <w:szCs w:val="20"/>
          <w:color w:val="auto"/>
        </w:rPr>
      </w:pPr>
      <w:r>
        <w:rPr>
          <w:rFonts w:ascii="Arial" w:cs="Arial" w:eastAsia="Arial" w:hAnsi="Arial"/>
          <w:sz w:val="18"/>
          <w:szCs w:val="18"/>
          <w:color w:val="auto"/>
        </w:rPr>
        <w:t>Issuance of Mereo ADSs (e.g., an issuance of Mereo ADSs upon a deposit of Mereo Shares, upon a change in the Mereo ADS-to-Mereo Shares ratio), excluding Mereo ADS issuances as a result of distributions of Mereo Shares</w:t>
      </w:r>
    </w:p>
    <w:p>
      <w:pPr>
        <w:spacing w:after="0" w:line="2" w:lineRule="exact"/>
        <w:rPr>
          <w:sz w:val="20"/>
          <w:szCs w:val="20"/>
          <w:color w:val="auto"/>
        </w:rPr>
      </w:pPr>
    </w:p>
    <w:p>
      <w:pPr>
        <w:ind w:left="380" w:right="240" w:hanging="179"/>
        <w:spacing w:after="0" w:line="234" w:lineRule="auto"/>
        <w:rPr>
          <w:sz w:val="20"/>
          <w:szCs w:val="20"/>
          <w:color w:val="auto"/>
        </w:rPr>
      </w:pPr>
      <w:r>
        <w:rPr>
          <w:rFonts w:ascii="Arial" w:cs="Arial" w:eastAsia="Arial" w:hAnsi="Arial"/>
          <w:sz w:val="18"/>
          <w:szCs w:val="18"/>
          <w:color w:val="auto"/>
        </w:rPr>
        <w:t>Cancellation of Mereo ADSs (e.g., a cancellation of Mereo ADSs for delivery of deposited property, upon a change in the Mereo ADS-to-Mereo Shares ratio, or for any other reason)</w:t>
      </w:r>
    </w:p>
    <w:p>
      <w:pPr>
        <w:spacing w:after="0" w:line="2" w:lineRule="exact"/>
        <w:rPr>
          <w:sz w:val="20"/>
          <w:szCs w:val="20"/>
          <w:color w:val="auto"/>
        </w:rPr>
      </w:pPr>
    </w:p>
    <w:p>
      <w:pPr>
        <w:ind w:left="380" w:right="140" w:hanging="179"/>
        <w:spacing w:after="0" w:line="234"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2571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jc w:val="center"/>
        <w:ind w:left="200" w:right="600"/>
        <w:spacing w:after="0" w:line="234" w:lineRule="auto"/>
        <w:rPr>
          <w:sz w:val="20"/>
          <w:szCs w:val="20"/>
          <w:color w:val="auto"/>
        </w:rPr>
      </w:pPr>
      <w:r>
        <w:rPr>
          <w:rFonts w:ascii="Arial" w:cs="Arial" w:eastAsia="Arial" w:hAnsi="Arial"/>
          <w:sz w:val="18"/>
          <w:szCs w:val="18"/>
          <w:color w:val="auto"/>
        </w:rPr>
        <w:t>Distribution of Mereo ADSs pursuant to (i) stock dividends or other free stock distributions, or (ii) exercise of rights to purchase additional Mereo ADSs</w:t>
      </w:r>
    </w:p>
    <w:p>
      <w:pPr>
        <w:spacing w:after="0" w:line="2" w:lineRule="exact"/>
        <w:rPr>
          <w:sz w:val="20"/>
          <w:szCs w:val="20"/>
          <w:color w:val="auto"/>
        </w:rPr>
      </w:pPr>
    </w:p>
    <w:p>
      <w:pPr>
        <w:ind w:left="380" w:right="360" w:hanging="179"/>
        <w:spacing w:after="0" w:line="234" w:lineRule="auto"/>
        <w:rPr>
          <w:sz w:val="20"/>
          <w:szCs w:val="20"/>
          <w:color w:val="auto"/>
        </w:rPr>
      </w:pPr>
      <w:r>
        <w:rPr>
          <w:rFonts w:ascii="Arial" w:cs="Arial" w:eastAsia="Arial" w:hAnsi="Arial"/>
          <w:sz w:val="18"/>
          <w:szCs w:val="18"/>
          <w:color w:val="auto"/>
        </w:rPr>
        <w:t>Distribution of securities other than Mereo ADSs or rights to purchase additional Mereo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2571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Mereo ADS Services</w:t>
      </w:r>
    </w:p>
    <w:p>
      <w:pPr>
        <w:spacing w:after="0" w:line="200" w:lineRule="exact"/>
        <w:rPr>
          <w:sz w:val="20"/>
          <w:szCs w:val="20"/>
          <w:color w:val="auto"/>
        </w:rPr>
      </w:pPr>
    </w:p>
    <w:p>
      <w:pPr>
        <w:spacing w:after="0" w:line="201" w:lineRule="exact"/>
        <w:rPr>
          <w:sz w:val="20"/>
          <w:szCs w:val="20"/>
          <w:color w:val="auto"/>
        </w:rPr>
      </w:pPr>
    </w:p>
    <w:p>
      <w:pPr>
        <w:ind w:left="380" w:right="260" w:hanging="179"/>
        <w:spacing w:after="0" w:line="234" w:lineRule="auto"/>
        <w:rPr>
          <w:sz w:val="20"/>
          <w:szCs w:val="20"/>
          <w:color w:val="auto"/>
        </w:rPr>
      </w:pPr>
      <w:r>
        <w:rPr>
          <w:rFonts w:ascii="Arial" w:cs="Arial" w:eastAsia="Arial" w:hAnsi="Arial"/>
          <w:sz w:val="18"/>
          <w:szCs w:val="18"/>
          <w:color w:val="auto"/>
        </w:rPr>
        <w:t>Registration of Mereo ADS Transfers (e.g., upon a registration of the transfer of registered ownership of Mereo ADSs, upon a transfer of Mereo ADSs into DTC and vice versa,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-383540</wp:posOffset>
            </wp:positionV>
            <wp:extent cx="6997700" cy="3860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jc w:val="both"/>
        <w:ind w:left="380" w:right="220" w:hanging="179"/>
        <w:spacing w:after="0" w:line="239" w:lineRule="auto"/>
        <w:rPr>
          <w:sz w:val="20"/>
          <w:szCs w:val="20"/>
          <w:color w:val="auto"/>
        </w:rPr>
      </w:pPr>
      <w:r>
        <w:rPr>
          <w:rFonts w:ascii="Arial" w:cs="Arial" w:eastAsia="Arial" w:hAnsi="Arial"/>
          <w:sz w:val="18"/>
          <w:szCs w:val="18"/>
          <w:color w:val="auto"/>
        </w:rPr>
        <w:t>Conversion of Mereo ADSs of one series for Mereo ADSs of another series (e.g., upon conversion of Partial Entitlement ADSs for Full Entitlement ADSs, or upon conversion of Restricted ADSs (each as defined in the Deposit Agreement) into freely transferable Mereo ADSs, and vice versa)</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Fee</w:t>
      </w:r>
    </w:p>
    <w:p>
      <w:pPr>
        <w:spacing w:after="0" w:line="24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issued</w:t>
      </w:r>
    </w:p>
    <w:p>
      <w:pPr>
        <w:spacing w:after="0" w:line="183"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cancelled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Up to $5.00 per 100 Mereo ADSs (or fraction thereof) held on the applicable record date(s) established by the depositary</w:t>
      </w:r>
    </w:p>
    <w:p>
      <w:pPr>
        <w:spacing w:after="0" w:line="1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transferred</w:t>
      </w:r>
    </w:p>
    <w:p>
      <w:pPr>
        <w:spacing w:after="0" w:line="38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converted</w:t>
      </w:r>
    </w:p>
    <w:p>
      <w:pPr>
        <w:spacing w:after="0" w:line="197" w:lineRule="exact"/>
        <w:rPr>
          <w:sz w:val="20"/>
          <w:szCs w:val="20"/>
          <w:color w:val="auto"/>
        </w:rPr>
      </w:pPr>
    </w:p>
    <w:p>
      <w:pPr>
        <w:sectPr>
          <w:pgSz w:w="11900" w:h="16838" w:orient="portrait"/>
          <w:cols w:equalWidth="0" w:num="2">
            <w:col w:w="6920" w:space="120"/>
            <w:col w:w="4040"/>
          </w:cols>
          <w:pgMar w:left="24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As a Mereo ADS holder you will also be responsible to pay certain charges such as:</w:t>
      </w:r>
    </w:p>
    <w:p>
      <w:pPr>
        <w:spacing w:after="0" w:line="203" w:lineRule="exact"/>
        <w:rPr>
          <w:sz w:val="20"/>
          <w:szCs w:val="20"/>
          <w:color w:val="auto"/>
        </w:rPr>
      </w:pPr>
    </w:p>
    <w:p>
      <w:pPr>
        <w:ind w:left="960" w:hanging="432"/>
        <w:spacing w:after="0"/>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Mereo Shares on the share register and applicable to transfers of Mereo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Mereo Shares, Mereo ADSs, and ADRs; and</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ADS fees and charges for (i) the issuance of Mereo ADSs, and (ii) the cancellation of Mereo ADSs are charged to the person for whom the Mereo ADSs are issued (in the case of Mereo ADS</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080"/>
          </w:cols>
          <w:pgMar w:left="240" w:top="459" w:right="579" w:bottom="1440"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issuances) and to the person for whose Mereo ADSs are cancelled (in the case of Mereo ADS cancellations). In the case of Mereo ADSs issued by the depositary into DTC, the Mereo ADS issuance and cancellation fees and charges may be deducted from distributions made through DTC, and may be charged to the DTC participant(s) receiving the Mereo ADSs being issued or the DTC participant(s) holding the Mereo ADSs being cancelled, as the case may be, on behalf of the beneficial owner(s) and will be charged by the DTC participant(s) to the account of the applicable beneficial owner(s) in accordance with the procedures and practices of the DTC participants as in effect at the time. Mereo ADS fees and charges in respect of distributions and the Mereo ADS service fee are charged to the holders as of the applicable Mereo ADS record date. In the case of distributions of cash, the amount of the applicable Mereo ADS fees and charges is deducted from the funds being distributed. In the case of (i) distributions other than cash and (ii) the Mereo ADS service fee, holders as of the Mereo ADS record date will be invoiced for the amount of the Mereo ADS fees and charges and such Mereo ADS fees and charges may be deducted from distributions made to holders of Mereo ADSs. For Mereo ADSs held through DTC, the Mereo ADS fees and charges for distributions other than cash and the Mereo ADS service fee may be deducted from distributions made through DTC, and may be charged to the DTC participants in accordance with the procedures and practices prescribed by DTC and the DTC participants in turn charge the amount of such Mereo ADS fees and charges to the beneficial owners for whom they hold Mereo ADSs. In the case of (i) registration of Mereo ADS transfers, the Mereo ADS transfer fee will be payable by the Holders of Mereo ADS whose Mereo ADSs are being transferred or by the person to whom the Mereo ADSs are transferred, and (ii) conversion of Mereo ADSs of one series for Mereo ADSs of another series, the Mereo ADS conversion fee will be payable by the Holder whose Mereo ADSs are converted or by the person to whom the converted Mereo ADSs are delivered.</w:t>
      </w:r>
    </w:p>
    <w:p>
      <w:pPr>
        <w:spacing w:after="0" w:line="214"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Mereo ADS holder. Certain of the depositary fees and charges (such as the Mereo ADS services fee) may become payable shortly after the closing of the Merger. Note that the fees and charges you may be required to pay may vary over time and may be changed by Mereo and by the depositary. You will receive prior notice of such changes. The depositary may reimburse Mereo for certain expenses incurred by Mereo in respect of the ADR program, by making available a portion of the Mereo ADS fees charged in respect of the ADR program or otherwise, upon such terms and conditions as Mereo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may agree with the depositary to modify the deposit agreement at any time without your consent. Mereo undertakes to give holders 30 days’ prior notice of any modifications that would materially prejudice any of their substantial rights under the deposit agreement. Mereo will not consider to be materially prejudicial to your substantial rights any modifications or supplements that are reasonably necessary for the Mereo ADSs to be registered under the Securities Act or to be eligible for book-entry settlement, in each case without imposing or increasing the fees and charges you are required to pay. In addition, Mereo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Mereo ADSs after the modifications to the deposit agreement become effective. The deposit agreement cannot be amended to prevent you from withdrawing the Mereo Shares represented by your Mereo ADSs (except as permitted by law).</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Mereo has the right to direct the depositary to terminate the deposit agreement. Similarly, the depositary may in certain circumstances on its own initiative terminate the deposit agreement. In either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00"/>
          </w:cols>
          <w:pgMar w:left="24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case, the depositary must give notice to the holders at least 30 days before termination. Until termination, your rights under the deposit agreement will be unaffected.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Mereo ADSs) and may sell the securities held on deposit. After the sale, the depositary will hold the proceeds from such sale and any other funds then held for the holders of Mereo ADSs in a non-interest bearing account. At that point, the depositary will have no further obligations to holders other than to account for the funds then held for the holders of Mereo ADSs still outstanding (after deduction of applicable fees, taxes and expenses).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connection with any termination of the deposit agreement, the depositary may, independently and without the need for any action by Mereo, make available to owners of Mereo ADSs a means to withdraw the Mereo Shares and other deposited securities represented by their Mereo ADSs and to direct the depositary of such Mereo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The depositary will maintain Mereo ADS holder records at its depositary office. You may inspect such records at such office during regular business hours but solely for the purpose of communicating with other holders in the interest of business matters relating to the Mereo ADSs and the deposit agreement.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Mereo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Mereo as a holder of deposited securities that Mereo makes generally available to holders of deposited securities. Subject to the terms of the deposit agreement, the depositary will send you copies of those communications or otherwise make those communications available to you if Mereo asks it to.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Mereo’s obligations and the depositary’s obligations to you. Please note the following:</w:t>
      </w:r>
    </w:p>
    <w:p>
      <w:pPr>
        <w:spacing w:after="0" w:line="239" w:lineRule="exact"/>
        <w:rPr>
          <w:sz w:val="20"/>
          <w:szCs w:val="20"/>
          <w:color w:val="auto"/>
        </w:rPr>
      </w:pPr>
    </w:p>
    <w:p>
      <w:pPr>
        <w:ind w:left="960" w:right="200" w:hanging="432"/>
        <w:spacing w:after="0" w:line="218" w:lineRule="auto"/>
        <w:tabs>
          <w:tab w:leader="none" w:pos="960" w:val="left"/>
        </w:tabs>
        <w:numPr>
          <w:ilvl w:val="0"/>
          <w:numId w:val="197"/>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Mereo’s behalf or for the accuracy of any translation of such a document, for the investment risks associated with</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20"/>
          </w:cols>
          <w:pgMar w:left="24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investing in Mereo Shares, for the validity or worth of the Mereo Shares, for any tax consequences that result from the ownership of Mereo ADSs, for the credit-worthiness of any third party, for allowing any rights to lapse under the terms of the deposit agreement, for the timeliness of any of Mereo’s notices, or for Mereo’s failure to give notice.</w:t>
      </w:r>
    </w:p>
    <w:p>
      <w:pPr>
        <w:ind w:left="960" w:hanging="432"/>
        <w:spacing w:after="0" w:line="231"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disclaim any liability if either is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Mereo’s Articles, or any provision of or governing the securities on deposit, or by reason of any act of God or war or other circumstances beyond Mereo’s control.</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disclaim any liability by reason of any exercise of, or failure to exercise, any discretion provided for in the deposit agreement or in Mereo’s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6"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further disclaim any liability for any action or inaction in reliance on the advice or information received from legal counsel, accountants, any person presenting Mereo Shares for deposit, any holder of Mereo ADSs or authorized representatives thereof, or any other person believed by either of Mereo or the depositary in good faith to be competent to give such advice or information.</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also disclaim liability for the inability by a holder to benefit from any distribution, offering, right or other benefit that is made available to holders of Mereo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you as Mereo ADS holder.</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26"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Mereo ADS owners have interests, and nothing in the deposit agreement obligates Citibank to disclose those transactions, or any information obtained in the course of those transactions, to Mereo or to the Mereo ADS owners, or to account for any payment received as part of those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99"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Mereo ADSs and the securities represented by the Mereo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depositary may refuse to issue Mereo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220"/>
          </w:cols>
          <w:pgMar w:left="24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information as the depositary and the custodian may require to fulfill legal obligations. You are required to indemnify Mereo, the depositary and the custodian for any claims with respect to taxes based on any tax benefit obtained for you.</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Mereo Shares (including Mereo Shares represented by Mereo ADSs) is governed by the laws of England and Wales.</w:t>
      </w:r>
    </w:p>
    <w:p>
      <w:pPr>
        <w:spacing w:after="0" w:line="197" w:lineRule="exact"/>
        <w:rPr>
          <w:sz w:val="20"/>
          <w:szCs w:val="20"/>
          <w:color w:val="auto"/>
        </w:rPr>
      </w:pPr>
    </w:p>
    <w:p>
      <w:pPr>
        <w:ind w:left="200" w:right="360" w:firstLine="331"/>
        <w:spacing w:after="0" w:line="275" w:lineRule="auto"/>
        <w:rPr>
          <w:sz w:val="20"/>
          <w:szCs w:val="20"/>
          <w:color w:val="auto"/>
        </w:rPr>
      </w:pPr>
      <w:r>
        <w:rPr>
          <w:rFonts w:ascii="Arial" w:cs="Arial" w:eastAsia="Arial" w:hAnsi="Arial"/>
          <w:sz w:val="17"/>
          <w:szCs w:val="17"/>
          <w:color w:val="auto"/>
        </w:rPr>
        <w:t>AS A PARTY TO THE DEPOSIT AGREEMENT, YOU IRREVOCABLY WAIVE YOUR RIGHT TO TRIAL BY JURY IN ANY LEGAL PROCEEDING AGAINST MEREO AND/OR THE DEPOSITARY ARISING OUT OF THE DEPOSIT AGREEMENT OR THE ADRs.</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200"/>
          </w:cols>
          <w:pgMar w:left="24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COMPARISON OF SHAREHOLDER RIGHTS</w:t>
      </w:r>
    </w:p>
    <w:p>
      <w:pPr>
        <w:spacing w:after="0" w:line="342"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rights of Mereo shareholders are currently governed by the laws of England and Wales and Mereo’s Articles. The rights of OncoMed stockholders are currently governed by Delaware law and OncoMed’s certificate of incorporation and bylaws. As a result of the Merger, OncoMed stockholders will be entitled to receive a portion of the Merger Consideration in Mereo ADSs. Each Mereo ADS represents five Mereo Shares. Following completion of the Merger, the rights of OncoMed stockholders who become holders of Mereo ADSs in the Merger will be governed by the laws of England and Wales and Mereo’s Articles. The rights of a holder of Mereo ADSs will also be governed by the deposit agreement.</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following discussion summarizes the material differences between the current rights of Mereo shareholders and the current rights of OncoMed stockholders. These differences arise from differences between Delaware law and the laws of England and Wales, the governing instruments of the two companies, and the securities laws and regulations governing the two companies.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Although it is impracticable to compare all of the aspects in which Delaware law and the laws of England and Wales, and Mereo’s and OncoMed’s governing instruments, differ with respect to equityholder rights, the following discussion summarizes certain material differences between them. This summary is not intended to be complete, and it is qualified in its entirety by reference to Delaware law, the laws of England and Wales, Mereo’s Articles and OncoMed’s certificate of incorporation and bylaws. In addition, the identification of some of the differences in the rights of equityholders as material is not intended to indicate that other differences that are equally important do not exist. Mereo and OncoMed urge you to carefully read this entire proxy statement/prospectus, the relevant provisions of Delaware law and the laws of England and Wales and the other documents to which Mereo and OncoMed refer in this proxy statement/prospectus for a more complete understanding of the differences between the rights of a Mereo shareholder and the rights of an OncoMed stockholder. For a description of the rights of holders of Mereo ADSs, see “Description of the Mereo ADSs.” For information on how to obtain the governing instruments of Mereo and OncoMed, see “Where You Can Find More Information.” OncoMed stockholders are encouraged to obtain and read these documents.</w:t>
      </w:r>
    </w:p>
    <w:p>
      <w:pPr>
        <w:spacing w:after="0" w:line="220"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Authorized Stock</w:t>
      </w:r>
    </w:p>
    <w:p>
      <w:pPr>
        <w:sectPr>
          <w:pgSz w:w="11900" w:h="16838" w:orient="portrait"/>
          <w:cols w:equalWidth="0" w:num="1">
            <w:col w:w="11200"/>
          </w:cols>
          <w:pgMar w:left="240" w:top="460" w:right="459" w:bottom="1440" w:gutter="0" w:footer="0" w:header="0"/>
        </w:sectPr>
      </w:pPr>
    </w:p>
    <w:p>
      <w:pPr>
        <w:spacing w:after="0" w:line="115"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Mereo’s Articles do not specify an amount of authorized share capital, as the concept of authorized share capital is not applicable under the provisions of the U.K. Companies Act 2006.</w:t>
      </w:r>
    </w:p>
    <w:p>
      <w:pPr>
        <w:spacing w:after="0" w:line="108" w:lineRule="exact"/>
        <w:rPr>
          <w:sz w:val="20"/>
          <w:szCs w:val="20"/>
          <w:color w:val="auto"/>
        </w:rPr>
      </w:pPr>
    </w:p>
    <w:p>
      <w:pPr>
        <w:jc w:val="both"/>
        <w:ind w:left="200"/>
        <w:spacing w:after="0" w:line="275" w:lineRule="auto"/>
        <w:rPr>
          <w:sz w:val="20"/>
          <w:szCs w:val="20"/>
          <w:color w:val="auto"/>
        </w:rPr>
      </w:pPr>
      <w:r>
        <w:rPr>
          <w:rFonts w:ascii="Arial" w:cs="Arial" w:eastAsia="Arial" w:hAnsi="Arial"/>
          <w:sz w:val="17"/>
          <w:szCs w:val="17"/>
          <w:color w:val="auto"/>
        </w:rPr>
        <w:t>As of November 30, 2018, the issued and outstanding capital of Mereo was 71,240,272 ordinary shares, with a nominal value of £0.003 each.</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OncoMed is authorized to issue 150,000,000 shares, of which 145,000,000 are shares of common stock, each having a par value of $0.001 per share, and 5,000,000 are shares of preferred stock, each having a par value of $0.001 per share.</w:t>
      </w:r>
    </w:p>
    <w:p>
      <w:pPr>
        <w:spacing w:after="0" w:line="409" w:lineRule="exact"/>
        <w:rPr>
          <w:sz w:val="20"/>
          <w:szCs w:val="20"/>
          <w:color w:val="auto"/>
        </w:rPr>
      </w:pPr>
    </w:p>
    <w:p>
      <w:pPr>
        <w:sectPr>
          <w:pgSz w:w="11900" w:h="16838" w:orient="portrait"/>
          <w:cols w:equalWidth="0" w:num="2">
            <w:col w:w="5820" w:space="240"/>
            <w:col w:w="5140"/>
          </w:cols>
          <w:pgMar w:left="240" w:top="460" w:right="45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Preferred Stock</w:t>
      </w:r>
    </w:p>
    <w:p>
      <w:pPr>
        <w:sectPr>
          <w:pgSz w:w="11900" w:h="16838" w:orient="portrait"/>
          <w:cols w:equalWidth="0" w:num="1">
            <w:col w:w="11200"/>
          </w:cols>
          <w:pgMar w:left="240" w:top="460" w:right="459" w:bottom="1440" w:gutter="0" w:footer="0" w:header="0"/>
          <w:type w:val="continuous"/>
        </w:sectPr>
      </w:pPr>
    </w:p>
    <w:p>
      <w:pPr>
        <w:spacing w:after="0" w:line="13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Mereo’s Articles provide that, without prejudice to any rights attached to any existing shares or class of shares, any share may be issued with such rights or restrictions as Mereo may by ordinary resolution (as described below) determine or,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No shares of preferred stock are outstanding as of the date of this proxy statement/prospectus.</w:t>
      </w:r>
    </w:p>
    <w:p>
      <w:pPr>
        <w:spacing w:after="0" w:line="10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Under OncoMed’s certificate of incorporation, the OncoMed Board has the authority to issue preferred stock in one or more series, and to establish the designation of such series and the</w:t>
      </w:r>
    </w:p>
    <w:p>
      <w:pPr>
        <w:sectPr>
          <w:pgSz w:w="11900" w:h="16838" w:orient="portrait"/>
          <w:cols w:equalWidth="0" w:num="2">
            <w:col w:w="5860" w:space="200"/>
            <w:col w:w="5140"/>
          </w:cols>
          <w:pgMar w:left="240" w:top="460" w:right="459" w:bottom="1440" w:gutter="0" w:footer="0" w:header="0"/>
          <w:type w:val="continuous"/>
        </w:sectPr>
      </w:pPr>
    </w:p>
    <w:bookmarkStart w:id="335" w:name="page336"/>
    <w:bookmarkEnd w:id="3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subject to and in default of such determination, as the Mereo Board shall determine.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November 30, 2018, there were no preferred shares in issue.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number of shares to be included in such series and fixing the voting powers (full or limited, or no voting power), preferences and relative, participating, optional or other special rights, and the qualifications, limitations and restrictions thereof, of the shares of each such series.</w:t>
      </w:r>
    </w:p>
    <w:p>
      <w:pPr>
        <w:spacing w:after="0" w:line="73" w:lineRule="exact"/>
        <w:rPr>
          <w:sz w:val="20"/>
          <w:szCs w:val="20"/>
          <w:color w:val="auto"/>
        </w:rPr>
      </w:pPr>
    </w:p>
    <w:p>
      <w:pPr>
        <w:sectPr>
          <w:pgSz w:w="11900" w:h="16838" w:orient="portrait"/>
          <w:cols w:equalWidth="0" w:num="2">
            <w:col w:w="5560" w:space="50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Dividends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a description of Mereo shareholders’ rights in respect of dividends see “—Description of the Mereo Shares and Articles of Association— Articles of Association—Shares and Rights Attaching to them— Dividends” in this proxy statement/prospectus.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OncoMed Board, subject to any restrictions contained in either the DGCL or the Amended and Restated Certificate of Incorporation, may declare and pay dividends upon the shares of its capital stock. Dividends may be paid in cash, in property or in shares of OncoMed’s capital stock.</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OncoMed Board may set apart out of any funds of OncoMed available for dividends a reserve or reserves for any proper purpose and may abolish any such reserve. Such purposes shall include but not be limited to equalizing dividends, repairing or maintaining any property of OncoMed, and meeting contingencies.</w:t>
      </w:r>
    </w:p>
    <w:p>
      <w:pPr>
        <w:spacing w:after="0" w:line="89"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Purchase and Redemption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w:t>
      </w:r>
    </w:p>
    <w:p>
      <w:pPr>
        <w:spacing w:after="0" w:line="10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107" w:lineRule="exact"/>
        <w:rPr>
          <w:sz w:val="20"/>
          <w:szCs w:val="20"/>
          <w:color w:val="auto"/>
        </w:rPr>
      </w:pPr>
    </w:p>
    <w:p>
      <w:pPr>
        <w:jc w:val="both"/>
        <w:ind w:left="200" w:right="420"/>
        <w:spacing w:after="0"/>
        <w:rPr>
          <w:sz w:val="20"/>
          <w:szCs w:val="20"/>
          <w:color w:val="auto"/>
        </w:rPr>
      </w:pPr>
      <w:r>
        <w:rPr>
          <w:rFonts w:ascii="Arial" w:cs="Arial" w:eastAsia="Arial" w:hAnsi="Arial"/>
          <w:sz w:val="18"/>
          <w:szCs w:val="18"/>
          <w:color w:val="auto"/>
        </w:rPr>
        <w:t>Mereo’s Articles permit the issuance of redeemable shares. The Mereo Shares are not redeemable and there are no redeemable shares currently in issue.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DGCL, any stock of any class or series of a Delaware corporation may be made subject to redemption by such corporation at its option or at the option of the holders of such stock or upon the happening of a specified event; provided however, that immediately following any such redemption the corporation shall have outstanding one or more shares of one or more classes or series of stock, which share, or shares together, shall have full voting powers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no redemption rights applicable to shares of OncoMed common stock. The OncoMed Board has the authority to grant redemption rights in connection with shares of OncoMed preferred stock.</w:t>
      </w:r>
    </w:p>
    <w:p>
      <w:pPr>
        <w:spacing w:after="0" w:line="206" w:lineRule="exact"/>
        <w:rPr>
          <w:sz w:val="20"/>
          <w:szCs w:val="20"/>
          <w:color w:val="auto"/>
        </w:rPr>
      </w:pPr>
    </w:p>
    <w:p>
      <w:pPr>
        <w:sectPr>
          <w:pgSz w:w="11900" w:h="16838" w:orient="portrait"/>
          <w:cols w:equalWidth="0" w:num="2">
            <w:col w:w="5740" w:space="32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Preemptive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316</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DGCL, a Delaware corporation’s certificate of incorporation may contain provisions granting to the holders of the stock of such corporation, or the holders of any class or series of a class thereof, the preemptive right to subscribe to any or all additional issues of stock of the corporation of any or all classes or series</w:t>
      </w:r>
    </w:p>
    <w:p>
      <w:pPr>
        <w:sectPr>
          <w:pgSz w:w="11900" w:h="16838" w:orient="portrait"/>
          <w:cols w:equalWidth="0" w:num="2">
            <w:col w:w="5860" w:space="200"/>
            <w:col w:w="5160"/>
          </w:cols>
          <w:pgMar w:left="240" w:top="459" w:right="439" w:bottom="1440" w:gutter="0" w:footer="0" w:header="0"/>
          <w:type w:val="continuous"/>
        </w:sectPr>
      </w:pPr>
    </w:p>
    <w:bookmarkStart w:id="336" w:name="page337"/>
    <w:bookmarkEnd w:id="3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Shares, after which shareholders’ approval would be required to renew such exclusion.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thereof, or to any securities of such corporation convertible into such stock. No stockholder shall have any preemptive right to subscribe to an additional issue of stock or to any security convertible into such stock unless, and except to the extent that, such right is expressly granted to such stockholder in the certificate of incorporation.</w:t>
      </w:r>
    </w:p>
    <w:p>
      <w:pPr>
        <w:spacing w:after="0" w:line="11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OncoMed’s certificate of incorporation does not provide that holders of OncoMed shares shall have preemptive rights.</w:t>
      </w:r>
    </w:p>
    <w:p>
      <w:pPr>
        <w:spacing w:after="0" w:line="326" w:lineRule="exact"/>
        <w:rPr>
          <w:sz w:val="20"/>
          <w:szCs w:val="20"/>
          <w:color w:val="auto"/>
        </w:rPr>
      </w:pPr>
    </w:p>
    <w:p>
      <w:pPr>
        <w:sectPr>
          <w:pgSz w:w="11900" w:h="16838" w:orient="portrait"/>
          <w:cols w:equalWidth="0" w:num="2">
            <w:col w:w="5700" w:space="36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Inspection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8" w:right="40"/>
        <w:spacing w:after="0" w:line="238" w:lineRule="auto"/>
        <w:rPr>
          <w:sz w:val="20"/>
          <w:szCs w:val="20"/>
          <w:color w:val="auto"/>
        </w:rPr>
      </w:pPr>
      <w:r>
        <w:rPr>
          <w:rFonts w:ascii="Arial" w:cs="Arial" w:eastAsia="Arial" w:hAnsi="Arial"/>
          <w:sz w:val="18"/>
          <w:szCs w:val="18"/>
          <w:color w:val="auto"/>
        </w:rPr>
        <w:t>Under the DGCL, any stockholder in person or by attorney or other agent, upon written demand under oath stating the purpose thereof, during the usual hours for business may inspect for any proper purpose, and to make copies and extracts from:</w:t>
      </w:r>
    </w:p>
    <w:p>
      <w:pPr>
        <w:spacing w:after="0" w:line="108" w:lineRule="exact"/>
        <w:rPr>
          <w:sz w:val="20"/>
          <w:szCs w:val="20"/>
          <w:color w:val="auto"/>
        </w:rPr>
      </w:pPr>
    </w:p>
    <w:p>
      <w:pPr>
        <w:ind w:left="328" w:right="160" w:hanging="328"/>
        <w:spacing w:after="0" w:line="246" w:lineRule="auto"/>
        <w:tabs>
          <w:tab w:leader="none" w:pos="31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corporation’s stock ledger, a list of its stockholders, and its other books and records; and</w:t>
      </w:r>
    </w:p>
    <w:p>
      <w:pPr>
        <w:spacing w:after="0" w:line="102" w:lineRule="exact"/>
        <w:rPr>
          <w:rFonts w:ascii="Arial" w:cs="Arial" w:eastAsia="Arial" w:hAnsi="Arial"/>
          <w:sz w:val="18"/>
          <w:szCs w:val="18"/>
          <w:color w:val="auto"/>
        </w:rPr>
      </w:pPr>
    </w:p>
    <w:p>
      <w:pPr>
        <w:ind w:left="308" w:hanging="308"/>
        <w:spacing w:after="0"/>
        <w:tabs>
          <w:tab w:leader="none" w:pos="30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subsidiary’s books and records, to the extent that:</w:t>
      </w:r>
    </w:p>
    <w:p>
      <w:pPr>
        <w:spacing w:after="0" w:line="117" w:lineRule="exact"/>
        <w:rPr>
          <w:rFonts w:ascii="Arial" w:cs="Arial" w:eastAsia="Arial" w:hAnsi="Arial"/>
          <w:sz w:val="18"/>
          <w:szCs w:val="18"/>
          <w:color w:val="auto"/>
        </w:rPr>
      </w:pPr>
    </w:p>
    <w:p>
      <w:pPr>
        <w:ind w:left="648" w:right="360" w:hanging="324"/>
        <w:spacing w:after="0" w:line="246" w:lineRule="auto"/>
        <w:tabs>
          <w:tab w:leader="none" w:pos="64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corporation has actual possession and control of such records of such subsidiary; or</w:t>
      </w:r>
    </w:p>
    <w:p>
      <w:pPr>
        <w:spacing w:after="0" w:line="102" w:lineRule="exact"/>
        <w:rPr>
          <w:rFonts w:ascii="Arial" w:cs="Arial" w:eastAsia="Arial" w:hAnsi="Arial"/>
          <w:sz w:val="18"/>
          <w:szCs w:val="18"/>
          <w:color w:val="auto"/>
        </w:rPr>
      </w:pPr>
    </w:p>
    <w:p>
      <w:pPr>
        <w:ind w:left="648" w:hanging="324"/>
        <w:spacing w:after="0" w:line="236" w:lineRule="auto"/>
        <w:tabs>
          <w:tab w:leader="none" w:pos="62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corporation could obtain such records through the exercise of control over such subsidiary, provided that as of the date of the making of the demand (1) the stockholder inspection of such books and records of the subsidiary would not constitute a breach of an agreement between the corporation or the subsidiary and a person or persons not affiliated with the corporation; and (2) the subsidiary would not have the right under the law applicable to it to deny the corporation access to such books and records upon demand by the corporation.</w:t>
      </w:r>
    </w:p>
    <w:p>
      <w:pPr>
        <w:spacing w:after="0" w:line="111" w:lineRule="exact"/>
        <w:rPr>
          <w:sz w:val="20"/>
          <w:szCs w:val="20"/>
          <w:color w:val="auto"/>
        </w:rPr>
      </w:pPr>
    </w:p>
    <w:p>
      <w:pPr>
        <w:ind w:left="8" w:right="140"/>
        <w:spacing w:after="0" w:line="275" w:lineRule="auto"/>
        <w:rPr>
          <w:sz w:val="20"/>
          <w:szCs w:val="20"/>
          <w:color w:val="auto"/>
        </w:rPr>
      </w:pPr>
      <w:r>
        <w:rPr>
          <w:rFonts w:ascii="Arial" w:cs="Arial" w:eastAsia="Arial" w:hAnsi="Arial"/>
          <w:sz w:val="17"/>
          <w:szCs w:val="17"/>
          <w:color w:val="auto"/>
        </w:rPr>
        <w:t>Delaware law also allows any stockholder the right to inspect a complete list of the stockholders entitled to vote at a meeting of</w:t>
      </w:r>
    </w:p>
    <w:p>
      <w:pPr>
        <w:sectPr>
          <w:pgSz w:w="11900" w:h="16838" w:orient="portrait"/>
          <w:cols w:equalWidth="0" w:num="2">
            <w:col w:w="5860" w:space="192"/>
            <w:col w:w="5168"/>
          </w:cols>
          <w:pgMar w:left="240" w:top="459" w:right="439" w:bottom="1440" w:gutter="0" w:footer="0" w:header="0"/>
          <w:type w:val="continuous"/>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stockholders, both during the time of the meeting and during the</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ten days preceding the meeting, for a purpose germane to the</w:t>
      </w:r>
    </w:p>
    <w:p>
      <w:pPr>
        <w:ind w:left="6060"/>
        <w:spacing w:after="0"/>
        <w:rPr>
          <w:sz w:val="20"/>
          <w:szCs w:val="20"/>
          <w:color w:val="auto"/>
        </w:rPr>
      </w:pPr>
      <w:r>
        <w:rPr>
          <w:rFonts w:ascii="Arial" w:cs="Arial" w:eastAsia="Arial" w:hAnsi="Arial"/>
          <w:sz w:val="18"/>
          <w:szCs w:val="18"/>
          <w:color w:val="auto"/>
        </w:rPr>
        <w:t>meeting.</w:t>
      </w: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Appraisal Rights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Section 262, any stockholder of a Delaware corporation who holds shares of stock on the date of the making of a demand with respect to such shares, who continuously holds such shares through the effective date of the merger or consolidation, and who has neither voted in favor of the merger or consolidation nor consent thereto in writing shall be entitled to an appraisal by the Court of Chancery of the fair value of the stockholders’ shares of stock.</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 summary description of the appraisal rights available to holders of OncoMed common stock under the DGCL and the procedures required to exercise statutory appraisal rights is included in “The Merger—Appraisal Rights.” The full text of Section 262 of the DGCL is attached as Annex D to this proxy statement/prospectus.</w:t>
      </w:r>
    </w:p>
    <w:p>
      <w:pPr>
        <w:spacing w:after="0" w:line="89" w:lineRule="exact"/>
        <w:rPr>
          <w:sz w:val="20"/>
          <w:szCs w:val="20"/>
          <w:color w:val="auto"/>
        </w:rPr>
      </w:pPr>
    </w:p>
    <w:p>
      <w:pPr>
        <w:sectPr>
          <w:pgSz w:w="11900" w:h="16838" w:orient="portrait"/>
          <w:cols w:equalWidth="0" w:num="2">
            <w:col w:w="5820" w:space="24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Voting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a description of the voting rights contained in Mereo’s Articles see “—Description of the Mereo Shares and Articles of Association— Articles of Association—Shares and Rights Attaching to them—Voting Rights” in this proxy statement/prospectus.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OncoMed’s bylaws, the holders of voting stock are entitled to vote on each matter properly submitted to the stockholders at a meeting of the stockholders, and shall be entitled to cast one vote in person or by proxy for each share of voting stock held by them respectively as of the record date fixed by the secretary at least 10 days and not more than 60 days before the meeting of the stockholders.</w:t>
      </w:r>
    </w:p>
    <w:p>
      <w:pPr>
        <w:spacing w:after="0" w:line="73"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Votes on Certain Transactions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Companies Acts provide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Generally, under the DGCL, unless the Delaware corporation’s certificate of incorporation provides for the vote of a larger portion of the stock, completion of a merger or consolidation or sale of substantially all of a corporation’s assets or dissolution requires the approval of the board of directors and the affirmative vote of a majority of the outstanding stock of the corporation entitled to vote thereon or, if the certificate of incorporation provides for more or less than one vote per share, a majority of the corporation’s voting power.</w:t>
      </w:r>
    </w:p>
    <w:p>
      <w:pPr>
        <w:spacing w:after="0" w:line="342" w:lineRule="exact"/>
        <w:rPr>
          <w:sz w:val="20"/>
          <w:szCs w:val="20"/>
          <w:color w:val="auto"/>
        </w:rPr>
      </w:pPr>
    </w:p>
    <w:p>
      <w:pPr>
        <w:sectPr>
          <w:pgSz w:w="11900" w:h="16838" w:orient="portrait"/>
          <w:cols w:equalWidth="0" w:num="2">
            <w:col w:w="5800" w:space="26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318</w:t>
      </w:r>
    </w:p>
    <w:p>
      <w:pPr>
        <w:sectPr>
          <w:pgSz w:w="11900" w:h="16838" w:orient="portrait"/>
          <w:cols w:equalWidth="0" w:num="1">
            <w:col w:w="11220"/>
          </w:cols>
          <w:pgMar w:left="240" w:top="459" w:right="439" w:bottom="1440" w:gutter="0" w:footer="0" w:header="0"/>
          <w:type w:val="continuous"/>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6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Amendment of Corporate Governance Documents</w:t>
      </w:r>
    </w:p>
    <w:p>
      <w:pPr>
        <w:sectPr>
          <w:pgSz w:w="11900" w:h="16838" w:orient="portrait"/>
          <w:cols w:equalWidth="0" w:num="1">
            <w:col w:w="11200"/>
          </w:cols>
          <w:pgMar w:left="240" w:top="459" w:right="459" w:bottom="1440" w:gutter="0" w:footer="0" w:header="0"/>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U.K. Companies Act 2006, a company incorporated in England and Wales may amend its articles of association by way of a special resolution.</w:t>
      </w:r>
    </w:p>
    <w:p>
      <w:pPr>
        <w:spacing w:after="0" w:line="108"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Additional steps must be taken in the event that Mereo has separate classes of shares, see “—Description of the Mereo Shares and Articles of Association—Articles of Association—Shares and Rights Attaching to them—Variation of Rights” in this proxy statement/prospectus.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OncoMed’s certificate of incorporation provides that only the affirmative vote of at least 66-2/3% of the voting power of all of the then-outstanding shares of voting stock, voting together as a single class, shall be required to alter, amend or repeal Articles V, VI, VII, VIII and IX of OncoMed’s certificate of incorporation. All other amendments to OncoMed’s certificate of incorporation require a vote of a majority of the outstanding voting stock of OncoMed pursuant to Delaware law.</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OncoMed’s bylaws provide that the OncoMed Board is expressly empowered to adopt, amend or repeal the bylaws of OncoMed with the approval of a majority of the authorized number of directors. OncoMed’s stockholders also shall have the power to adopt, amend or repeal the bylaws of OncoMed, provided, however, that in addition to any vote of the holders of any class or series of stock of OncoMed required by law or by the certificate of incorporation, such action by stockholders shall require the affirmative vote of the holders of at least 66-2/3% of the voting power of all of the then-outstanding shares of the capital stock of OncoMed entitled to vote at an election of directors.</w:t>
      </w:r>
    </w:p>
    <w:p>
      <w:pPr>
        <w:spacing w:after="0" w:line="88" w:lineRule="exact"/>
        <w:rPr>
          <w:sz w:val="20"/>
          <w:szCs w:val="20"/>
          <w:color w:val="auto"/>
        </w:rPr>
      </w:pPr>
    </w:p>
    <w:p>
      <w:pPr>
        <w:sectPr>
          <w:pgSz w:w="11900" w:h="16838" w:orient="portrait"/>
          <w:cols w:equalWidth="0" w:num="2">
            <w:col w:w="5720" w:space="340"/>
            <w:col w:w="5140"/>
          </w:cols>
          <w:pgMar w:left="240" w:top="459" w:right="459" w:bottom="1440" w:gutter="0" w:footer="0" w:header="0"/>
          <w:type w:val="continuous"/>
        </w:sectPr>
      </w:pPr>
    </w:p>
    <w:p>
      <w:pPr>
        <w:jc w:val="center"/>
        <w:ind w:right="-239"/>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ectPr>
          <w:pgSz w:w="11900" w:h="16838" w:orient="portrait"/>
          <w:cols w:equalWidth="0" w:num="1">
            <w:col w:w="11200"/>
          </w:cols>
          <w:pgMar w:left="240" w:top="459" w:right="459" w:bottom="1440" w:gutter="0" w:footer="0" w:header="0"/>
          <w:type w:val="continuous"/>
        </w:sectPr>
      </w:pPr>
    </w:p>
    <w:p>
      <w:pPr>
        <w:spacing w:after="0" w:line="13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Under the U.K. Companies Act 2006, a resolution of the members (or of a class of members) of a public company must be passed at a general meeting of the members. Written resolutions are not permitted.</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 (2) 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OncoMed’s certificate of incorporation and bylaws provide that no action shall be taken by the stockholders except at an annual or special meeting of the stockholders and that no action shall be taken by the stockholders by written consent.</w:t>
      </w:r>
    </w:p>
    <w:p>
      <w:pPr>
        <w:sectPr>
          <w:pgSz w:w="11900" w:h="16838" w:orient="portrait"/>
          <w:cols w:equalWidth="0" w:num="2">
            <w:col w:w="5860" w:space="200"/>
            <w:col w:w="5140"/>
          </w:cols>
          <w:pgMar w:left="240" w:top="459" w:right="459" w:bottom="1440" w:gutter="0" w:footer="0" w:header="0"/>
          <w:type w:val="continuous"/>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Shareholder Meetings</w:t>
      </w:r>
    </w:p>
    <w:p>
      <w:pPr>
        <w:sectPr>
          <w:pgSz w:w="11900" w:h="16838" w:orient="portrait"/>
          <w:cols w:equalWidth="0" w:num="1">
            <w:col w:w="11220"/>
          </w:cols>
          <w:pgMar w:left="240" w:top="460" w:right="439" w:bottom="1440" w:gutter="0" w:footer="0" w:header="0"/>
        </w:sectPr>
      </w:pPr>
    </w:p>
    <w:p>
      <w:pPr>
        <w:spacing w:after="0" w:line="126"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U.K. Companies Act 2006 requires that a public limited company, such as Mereo, must convene an annual general meeting within six months following its accounting reference date.</w:t>
      </w:r>
    </w:p>
    <w:p>
      <w:pPr>
        <w:spacing w:after="0" w:line="10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Subject to the notice requirements of the U.K. Companies Act 2006 outlined below, a general meeting of the shareholders of Mereo may be called by the Mereo Board whenever and at such times and places as it shall determine.</w:t>
      </w:r>
    </w:p>
    <w:p>
      <w:pPr>
        <w:spacing w:after="0" w:line="107"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A general meeting may also be convened by the Mereo Board on the requisition of Mereo shareholders who hold at least 5% of the paid-up capital of Mereo carrying voting rights at a general meeting.</w:t>
      </w:r>
    </w:p>
    <w:p>
      <w:pPr>
        <w:spacing w:after="0" w:line="108"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09" w:lineRule="exact"/>
        <w:rPr>
          <w:sz w:val="20"/>
          <w:szCs w:val="20"/>
          <w:color w:val="auto"/>
        </w:rPr>
      </w:pPr>
    </w:p>
    <w:p>
      <w:pPr>
        <w:ind w:left="200" w:right="320"/>
        <w:spacing w:after="0"/>
        <w:rPr>
          <w:sz w:val="20"/>
          <w:szCs w:val="20"/>
          <w:color w:val="auto"/>
        </w:rPr>
      </w:pPr>
      <w:r>
        <w:rPr>
          <w:rFonts w:ascii="Arial" w:cs="Arial" w:eastAsia="Arial" w:hAnsi="Arial"/>
          <w:sz w:val="18"/>
          <w:szCs w:val="18"/>
          <w:color w:val="auto"/>
        </w:rPr>
        <w:t>Other proposals relating to the ordinary course of the company’s business, such as the election of directors, would generally be the subject of an ordinary resolution.</w:t>
      </w:r>
    </w:p>
    <w:p>
      <w:pPr>
        <w:spacing w:after="0" w:line="108"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07" w:lineRule="exact"/>
        <w:rPr>
          <w:sz w:val="20"/>
          <w:szCs w:val="20"/>
          <w:color w:val="auto"/>
        </w:rPr>
      </w:pPr>
    </w:p>
    <w:p>
      <w:pPr>
        <w:jc w:val="both"/>
        <w:ind w:left="200" w:right="580"/>
        <w:spacing w:after="0" w:line="275" w:lineRule="auto"/>
        <w:rPr>
          <w:sz w:val="20"/>
          <w:szCs w:val="20"/>
          <w:color w:val="auto"/>
        </w:rPr>
      </w:pPr>
      <w:r>
        <w:rPr>
          <w:rFonts w:ascii="Arial" w:cs="Arial" w:eastAsia="Arial" w:hAnsi="Arial"/>
          <w:sz w:val="17"/>
          <w:szCs w:val="17"/>
          <w:color w:val="auto"/>
        </w:rPr>
        <w:t>In addition, certain matters, such as the removal of directors or auditors, require special notice, which is 28 clear days’ notice.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any stockholder may petition the Court of Chancery to order a meeting to elect directors if such meeting, or action to elect directors by written consent in lieu of a meeting, has not been held within thirteen months.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OncoMed’s bylaws provide that in addition to the annual meeting of the stockholders, special meetings of stockholders may be called at any time by the board of directors, the chairperson of the board of directors, the chief executive officer or the president (in the absence of a chief executive officer). Such special meetings may not be called by any other person or persons.</w:t>
      </w:r>
    </w:p>
    <w:p>
      <w:pPr>
        <w:spacing w:after="0" w:line="3927" w:lineRule="exact"/>
        <w:rPr>
          <w:sz w:val="20"/>
          <w:szCs w:val="20"/>
          <w:color w:val="auto"/>
        </w:rPr>
      </w:pPr>
    </w:p>
    <w:p>
      <w:pPr>
        <w:sectPr>
          <w:pgSz w:w="11900" w:h="16838" w:orient="portrait"/>
          <w:cols w:equalWidth="0" w:num="2">
            <w:col w:w="5760" w:space="300"/>
            <w:col w:w="5160"/>
          </w:cols>
          <w:pgMar w:left="240" w:top="460"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Shareholder Quorum</w:t>
      </w:r>
    </w:p>
    <w:p>
      <w:pPr>
        <w:sectPr>
          <w:pgSz w:w="11900" w:h="16838" w:orient="portrait"/>
          <w:cols w:equalWidth="0" w:num="1">
            <w:col w:w="11220"/>
          </w:cols>
          <w:pgMar w:left="240" w:top="460" w:right="439" w:bottom="1440" w:gutter="0" w:footer="0" w:header="0"/>
          <w:type w:val="continuous"/>
        </w:sectPr>
      </w:pPr>
    </w:p>
    <w:p>
      <w:pPr>
        <w:spacing w:after="0" w:line="13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Mereo’s Articles provide that no business shall be transacted at any general meeting unless a quorum is present. Two qualifying persons present at a meeting and entitled to vote on the business to be transacted shall be a quorum, unless (1) each is a qualifying person only because he or she is authorized under the Companies Act to act as a representative of a corporation in relation to the meeting, and they are representatives of the same</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320</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OncoMed’s bylaws provide that the holders of a majority in voting power of the stock issued and outstanding and entitled to vote, present in person, or by remote communication, if applicable, or represented by proxy, shall constitute a quorum for the transaction of business at all meetings of the stockholders.</w:t>
      </w:r>
    </w:p>
    <w:p>
      <w:pPr>
        <w:sectPr>
          <w:pgSz w:w="11900" w:h="16838" w:orient="portrait"/>
          <w:cols w:equalWidth="0" w:num="2">
            <w:col w:w="5860" w:space="200"/>
            <w:col w:w="5160"/>
          </w:cols>
          <w:pgMar w:left="240" w:top="460" w:right="439" w:bottom="1440" w:gutter="0" w:footer="0" w:header="0"/>
          <w:type w:val="continuous"/>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corporation, or (2) each is a qualifying person only because he or she</w:t>
      </w:r>
    </w:p>
    <w:p>
      <w:pPr>
        <w:ind w:left="200"/>
        <w:spacing w:after="0" w:line="234" w:lineRule="auto"/>
        <w:rPr>
          <w:sz w:val="20"/>
          <w:szCs w:val="20"/>
          <w:color w:val="auto"/>
        </w:rPr>
      </w:pPr>
      <w:r>
        <w:rPr>
          <w:rFonts w:ascii="Arial" w:cs="Arial" w:eastAsia="Arial" w:hAnsi="Arial"/>
          <w:sz w:val="18"/>
          <w:szCs w:val="18"/>
          <w:color w:val="auto"/>
        </w:rPr>
        <w:t>is appointed as proxy of a shareholder in relation to the meeting,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they are proxies of the same shareholder.</w:t>
      </w:r>
    </w:p>
    <w:p>
      <w:pPr>
        <w:spacing w:after="0" w:line="117" w:lineRule="exact"/>
        <w:rPr>
          <w:sz w:val="20"/>
          <w:szCs w:val="20"/>
          <w:color w:val="auto"/>
        </w:rPr>
      </w:pPr>
    </w:p>
    <w:p>
      <w:pPr>
        <w:ind w:left="200" w:right="5420"/>
        <w:spacing w:after="0" w:line="248" w:lineRule="auto"/>
        <w:rPr>
          <w:sz w:val="20"/>
          <w:szCs w:val="20"/>
          <w:color w:val="auto"/>
        </w:rPr>
      </w:pPr>
      <w:r>
        <w:rPr>
          <w:rFonts w:ascii="Arial" w:cs="Arial" w:eastAsia="Arial" w:hAnsi="Arial"/>
          <w:sz w:val="17"/>
          <w:szCs w:val="17"/>
          <w:color w:val="auto"/>
        </w:rPr>
        <w:t>A “qualifying person” means (1) a person who is a shareholder of Mereo, (2) a person authorized under the U.K. Companies Act 2006 to act as a representative of the corporation in relation to the meeting, or</w:t>
      </w:r>
    </w:p>
    <w:p>
      <w:pPr>
        <w:spacing w:after="0" w:line="2" w:lineRule="exact"/>
        <w:rPr>
          <w:sz w:val="20"/>
          <w:szCs w:val="20"/>
          <w:color w:val="auto"/>
        </w:rPr>
      </w:pPr>
    </w:p>
    <w:p>
      <w:pPr>
        <w:ind w:left="200" w:right="5800" w:firstLine="4"/>
        <w:spacing w:after="0" w:line="246" w:lineRule="auto"/>
        <w:tabs>
          <w:tab w:leader="none" w:pos="47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person appointed as proxy of a shareholder in relation to the meeting.</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Shareholder Proposals and Shareholder Nomination of Directors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Under the U.K. Companies Act 2006, shareholders of a company may require the directors to call a general meeting of the company and may specify the text of a resolution to be voted on at that meeting if the request is made by shareholders holding at least 5% of the paid-up capital of Mereo carrying voting rights at a general meeting.</w:t>
      </w:r>
    </w:p>
    <w:p>
      <w:pPr>
        <w:spacing w:after="0" w:line="10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 (2) other business to be deal with at that meeting. A company is required to circulate a statement once it has received requests to do so from (1) 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Resolutions to appoint or re-appoint directors to a public limited company such as Mereo must generally be put to shareholders on the basis of one resolution for each nominated director.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OncoMed’s bylaws provide that in order for a stockholder to make a director nomination or propose business at an annual meeting of stockholders, the stockholder must give timely written notice to OncoMed. To be timely, a stockholder’s notice must be delivered to, or mailed and received at, the principal executive offices of OncoMed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later than the ninetieth (90) day prior to such annual meeting or, if later, the tenth (10) day following the day on which public disclosure of the date of such annual meeting was first made.</w:t>
      </w:r>
    </w:p>
    <w:p>
      <w:pPr>
        <w:spacing w:after="0" w:line="1138" w:lineRule="exact"/>
        <w:rPr>
          <w:sz w:val="20"/>
          <w:szCs w:val="20"/>
          <w:color w:val="auto"/>
        </w:rPr>
      </w:pPr>
    </w:p>
    <w:p>
      <w:pPr>
        <w:sectPr>
          <w:pgSz w:w="11900" w:h="16838" w:orient="portrait"/>
          <w:cols w:equalWidth="0" w:num="2">
            <w:col w:w="5780" w:space="28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Number of Directors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Under the U.K. Companies Act 2006, a public limited company must have at least two directors. Mereo’s Articles further provide that, unless otherwise determined by an ordinary resolution, the number of Mereo directors shall be not less than two nor more than nine in number.</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Mereo Board currently consists of seven members.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OncoMed’s certificate of incorporation and bylaws provide that the authorized number of directors shall be determined from time to time by resolution of the board or directors. The OncoMed Board has currently set the authorized number of directors to eight directors.</w:t>
      </w:r>
    </w:p>
    <w:p>
      <w:pPr>
        <w:sectPr>
          <w:pgSz w:w="11900" w:h="16838" w:orient="portrait"/>
          <w:cols w:equalWidth="0" w:num="2">
            <w:col w:w="5860" w:space="200"/>
            <w:col w:w="5160"/>
          </w:cols>
          <w:pgMar w:left="240" w:top="459" w:right="439" w:bottom="1440" w:gutter="0" w:footer="0" w:header="0"/>
          <w:type w:val="continuous"/>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as long as Novartis holds not less than one percent of Mereo’s</w:t>
      </w:r>
    </w:p>
    <w:p>
      <w:pPr>
        <w:ind w:left="200"/>
        <w:spacing w:after="0" w:line="234" w:lineRule="auto"/>
        <w:rPr>
          <w:sz w:val="20"/>
          <w:szCs w:val="20"/>
          <w:color w:val="auto"/>
        </w:rPr>
      </w:pPr>
      <w:r>
        <w:rPr>
          <w:rFonts w:ascii="Arial" w:cs="Arial" w:eastAsia="Arial" w:hAnsi="Arial"/>
          <w:sz w:val="18"/>
          <w:szCs w:val="18"/>
          <w:color w:val="auto"/>
        </w:rPr>
        <w:t>issued share capital, Novartis may appoint one observer who may</w:t>
      </w:r>
    </w:p>
    <w:p>
      <w:pPr>
        <w:ind w:left="200"/>
        <w:spacing w:after="0" w:line="235" w:lineRule="auto"/>
        <w:rPr>
          <w:sz w:val="20"/>
          <w:szCs w:val="20"/>
          <w:color w:val="auto"/>
        </w:rPr>
      </w:pPr>
      <w:r>
        <w:rPr>
          <w:rFonts w:ascii="Arial" w:cs="Arial" w:eastAsia="Arial" w:hAnsi="Arial"/>
          <w:sz w:val="18"/>
          <w:szCs w:val="18"/>
          <w:color w:val="auto"/>
        </w:rPr>
        <w:t>attend, but not participate or vote in, any meeting of Mereo’s board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Classification of the Board</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110"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Mereo’s Articles provide that, at every annual general meeting (1) if any director has at the start of the annual general meeting been in office for more than three years since his or her last appointment or reappointment, he or she shall retire; and (2) if a director has been appointed by the Mereo Board since the previous annual general meeting, he or she shall retire.</w:t>
      </w:r>
    </w:p>
    <w:p>
      <w:pPr>
        <w:spacing w:after="0" w:line="11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If Mereo does not fill the vacancy at the meeting at which a director retires by rotation or otherwise, the retiring director shall, if willing to act, be deemed to have been reappointed unless at the meeting it is resolved not to fill the vacancy or unless a resolution for the reappointment of the director is put to the meeting and lost.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Delaware law permits the certificate of incorporation or a stockholder-adopted bylaw to provide that directors be divided into one, two or three classes, with the term of office of one class of directors to expire each year.</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OncoMed’s certificate of incorporation provides that the directors comprising the board of directors shall be divided into three staggered classes, with each class serving three-year terms.</w:t>
      </w:r>
    </w:p>
    <w:p>
      <w:pPr>
        <w:spacing w:after="0" w:line="3432" w:lineRule="exact"/>
        <w:rPr>
          <w:sz w:val="20"/>
          <w:szCs w:val="20"/>
          <w:color w:val="auto"/>
        </w:rPr>
      </w:pPr>
    </w:p>
    <w:p>
      <w:pPr>
        <w:sectPr>
          <w:pgSz w:w="11900" w:h="16838" w:orient="portrait"/>
          <w:cols w:equalWidth="0" w:num="2">
            <w:col w:w="5780" w:space="28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Board Meetings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Mereo’s Articles provide that the quorum may be fixed by the Mereo Board (but may not be less than two) and, unless so fixed at any other number, shall be two.</w:t>
      </w:r>
    </w:p>
    <w:p>
      <w:pPr>
        <w:spacing w:after="0" w:line="108"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A director may call a meeting of the Mereo Board by giving notice of the meeting to each director.</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OncoMed’s bylaws provide that the board of directors may hold meetings, both regular and special, either within or outside the State of Delaware. Regular meetings of the board of directors may be held without notice at such time and at such place as shall from time to time be determined by the board of directors. Special meetings of the board of directors for any purpose or purposes may be called at any time</w:t>
      </w:r>
    </w:p>
    <w:p>
      <w:pPr>
        <w:sectPr>
          <w:pgSz w:w="11900" w:h="16838" w:orient="portrait"/>
          <w:cols w:equalWidth="0" w:num="2">
            <w:col w:w="5860" w:space="200"/>
            <w:col w:w="5160"/>
          </w:cols>
          <w:pgMar w:left="240" w:top="459" w:right="439" w:bottom="1440" w:gutter="0" w:footer="0" w:header="0"/>
          <w:type w:val="continuous"/>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by the chairperson of the board of directors, the chief executive</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 the president, the secretary or a majority of the</w:t>
      </w:r>
    </w:p>
    <w:p>
      <w:pPr>
        <w:ind w:left="6060"/>
        <w:spacing w:after="0"/>
        <w:rPr>
          <w:sz w:val="20"/>
          <w:szCs w:val="20"/>
          <w:color w:val="auto"/>
        </w:rPr>
      </w:pPr>
      <w:r>
        <w:rPr>
          <w:rFonts w:ascii="Arial" w:cs="Arial" w:eastAsia="Arial" w:hAnsi="Arial"/>
          <w:sz w:val="18"/>
          <w:szCs w:val="18"/>
          <w:color w:val="auto"/>
        </w:rPr>
        <w:t>authorized number of directors.</w:t>
      </w:r>
    </w:p>
    <w:p>
      <w:pPr>
        <w:spacing w:after="0" w:line="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Board Committees</w:t>
      </w:r>
    </w:p>
    <w:p>
      <w:pPr>
        <w:sectPr>
          <w:pgSz w:w="11900" w:h="16838" w:orient="portrait"/>
          <w:cols w:equalWidth="0" w:num="1">
            <w:col w:w="11160"/>
          </w:cols>
          <w:pgMar w:left="240" w:top="459" w:right="499" w:bottom="1440" w:gutter="0" w:footer="0" w:header="0"/>
        </w:sectPr>
      </w:pPr>
    </w:p>
    <w:p>
      <w:pPr>
        <w:spacing w:after="0" w:line="12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Mereo’s Articles provide that Mereo’s directors may delegate any of the powers conferred on them to board committees. The committees to which the Mereo’s directors delegate any of their powers must follow procedures which are based as far as they are applicable on those provisions of the Mereo’s Articles which govern the taking of decisions by Mereo’s directors. Mereo’s directors may make rules of procedure for all or any committees, which prevail over the rules derived from Mereo’s Articles if they are not consistent with them.</w:t>
      </w:r>
    </w:p>
    <w:p>
      <w:pPr>
        <w:spacing w:after="0" w:line="114"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Mereo Board has established an audit and risk committee, nomination committee, remuneration committee and R&amp;D committee.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OncoMed’s bylaws provide that the board of directors may designate one or more committees. The board of directors of OncoMed has designated the following committees: (i) Audit Committee; (ii) Compensation Committee; (iii) Nominating and Corporate Governance Committee; and (iv) Business Development and Strategy Committee.</w:t>
      </w:r>
    </w:p>
    <w:p>
      <w:pPr>
        <w:spacing w:after="0" w:line="1020" w:lineRule="exact"/>
        <w:rPr>
          <w:sz w:val="20"/>
          <w:szCs w:val="20"/>
          <w:color w:val="auto"/>
        </w:rPr>
      </w:pPr>
    </w:p>
    <w:p>
      <w:pPr>
        <w:sectPr>
          <w:pgSz w:w="11900" w:h="16838" w:orient="portrait"/>
          <w:cols w:equalWidth="0" w:num="2">
            <w:col w:w="5720" w:space="340"/>
            <w:col w:w="5100"/>
          </w:cols>
          <w:pgMar w:left="240" w:top="459" w:right="49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i w:val="1"/>
          <w:iCs w:val="1"/>
          <w:color w:val="auto"/>
        </w:rPr>
        <w:t>Removal of Directors</w:t>
      </w:r>
    </w:p>
    <w:p>
      <w:pPr>
        <w:sectPr>
          <w:pgSz w:w="11900" w:h="16838" w:orient="portrait"/>
          <w:cols w:equalWidth="0" w:num="1">
            <w:col w:w="11160"/>
          </w:cols>
          <w:pgMar w:left="240" w:top="459" w:right="499" w:bottom="1440" w:gutter="0" w:footer="0" w:header="0"/>
          <w:type w:val="continuous"/>
        </w:sectPr>
      </w:pPr>
    </w:p>
    <w:p>
      <w:pPr>
        <w:spacing w:after="0" w:line="12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113" w:lineRule="exact"/>
        <w:rPr>
          <w:sz w:val="20"/>
          <w:szCs w:val="20"/>
          <w:color w:val="auto"/>
        </w:rPr>
      </w:pPr>
    </w:p>
    <w:p>
      <w:pPr>
        <w:ind w:left="200" w:right="380"/>
        <w:spacing w:after="0" w:line="257" w:lineRule="auto"/>
        <w:rPr>
          <w:sz w:val="20"/>
          <w:szCs w:val="20"/>
          <w:color w:val="auto"/>
        </w:rPr>
      </w:pPr>
      <w:r>
        <w:rPr>
          <w:rFonts w:ascii="Arial" w:cs="Arial" w:eastAsia="Arial" w:hAnsi="Arial"/>
          <w:sz w:val="17"/>
          <w:szCs w:val="17"/>
          <w:color w:val="auto"/>
        </w:rPr>
        <w:t>In addition to any power of removal under the U.K. Companies Act 2006, under Mereo’s Articles, Mereo may, by special resolution or ordinary resolution (of which special notice has been given in accordance with section 312 of the U.K. Companies Act 2006):</w:t>
      </w:r>
    </w:p>
    <w:p>
      <w:pPr>
        <w:spacing w:after="0" w:line="95" w:lineRule="exact"/>
        <w:rPr>
          <w:sz w:val="20"/>
          <w:szCs w:val="20"/>
          <w:color w:val="auto"/>
        </w:rPr>
      </w:pPr>
    </w:p>
    <w:p>
      <w:pPr>
        <w:ind w:left="520" w:right="80" w:hanging="316"/>
        <w:spacing w:after="0"/>
        <w:tabs>
          <w:tab w:leader="none" w:pos="529" w:val="left"/>
        </w:tabs>
        <w:numPr>
          <w:ilvl w:val="0"/>
          <w:numId w:val="202"/>
        </w:numPr>
        <w:rPr>
          <w:rFonts w:ascii="MS PGothic" w:cs="MS PGothic" w:eastAsia="MS PGothic" w:hAnsi="MS PGothic"/>
          <w:sz w:val="13"/>
          <w:szCs w:val="13"/>
          <w:color w:val="auto"/>
        </w:rPr>
      </w:pPr>
      <w:r>
        <w:rPr>
          <w:rFonts w:ascii="Arial" w:cs="Arial" w:eastAsia="Arial" w:hAnsi="Arial"/>
          <w:sz w:val="18"/>
          <w:szCs w:val="18"/>
          <w:color w:val="auto"/>
        </w:rPr>
        <w:t>remove any director from office (but without prejudice to any claim he or she may have for damages for breach of any agreement between Mereo and the relevant director); and</w:t>
      </w:r>
    </w:p>
    <w:p>
      <w:pPr>
        <w:spacing w:after="0" w:line="108" w:lineRule="exact"/>
        <w:rPr>
          <w:rFonts w:ascii="MS PGothic" w:cs="MS PGothic" w:eastAsia="MS PGothic" w:hAnsi="MS PGothic"/>
          <w:sz w:val="13"/>
          <w:szCs w:val="13"/>
          <w:color w:val="auto"/>
        </w:rPr>
      </w:pPr>
    </w:p>
    <w:p>
      <w:pPr>
        <w:ind w:left="540" w:hanging="336"/>
        <w:spacing w:after="0"/>
        <w:tabs>
          <w:tab w:leader="none" w:pos="540" w:val="left"/>
        </w:tabs>
        <w:numPr>
          <w:ilvl w:val="0"/>
          <w:numId w:val="202"/>
        </w:numPr>
        <w:rPr>
          <w:rFonts w:ascii="MS PGothic" w:cs="MS PGothic" w:eastAsia="MS PGothic" w:hAnsi="MS PGothic"/>
          <w:sz w:val="13"/>
          <w:szCs w:val="13"/>
          <w:color w:val="auto"/>
        </w:rPr>
      </w:pPr>
      <w:r>
        <w:rPr>
          <w:rFonts w:ascii="Arial" w:cs="Arial" w:eastAsia="Arial" w:hAnsi="Arial"/>
          <w:sz w:val="18"/>
          <w:szCs w:val="18"/>
          <w:color w:val="auto"/>
        </w:rPr>
        <w:t>appoint another person to act as director in his or her place.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Under Delaware law, any director may be removed with or without cause by the affirmative vote of holders of a majority of the outstanding shares entitled to vote upon the election of directors.</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OncoMed’s certificate of incorporation provides that a director may be removed at any time with cause by the affirmative vote of the holders of 66 -2/3% of the voting power of all then-outstanding shares of capital stock entitled to vote at an election of directors.</w:t>
      </w:r>
    </w:p>
    <w:p>
      <w:pPr>
        <w:sectPr>
          <w:pgSz w:w="11900" w:h="16838" w:orient="portrait"/>
          <w:cols w:equalWidth="0" w:num="2">
            <w:col w:w="5860" w:space="200"/>
            <w:col w:w="5100"/>
          </w:cols>
          <w:pgMar w:left="240" w:top="459" w:right="499" w:bottom="1440" w:gutter="0" w:footer="0" w:header="0"/>
          <w:type w:val="continuous"/>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Board Vacancies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Mereo’s Articles, Mereo may by ordinary resolution appoint a person who is willing to act to be a director, either to fill a vacancy or as an additional director and the Mereo Board may appoint a person who is willing to act to be a director, either to fill a vacancy or as an additional director, provided in each case that the appointment does not cause the number of directors to exceed the number fixed by or in accordance with Mereo’s Articles as the maximum number of directors.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8" w:right="60"/>
        <w:spacing w:after="0" w:line="246" w:lineRule="auto"/>
        <w:rPr>
          <w:sz w:val="20"/>
          <w:szCs w:val="20"/>
          <w:color w:val="auto"/>
        </w:rPr>
      </w:pPr>
      <w:r>
        <w:rPr>
          <w:rFonts w:ascii="Arial" w:cs="Arial" w:eastAsia="Arial" w:hAnsi="Arial"/>
          <w:sz w:val="18"/>
          <w:szCs w:val="18"/>
          <w:color w:val="auto"/>
        </w:rPr>
        <w:t>Under Delaware law, unless otherwise provided in the certificate of incorporation or the bylaws,</w:t>
      </w:r>
    </w:p>
    <w:p>
      <w:pPr>
        <w:spacing w:after="0" w:line="102" w:lineRule="exact"/>
        <w:rPr>
          <w:sz w:val="20"/>
          <w:szCs w:val="20"/>
          <w:color w:val="auto"/>
        </w:rPr>
      </w:pPr>
    </w:p>
    <w:p>
      <w:pPr>
        <w:ind w:left="308" w:hanging="308"/>
        <w:spacing w:after="0"/>
        <w:tabs>
          <w:tab w:leader="none" w:pos="30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vacancies on a board of directors; and</w:t>
      </w:r>
    </w:p>
    <w:p>
      <w:pPr>
        <w:spacing w:after="0" w:line="117" w:lineRule="exact"/>
        <w:rPr>
          <w:rFonts w:ascii="Arial" w:cs="Arial" w:eastAsia="Arial" w:hAnsi="Arial"/>
          <w:sz w:val="18"/>
          <w:szCs w:val="18"/>
          <w:color w:val="auto"/>
        </w:rPr>
      </w:pPr>
    </w:p>
    <w:p>
      <w:pPr>
        <w:ind w:left="328" w:right="60" w:hanging="328"/>
        <w:spacing w:after="0" w:line="235" w:lineRule="auto"/>
        <w:tabs>
          <w:tab w:leader="none" w:pos="31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newly created directorships resulting from an increase in the number of directors may be filled by a majority of the directors in office, although less than a quorum, or by a sole remaining director. In the case of a classified board, directors elected to fill vacancies or newly created directorships will hold office until the next election of the class for which the directors have been chosen. If, at the time of filling any vacancy or any newly created directorship, the directors then in office shall constitute less than a majority of the whole board,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w:t>
      </w:r>
    </w:p>
    <w:p>
      <w:pPr>
        <w:spacing w:after="0" w:line="120"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OncoMed’s certificate of incorporation and bylaws of provide that any vacancy or newly created directorships on the board of directors shall be filled only by the affirmative vote of a majority of the directors in office, although less than a quorum, or by a sole remaining director, and not by the stockholders.</w:t>
      </w:r>
    </w:p>
    <w:p>
      <w:pPr>
        <w:spacing w:after="0" w:line="86" w:lineRule="exact"/>
        <w:rPr>
          <w:sz w:val="20"/>
          <w:szCs w:val="20"/>
          <w:color w:val="auto"/>
        </w:rPr>
      </w:pPr>
    </w:p>
    <w:p>
      <w:pPr>
        <w:sectPr>
          <w:pgSz w:w="11900" w:h="16838" w:orient="portrait"/>
          <w:cols w:equalWidth="0" w:num="2">
            <w:col w:w="5740" w:space="312"/>
            <w:col w:w="5168"/>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Limitation of Director Liability</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324</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left="8" w:right="40"/>
        <w:spacing w:after="0" w:line="238" w:lineRule="auto"/>
        <w:rPr>
          <w:sz w:val="20"/>
          <w:szCs w:val="20"/>
          <w:color w:val="auto"/>
        </w:rPr>
      </w:pPr>
      <w:r>
        <w:rPr>
          <w:rFonts w:ascii="Arial" w:cs="Arial" w:eastAsia="Arial" w:hAnsi="Arial"/>
          <w:sz w:val="18"/>
          <w:szCs w:val="18"/>
          <w:color w:val="auto"/>
        </w:rPr>
        <w:t>Delaware law permits a corporation’s certificate of incorporation to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08" w:lineRule="exact"/>
        <w:rPr>
          <w:sz w:val="20"/>
          <w:szCs w:val="20"/>
          <w:color w:val="auto"/>
        </w:rPr>
      </w:pPr>
    </w:p>
    <w:p>
      <w:pPr>
        <w:ind w:left="328" w:right="160" w:hanging="328"/>
        <w:spacing w:after="0" w:line="246" w:lineRule="auto"/>
        <w:tabs>
          <w:tab w:leader="none" w:pos="31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breach of his or her duty of loyalty to the corporation or its stockholders;</w:t>
      </w:r>
    </w:p>
    <w:p>
      <w:pPr>
        <w:spacing w:after="0" w:line="102" w:lineRule="exact"/>
        <w:rPr>
          <w:rFonts w:ascii="Arial" w:cs="Arial" w:eastAsia="Arial" w:hAnsi="Arial"/>
          <w:sz w:val="18"/>
          <w:szCs w:val="18"/>
          <w:color w:val="auto"/>
        </w:rPr>
      </w:pPr>
    </w:p>
    <w:p>
      <w:pPr>
        <w:ind w:left="328" w:right="720" w:hanging="328"/>
        <w:spacing w:after="0" w:line="275" w:lineRule="auto"/>
        <w:tabs>
          <w:tab w:leader="none" w:pos="31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spacing w:after="0" w:line="78" w:lineRule="exact"/>
        <w:rPr>
          <w:rFonts w:ascii="Arial" w:cs="Arial" w:eastAsia="Arial" w:hAnsi="Arial"/>
          <w:sz w:val="17"/>
          <w:szCs w:val="17"/>
          <w:color w:val="auto"/>
        </w:rPr>
      </w:pPr>
    </w:p>
    <w:p>
      <w:pPr>
        <w:ind w:left="328" w:right="380" w:hanging="328"/>
        <w:spacing w:after="0" w:line="246" w:lineRule="auto"/>
        <w:tabs>
          <w:tab w:leader="none" w:pos="31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ectPr>
          <w:pgSz w:w="11900" w:h="16838" w:orient="portrait"/>
          <w:cols w:equalWidth="0" w:num="2">
            <w:col w:w="5860" w:space="192"/>
            <w:col w:w="5168"/>
          </w:cols>
          <w:pgMar w:left="240" w:top="459" w:right="439" w:bottom="1440" w:gutter="0" w:footer="0" w:header="0"/>
          <w:type w:val="continuous"/>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 any transaction from which he or she derives an improper</w:t>
      </w:r>
    </w:p>
    <w:p>
      <w:pPr>
        <w:ind w:left="6380"/>
        <w:spacing w:after="0"/>
        <w:rPr>
          <w:sz w:val="20"/>
          <w:szCs w:val="20"/>
          <w:color w:val="auto"/>
        </w:rPr>
      </w:pPr>
      <w:r>
        <w:rPr>
          <w:rFonts w:ascii="Arial" w:cs="Arial" w:eastAsia="Arial" w:hAnsi="Arial"/>
          <w:sz w:val="18"/>
          <w:szCs w:val="18"/>
          <w:color w:val="auto"/>
        </w:rPr>
        <w:t>personal benefit.</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OncoMed’s certificate of incorporation provides that to the</w:t>
      </w:r>
    </w:p>
    <w:p>
      <w:pPr>
        <w:ind w:left="6060"/>
        <w:spacing w:after="0" w:line="234" w:lineRule="auto"/>
        <w:rPr>
          <w:sz w:val="20"/>
          <w:szCs w:val="20"/>
          <w:color w:val="auto"/>
        </w:rPr>
      </w:pPr>
      <w:r>
        <w:rPr>
          <w:rFonts w:ascii="Arial" w:cs="Arial" w:eastAsia="Arial" w:hAnsi="Arial"/>
          <w:sz w:val="18"/>
          <w:szCs w:val="18"/>
          <w:color w:val="auto"/>
        </w:rPr>
        <w:t>maximum extent permitted by the DGCL, as the same exists or</w:t>
      </w:r>
    </w:p>
    <w:p>
      <w:pPr>
        <w:ind w:left="6060"/>
        <w:spacing w:after="0" w:line="235" w:lineRule="auto"/>
        <w:rPr>
          <w:sz w:val="20"/>
          <w:szCs w:val="20"/>
          <w:color w:val="auto"/>
        </w:rPr>
      </w:pPr>
      <w:r>
        <w:rPr>
          <w:rFonts w:ascii="Arial" w:cs="Arial" w:eastAsia="Arial" w:hAnsi="Arial"/>
          <w:sz w:val="18"/>
          <w:szCs w:val="18"/>
          <w:color w:val="auto"/>
        </w:rPr>
        <w:t>as may hereafter be amended, a director of OncoMed shall not</w:t>
      </w:r>
    </w:p>
    <w:p>
      <w:pPr>
        <w:ind w:left="6060"/>
        <w:spacing w:after="0" w:line="235" w:lineRule="auto"/>
        <w:rPr>
          <w:sz w:val="20"/>
          <w:szCs w:val="20"/>
          <w:color w:val="auto"/>
        </w:rPr>
      </w:pPr>
      <w:r>
        <w:rPr>
          <w:rFonts w:ascii="Arial" w:cs="Arial" w:eastAsia="Arial" w:hAnsi="Arial"/>
          <w:sz w:val="18"/>
          <w:szCs w:val="18"/>
          <w:color w:val="auto"/>
        </w:rPr>
        <w:t>be personally liable to the OncoMed or its stockholders for</w:t>
      </w:r>
    </w:p>
    <w:p>
      <w:pPr>
        <w:ind w:left="6060"/>
        <w:spacing w:after="0" w:line="235" w:lineRule="auto"/>
        <w:rPr>
          <w:sz w:val="20"/>
          <w:szCs w:val="20"/>
          <w:color w:val="auto"/>
        </w:rPr>
      </w:pPr>
      <w:r>
        <w:rPr>
          <w:rFonts w:ascii="Arial" w:cs="Arial" w:eastAsia="Arial" w:hAnsi="Arial"/>
          <w:sz w:val="18"/>
          <w:szCs w:val="18"/>
          <w:color w:val="auto"/>
        </w:rPr>
        <w:t>monetary damages for breach of fiduciary duty as a director. If</w:t>
      </w:r>
    </w:p>
    <w:p>
      <w:pPr>
        <w:ind w:left="6060"/>
        <w:spacing w:after="0" w:line="235" w:lineRule="auto"/>
        <w:rPr>
          <w:sz w:val="20"/>
          <w:szCs w:val="20"/>
          <w:color w:val="auto"/>
        </w:rPr>
      </w:pPr>
      <w:r>
        <w:rPr>
          <w:rFonts w:ascii="Arial" w:cs="Arial" w:eastAsia="Arial" w:hAnsi="Arial"/>
          <w:sz w:val="18"/>
          <w:szCs w:val="18"/>
          <w:color w:val="auto"/>
        </w:rPr>
        <w:t>the DGCL is amended to authorize corporate action further</w:t>
      </w:r>
    </w:p>
    <w:p>
      <w:pPr>
        <w:ind w:left="6060"/>
        <w:spacing w:after="0" w:line="235" w:lineRule="auto"/>
        <w:rPr>
          <w:sz w:val="20"/>
          <w:szCs w:val="20"/>
          <w:color w:val="auto"/>
        </w:rPr>
      </w:pPr>
      <w:r>
        <w:rPr>
          <w:rFonts w:ascii="Arial" w:cs="Arial" w:eastAsia="Arial" w:hAnsi="Arial"/>
          <w:sz w:val="18"/>
          <w:szCs w:val="18"/>
          <w:color w:val="auto"/>
        </w:rPr>
        <w:t>eliminating or limiting the personal liability of directors, then the</w:t>
      </w:r>
    </w:p>
    <w:p>
      <w:pPr>
        <w:ind w:left="6060"/>
        <w:spacing w:after="0"/>
        <w:rPr>
          <w:sz w:val="20"/>
          <w:szCs w:val="20"/>
          <w:color w:val="auto"/>
        </w:rPr>
      </w:pPr>
      <w:r>
        <w:rPr>
          <w:rFonts w:ascii="Arial" w:cs="Arial" w:eastAsia="Arial" w:hAnsi="Arial"/>
          <w:sz w:val="17"/>
          <w:szCs w:val="17"/>
          <w:color w:val="auto"/>
        </w:rPr>
        <w:t>liability of a director of OncoMed shall be eliminated or limited to</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fullest extent permitted by the DGCL as so amended.</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Directors and Officers Indemnity</w:t>
      </w:r>
    </w:p>
    <w:p>
      <w:pPr>
        <w:sectPr>
          <w:pgSz w:w="11900" w:h="16838" w:orient="portrait"/>
          <w:cols w:equalWidth="0" w:num="1">
            <w:col w:w="11220"/>
          </w:cols>
          <w:pgMar w:left="240" w:top="460" w:right="439" w:bottom="1440" w:gutter="0" w:footer="0" w:header="0"/>
        </w:sectPr>
      </w:pPr>
    </w:p>
    <w:p>
      <w:pPr>
        <w:spacing w:after="0" w:line="126"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114" w:lineRule="exact"/>
        <w:rPr>
          <w:sz w:val="20"/>
          <w:szCs w:val="20"/>
          <w:color w:val="auto"/>
        </w:rPr>
      </w:pPr>
    </w:p>
    <w:p>
      <w:pPr>
        <w:ind w:left="520" w:right="220" w:hanging="316"/>
        <w:spacing w:after="0" w:line="238" w:lineRule="auto"/>
        <w:tabs>
          <w:tab w:leader="none" w:pos="529" w:val="left"/>
        </w:tabs>
        <w:numPr>
          <w:ilvl w:val="0"/>
          <w:numId w:val="205"/>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108" w:lineRule="exact"/>
        <w:rPr>
          <w:rFonts w:ascii="MS PGothic" w:cs="MS PGothic" w:eastAsia="MS PGothic" w:hAnsi="MS PGothic"/>
          <w:sz w:val="13"/>
          <w:szCs w:val="13"/>
          <w:color w:val="auto"/>
        </w:rPr>
      </w:pPr>
    </w:p>
    <w:p>
      <w:pPr>
        <w:ind w:left="520" w:right="20" w:hanging="316"/>
        <w:spacing w:after="0" w:line="236" w:lineRule="auto"/>
        <w:tabs>
          <w:tab w:leader="none" w:pos="529" w:val="left"/>
        </w:tabs>
        <w:numPr>
          <w:ilvl w:val="0"/>
          <w:numId w:val="205"/>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11" w:lineRule="exact"/>
        <w:rPr>
          <w:rFonts w:ascii="MS PGothic" w:cs="MS PGothic" w:eastAsia="MS PGothic" w:hAnsi="MS PGothic"/>
          <w:sz w:val="13"/>
          <w:szCs w:val="13"/>
          <w:color w:val="auto"/>
        </w:rPr>
      </w:pPr>
    </w:p>
    <w:p>
      <w:pPr>
        <w:ind w:left="520" w:right="500" w:hanging="316"/>
        <w:spacing w:after="0" w:line="246" w:lineRule="auto"/>
        <w:tabs>
          <w:tab w:leader="none" w:pos="529" w:val="left"/>
        </w:tabs>
        <w:numPr>
          <w:ilvl w:val="0"/>
          <w:numId w:val="205"/>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Delaware law provides that a corporation may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best interests of the corporation and, with respect to any criminal action or proceeding, had no 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1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Delaware corporation may indemnify the same category of persons in an action by or in the right of the corporation under the same conditions, but only for expenses (including attorneys’ fees), provided that no indemnification is permitted without judicial approval if such</w:t>
      </w:r>
    </w:p>
    <w:p>
      <w:pPr>
        <w:sectPr>
          <w:pgSz w:w="11900" w:h="16838" w:orient="portrait"/>
          <w:cols w:equalWidth="0" w:num="2">
            <w:col w:w="5860" w:space="200"/>
            <w:col w:w="5160"/>
          </w:cols>
          <w:pgMar w:left="240" w:top="460" w:right="439" w:bottom="1440" w:gutter="0" w:footer="0" w:header="0"/>
          <w:type w:val="continuous"/>
        </w:sectPr>
      </w:pPr>
    </w:p>
    <w:bookmarkStart w:id="345" w:name="page346"/>
    <w:bookmarkEnd w:id="3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3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09"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Mereo’s Articles provide that it may indemnify a director of Mereo against</w:t>
      </w:r>
    </w:p>
    <w:p>
      <w:pPr>
        <w:spacing w:after="0" w:line="102" w:lineRule="exact"/>
        <w:rPr>
          <w:sz w:val="20"/>
          <w:szCs w:val="20"/>
          <w:color w:val="auto"/>
        </w:rPr>
      </w:pPr>
    </w:p>
    <w:p>
      <w:pPr>
        <w:ind w:left="520" w:right="80" w:hanging="316"/>
        <w:spacing w:after="0"/>
        <w:tabs>
          <w:tab w:leader="none" w:pos="529" w:val="left"/>
        </w:tabs>
        <w:numPr>
          <w:ilvl w:val="0"/>
          <w:numId w:val="20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any negligence, default, breach of duty or breach of trust in relation to Mereo or an associated company;</w:t>
      </w:r>
    </w:p>
    <w:p>
      <w:pPr>
        <w:spacing w:after="0" w:line="108" w:lineRule="exact"/>
        <w:rPr>
          <w:rFonts w:ascii="MS PGothic" w:cs="MS PGothic" w:eastAsia="MS PGothic" w:hAnsi="MS PGothic"/>
          <w:sz w:val="13"/>
          <w:szCs w:val="13"/>
          <w:color w:val="auto"/>
        </w:rPr>
      </w:pPr>
    </w:p>
    <w:p>
      <w:pPr>
        <w:ind w:left="520" w:hanging="316"/>
        <w:spacing w:after="0"/>
        <w:tabs>
          <w:tab w:leader="none" w:pos="529" w:val="left"/>
        </w:tabs>
        <w:numPr>
          <w:ilvl w:val="0"/>
          <w:numId w:val="206"/>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the activities of the Mereo or an associated company in its capacity as a trustee of an occupational pension scheme; and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person is adjudged to be liable to the corporation.</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OncoMed’s certificate of incorporation and bylaws provide that OncoMed shall indemnify its directors and officers to the fullest extent permitted by the DGCL or any other applicable law. Under its bylaws, OncoMed will not be required to indemnify any director or officer in connection with any proceeding initiated by such person unless the proceeding was authorized in the specific case by the OncoMed Board.</w:t>
      </w:r>
    </w:p>
    <w:p>
      <w:pPr>
        <w:spacing w:after="0" w:line="10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permitted by the DGCL, OncoMed currently has in effect a directors’ and officers’ liability insurance policy.</w:t>
      </w:r>
    </w:p>
    <w:p>
      <w:pPr>
        <w:spacing w:after="0" w:line="1236" w:lineRule="exact"/>
        <w:rPr>
          <w:sz w:val="20"/>
          <w:szCs w:val="20"/>
          <w:color w:val="auto"/>
        </w:rPr>
      </w:pPr>
    </w:p>
    <w:p>
      <w:pPr>
        <w:sectPr>
          <w:pgSz w:w="11900" w:h="16838" w:orient="portrait"/>
          <w:cols w:equalWidth="0" w:num="2">
            <w:col w:w="5800" w:space="260"/>
            <w:col w:w="5140"/>
          </w:cols>
          <w:pgMar w:left="240" w:top="459" w:right="459" w:bottom="1440" w:gutter="0" w:footer="0" w:header="0"/>
          <w:type w:val="continuous"/>
        </w:sectPr>
      </w:pPr>
    </w:p>
    <w:p>
      <w:pPr>
        <w:ind w:left="520" w:right="5440" w:hanging="316"/>
        <w:spacing w:after="0" w:line="238" w:lineRule="auto"/>
        <w:tabs>
          <w:tab w:leader="none" w:pos="529" w:val="left"/>
        </w:tabs>
        <w:numPr>
          <w:ilvl w:val="0"/>
          <w:numId w:val="207"/>
        </w:numPr>
        <w:rPr>
          <w:rFonts w:ascii="MS PGothic" w:cs="MS PGothic" w:eastAsia="MS PGothic" w:hAnsi="MS PGothic"/>
          <w:sz w:val="13"/>
          <w:szCs w:val="13"/>
          <w:color w:val="auto"/>
        </w:rPr>
      </w:pPr>
      <w:r>
        <w:rPr>
          <w:rFonts w:ascii="Arial" w:cs="Arial" w:eastAsia="Arial" w:hAnsi="Arial"/>
          <w:sz w:val="18"/>
          <w:szCs w:val="18"/>
          <w:color w:val="auto"/>
        </w:rPr>
        <w:t>any other liability incurred by that director in the actual or purported execution or discharge of his or her duties, the exercise or purported exercise of his or her powers or otherwise in relation to his or her duties or powers as an officer of Mereo or an associated company.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U.K. Companies Act 2006 also provides that Mereo may lend a</w:t>
      </w:r>
    </w:p>
    <w:p>
      <w:pPr>
        <w:ind w:left="200"/>
        <w:spacing w:after="0" w:line="234" w:lineRule="auto"/>
        <w:rPr>
          <w:sz w:val="20"/>
          <w:szCs w:val="20"/>
          <w:color w:val="auto"/>
        </w:rPr>
      </w:pPr>
      <w:r>
        <w:rPr>
          <w:rFonts w:ascii="Arial" w:cs="Arial" w:eastAsia="Arial" w:hAnsi="Arial"/>
          <w:sz w:val="18"/>
          <w:szCs w:val="18"/>
          <w:color w:val="auto"/>
        </w:rPr>
        <w:t>director of Mereo funds to meet expenditure incurred by him in</w:t>
      </w:r>
    </w:p>
    <w:p>
      <w:pPr>
        <w:ind w:left="200"/>
        <w:spacing w:after="0" w:line="235" w:lineRule="auto"/>
        <w:rPr>
          <w:sz w:val="20"/>
          <w:szCs w:val="20"/>
          <w:color w:val="auto"/>
        </w:rPr>
      </w:pPr>
      <w:r>
        <w:rPr>
          <w:rFonts w:ascii="Arial" w:cs="Arial" w:eastAsia="Arial" w:hAnsi="Arial"/>
          <w:sz w:val="18"/>
          <w:szCs w:val="18"/>
          <w:color w:val="auto"/>
        </w:rPr>
        <w:t>defending any criminal or civil proceedings in connection with any</w:t>
      </w:r>
    </w:p>
    <w:p>
      <w:pPr>
        <w:ind w:left="200"/>
        <w:spacing w:after="0" w:line="235" w:lineRule="auto"/>
        <w:rPr>
          <w:sz w:val="20"/>
          <w:szCs w:val="20"/>
          <w:color w:val="auto"/>
        </w:rPr>
      </w:pPr>
      <w:r>
        <w:rPr>
          <w:rFonts w:ascii="Arial" w:cs="Arial" w:eastAsia="Arial" w:hAnsi="Arial"/>
          <w:sz w:val="18"/>
          <w:szCs w:val="18"/>
          <w:color w:val="auto"/>
        </w:rPr>
        <w:t>alleged negligence, default, breach of duty or breach of trust by him in</w:t>
      </w:r>
    </w:p>
    <w:p>
      <w:pPr>
        <w:ind w:left="200"/>
        <w:spacing w:after="0" w:line="235" w:lineRule="auto"/>
        <w:rPr>
          <w:sz w:val="20"/>
          <w:szCs w:val="20"/>
          <w:color w:val="auto"/>
        </w:rPr>
      </w:pPr>
      <w:r>
        <w:rPr>
          <w:rFonts w:ascii="Arial" w:cs="Arial" w:eastAsia="Arial" w:hAnsi="Arial"/>
          <w:sz w:val="18"/>
          <w:szCs w:val="18"/>
          <w:color w:val="auto"/>
        </w:rPr>
        <w:t>relation to Mereo or an associated company, or in connection with an</w:t>
      </w:r>
    </w:p>
    <w:p>
      <w:pPr>
        <w:ind w:left="200"/>
        <w:spacing w:after="0" w:line="235" w:lineRule="auto"/>
        <w:rPr>
          <w:sz w:val="20"/>
          <w:szCs w:val="20"/>
          <w:color w:val="auto"/>
        </w:rPr>
      </w:pPr>
      <w:r>
        <w:rPr>
          <w:rFonts w:ascii="Arial" w:cs="Arial" w:eastAsia="Arial" w:hAnsi="Arial"/>
          <w:sz w:val="18"/>
          <w:szCs w:val="18"/>
          <w:color w:val="auto"/>
        </w:rPr>
        <w:t>application for certain specified relief, subject to the requirement that</w:t>
      </w:r>
    </w:p>
    <w:p>
      <w:pPr>
        <w:ind w:left="200"/>
        <w:spacing w:after="0" w:line="235" w:lineRule="auto"/>
        <w:rPr>
          <w:sz w:val="20"/>
          <w:szCs w:val="20"/>
          <w:color w:val="auto"/>
        </w:rPr>
      </w:pPr>
      <w:r>
        <w:rPr>
          <w:rFonts w:ascii="Arial" w:cs="Arial" w:eastAsia="Arial" w:hAnsi="Arial"/>
          <w:sz w:val="18"/>
          <w:szCs w:val="18"/>
          <w:color w:val="auto"/>
        </w:rPr>
        <w:t>the loan must be on terms that it is to be repaid if the defense or the</w:t>
      </w:r>
    </w:p>
    <w:p>
      <w:pPr>
        <w:ind w:left="200"/>
        <w:spacing w:after="0"/>
        <w:rPr>
          <w:sz w:val="20"/>
          <w:szCs w:val="20"/>
          <w:color w:val="auto"/>
        </w:rPr>
      </w:pPr>
      <w:r>
        <w:rPr>
          <w:rFonts w:ascii="Arial" w:cs="Arial" w:eastAsia="Arial" w:hAnsi="Arial"/>
          <w:sz w:val="18"/>
          <w:szCs w:val="18"/>
          <w:color w:val="auto"/>
        </w:rPr>
        <w:t>application for relief is unsuccessful.</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Insurance</w:t>
      </w:r>
    </w:p>
    <w:p>
      <w:pPr>
        <w:sectPr>
          <w:pgSz w:w="11900" w:h="16838" w:orient="portrait"/>
          <w:cols w:equalWidth="0" w:num="1">
            <w:col w:w="11200"/>
          </w:cols>
          <w:pgMar w:left="240" w:top="459" w:right="459" w:bottom="1440" w:gutter="0" w:footer="0" w:header="0"/>
          <w:type w:val="continuous"/>
        </w:sectPr>
      </w:pPr>
    </w:p>
    <w:p>
      <w:pPr>
        <w:spacing w:after="0" w:line="126"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So far as permitted by law, directors of Mereo may decide to purchase and maintain insurance, at the expense of Mereo, for the benefit of directors in respect of any loss or liability which has been or may be incurred by director in connection with that director’s actual or purported execution and/or discharge of his or her duties or powers in relation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326</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OncoMed’s bylaws provide that OncoMed may purchase and maintain insurance on behalf of any person who is or was a director, officer, employee or agent of OncoMed, or is or was serving at the request of OncoMed as a director, officer, employee or agent of another corporation, partnership, joint venture, trust</w:t>
      </w:r>
    </w:p>
    <w:p>
      <w:pPr>
        <w:sectPr>
          <w:pgSz w:w="11900" w:h="16838" w:orient="portrait"/>
          <w:cols w:equalWidth="0" w:num="2">
            <w:col w:w="5860" w:space="200"/>
            <w:col w:w="5140"/>
          </w:cols>
          <w:pgMar w:left="240" w:top="459" w:right="459" w:bottom="1440" w:gutter="0" w:footer="0" w:header="0"/>
          <w:type w:val="continuous"/>
        </w:sectPr>
      </w:pPr>
    </w:p>
    <w:bookmarkStart w:id="346" w:name="page347"/>
    <w:bookmarkEnd w:id="3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to Mereo, any associated company or any pension fund or employees’ share scheme of Mereo or an associated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enterprise or non-profit entity against any liability asserted against him or her and incurred by him or her in any such capacity, or arising out of his or her status as such, whether or not OncoMed would have the power to indemnify him or her against such liability under the provisions of the DGCL.</w:t>
      </w:r>
    </w:p>
    <w:p>
      <w:pPr>
        <w:spacing w:after="0" w:line="73" w:lineRule="exact"/>
        <w:rPr>
          <w:sz w:val="20"/>
          <w:szCs w:val="20"/>
          <w:color w:val="auto"/>
        </w:rPr>
      </w:pPr>
    </w:p>
    <w:p>
      <w:pPr>
        <w:sectPr>
          <w:pgSz w:w="11900" w:h="16838" w:orient="portrait"/>
          <w:cols w:equalWidth="0" w:num="2">
            <w:col w:w="5800" w:space="26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Derivative Suits and Class Action Suits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w:t>
      </w:r>
    </w:p>
    <w:p>
      <w:pPr>
        <w:spacing w:after="0" w:line="5" w:lineRule="exact"/>
        <w:rPr>
          <w:sz w:val="20"/>
          <w:szCs w:val="20"/>
          <w:color w:val="auto"/>
        </w:rPr>
      </w:pPr>
    </w:p>
    <w:p>
      <w:pPr>
        <w:ind w:left="200" w:right="60" w:firstLine="4"/>
        <w:spacing w:after="0" w:line="238" w:lineRule="auto"/>
        <w:tabs>
          <w:tab w:leader="none" w:pos="47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0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OncoMed’s certificate of incorporation provides that unless OncoMed consents in writing to the selection of an alternate forum, the Court of Chancery shall, to the fullest extent permitted by applicable law, be the sole and exclusive forum for any derivative action or proceeding brought on behalf of OncoMed.</w:t>
      </w:r>
    </w:p>
    <w:p>
      <w:pPr>
        <w:spacing w:after="0" w:line="3234" w:lineRule="exact"/>
        <w:rPr>
          <w:sz w:val="20"/>
          <w:szCs w:val="20"/>
          <w:color w:val="auto"/>
        </w:rPr>
      </w:pPr>
    </w:p>
    <w:p>
      <w:pPr>
        <w:sectPr>
          <w:pgSz w:w="11900" w:h="16838" w:orient="portrait"/>
          <w:cols w:equalWidth="0" w:num="2">
            <w:col w:w="5820" w:space="24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Conflicts of Interest Transactions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08" w:lineRule="exact"/>
        <w:rPr>
          <w:sz w:val="20"/>
          <w:szCs w:val="20"/>
          <w:color w:val="auto"/>
        </w:rPr>
      </w:pPr>
    </w:p>
    <w:p>
      <w:pPr>
        <w:ind w:left="200" w:right="300"/>
        <w:spacing w:after="0" w:line="275" w:lineRule="auto"/>
        <w:rPr>
          <w:sz w:val="20"/>
          <w:szCs w:val="20"/>
          <w:color w:val="auto"/>
        </w:rPr>
      </w:pPr>
      <w:r>
        <w:rPr>
          <w:rFonts w:ascii="Arial" w:cs="Arial" w:eastAsia="Arial" w:hAnsi="Arial"/>
          <w:sz w:val="17"/>
          <w:szCs w:val="17"/>
          <w:color w:val="auto"/>
        </w:rPr>
        <w:t>The duty to avoid a conflict of interest is not infringed if the situation cannot reasonably be regarded as likely to give rise to a conflict 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327</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OncoMed has adopted a Code of Business Conduct and Ethics that covers, among other things, the handling of conflicts of interest. Under this policy, conflict of interest issues concerning OncoMed’s directors will be addressed by OncoMed’s Audit Committee. The OncoMed Code of Business Conduct and Ethics is available on OncoMed’s website at www.oncomed.com.</w:t>
      </w:r>
    </w:p>
    <w:p>
      <w:pPr>
        <w:sectPr>
          <w:pgSz w:w="11900" w:h="16838" w:orient="portrait"/>
          <w:cols w:equalWidth="0" w:num="2">
            <w:col w:w="5860" w:space="200"/>
            <w:col w:w="5160"/>
          </w:cols>
          <w:pgMar w:left="240" w:top="459" w:right="439" w:bottom="1440" w:gutter="0" w:footer="0" w:header="0"/>
          <w:type w:val="continuous"/>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6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or if the matter has been authorized by the directors.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description of the provisions of the Mereo Articles relating to</w:t>
      </w:r>
    </w:p>
    <w:p>
      <w:pPr>
        <w:ind w:left="200"/>
        <w:spacing w:after="0" w:line="234" w:lineRule="auto"/>
        <w:rPr>
          <w:sz w:val="20"/>
          <w:szCs w:val="20"/>
          <w:color w:val="auto"/>
        </w:rPr>
      </w:pPr>
      <w:r>
        <w:rPr>
          <w:rFonts w:ascii="Arial" w:cs="Arial" w:eastAsia="Arial" w:hAnsi="Arial"/>
          <w:sz w:val="18"/>
          <w:szCs w:val="18"/>
          <w:color w:val="auto"/>
        </w:rPr>
        <w:t>conflicts of interest, see “—Description of the Mereo Shares and</w:t>
      </w:r>
    </w:p>
    <w:p>
      <w:pPr>
        <w:ind w:left="200"/>
        <w:spacing w:after="0" w:line="235" w:lineRule="auto"/>
        <w:rPr>
          <w:sz w:val="20"/>
          <w:szCs w:val="20"/>
          <w:color w:val="auto"/>
        </w:rPr>
      </w:pPr>
      <w:r>
        <w:rPr>
          <w:rFonts w:ascii="Arial" w:cs="Arial" w:eastAsia="Arial" w:hAnsi="Arial"/>
          <w:sz w:val="18"/>
          <w:szCs w:val="18"/>
          <w:color w:val="auto"/>
        </w:rPr>
        <w:t>Articles of Association—Articles of Association—Directors—Directors’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Interests” in this proxy statement/prospectus.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Certain Business Combinations</w:t>
      </w:r>
    </w:p>
    <w:p>
      <w:pPr>
        <w:sectPr>
          <w:pgSz w:w="11900" w:h="16838" w:orient="portrait"/>
          <w:cols w:equalWidth="0" w:num="1">
            <w:col w:w="11200"/>
          </w:cols>
          <w:pgMar w:left="240" w:top="459" w:right="459" w:bottom="1440" w:gutter="0" w:footer="0" w:header="0"/>
        </w:sectPr>
      </w:pPr>
    </w:p>
    <w:p>
      <w:pPr>
        <w:spacing w:after="0" w:line="126"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There is no direct equivalent limitation under the U.K. Companies Act 2006. However, directors must have regard to their statutory duty of independence and duty to avoid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8" w:right="40"/>
        <w:spacing w:after="0" w:line="238" w:lineRule="auto"/>
        <w:rPr>
          <w:sz w:val="20"/>
          <w:szCs w:val="20"/>
          <w:color w:val="auto"/>
        </w:rPr>
      </w:pPr>
      <w:r>
        <w:rPr>
          <w:rFonts w:ascii="Arial" w:cs="Arial" w:eastAsia="Arial" w:hAnsi="Arial"/>
          <w:sz w:val="18"/>
          <w:szCs w:val="18"/>
          <w:color w:val="auto"/>
        </w:rPr>
        <w:t>Section 203 of the DGCL prohibits certain “business combinations.” A corporation shall not engage in any business combination with any interested stockholder for a period of three years following the time that such stockholder became an interested stockholder, unless:</w:t>
      </w:r>
    </w:p>
    <w:p>
      <w:pPr>
        <w:spacing w:after="0" w:line="108" w:lineRule="exact"/>
        <w:rPr>
          <w:sz w:val="20"/>
          <w:szCs w:val="20"/>
          <w:color w:val="auto"/>
        </w:rPr>
      </w:pPr>
    </w:p>
    <w:p>
      <w:pPr>
        <w:ind w:left="328" w:right="60" w:hanging="328"/>
        <w:spacing w:after="0" w:line="239" w:lineRule="auto"/>
        <w:tabs>
          <w:tab w:leader="none" w:pos="31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07" w:lineRule="exact"/>
        <w:rPr>
          <w:rFonts w:ascii="Arial" w:cs="Arial" w:eastAsia="Arial" w:hAnsi="Arial"/>
          <w:sz w:val="18"/>
          <w:szCs w:val="18"/>
          <w:color w:val="auto"/>
        </w:rPr>
      </w:pPr>
    </w:p>
    <w:p>
      <w:pPr>
        <w:ind w:left="328" w:right="60" w:hanging="328"/>
        <w:spacing w:after="0" w:line="236" w:lineRule="auto"/>
        <w:tabs>
          <w:tab w:leader="none" w:pos="31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10" w:lineRule="exact"/>
        <w:rPr>
          <w:rFonts w:ascii="Arial" w:cs="Arial" w:eastAsia="Arial" w:hAnsi="Arial"/>
          <w:sz w:val="18"/>
          <w:szCs w:val="18"/>
          <w:color w:val="auto"/>
        </w:rPr>
      </w:pPr>
    </w:p>
    <w:p>
      <w:pPr>
        <w:ind w:left="328" w:hanging="328"/>
        <w:spacing w:after="0" w:line="237" w:lineRule="auto"/>
        <w:tabs>
          <w:tab w:leader="none" w:pos="30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was approved by the board of directors and authorized at an annual or special meeting of stockholders, and not by written consent, by the affirmative vote of at least 66-2/3% of the outstanding voting stock which is not owned by the interested stockholder.</w:t>
      </w:r>
    </w:p>
    <w:p>
      <w:pPr>
        <w:sectPr>
          <w:pgSz w:w="11900" w:h="16838" w:orient="portrait"/>
          <w:cols w:equalWidth="0" w:num="2">
            <w:col w:w="5860" w:space="192"/>
            <w:col w:w="5148"/>
          </w:cols>
          <w:pgMar w:left="240" w:top="459" w:right="459" w:bottom="1440" w:gutter="0" w:footer="0" w:header="0"/>
          <w:type w:val="continuous"/>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4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Proxy Statements</w:t>
      </w:r>
    </w:p>
    <w:p>
      <w:pPr>
        <w:sectPr>
          <w:pgSz w:w="11900" w:h="16838" w:orient="portrait"/>
          <w:cols w:equalWidth="0" w:num="1">
            <w:col w:w="11180"/>
          </w:cols>
          <w:pgMar w:left="240" w:top="460" w:right="479" w:bottom="1440" w:gutter="0" w:footer="0" w:header="0"/>
        </w:sectPr>
      </w:pPr>
    </w:p>
    <w:p>
      <w:pPr>
        <w:spacing w:after="0" w:line="12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As a foreign private issuer, Mereo will not be governed by the proxy rules under the Exchange Act.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Under the Exchange Act proxy rules, OncoMed must comply with notice and disclosure requirements relating to the solicitation of proxies for stockholder meetings.</w:t>
      </w:r>
    </w:p>
    <w:p>
      <w:pPr>
        <w:spacing w:after="0" w:line="73" w:lineRule="exact"/>
        <w:rPr>
          <w:sz w:val="20"/>
          <w:szCs w:val="20"/>
          <w:color w:val="auto"/>
        </w:rPr>
      </w:pPr>
    </w:p>
    <w:p>
      <w:pPr>
        <w:sectPr>
          <w:pgSz w:w="11900" w:h="16838" w:orient="portrait"/>
          <w:cols w:equalWidth="0" w:num="2">
            <w:col w:w="5560" w:space="500"/>
            <w:col w:w="5120"/>
          </w:cols>
          <w:pgMar w:left="240" w:top="460" w:right="479" w:bottom="1440" w:gutter="0" w:footer="0" w:header="0"/>
          <w:type w:val="continuous"/>
        </w:sectPr>
      </w:pPr>
    </w:p>
    <w:p>
      <w:pPr>
        <w:jc w:val="center"/>
        <w:ind w:right="-239"/>
        <w:spacing w:after="0"/>
        <w:rPr>
          <w:sz w:val="20"/>
          <w:szCs w:val="20"/>
          <w:color w:val="auto"/>
        </w:rPr>
      </w:pPr>
      <w:r>
        <w:rPr>
          <w:rFonts w:ascii="Arial" w:cs="Arial" w:eastAsia="Arial" w:hAnsi="Arial"/>
          <w:sz w:val="17"/>
          <w:szCs w:val="17"/>
          <w:b w:val="1"/>
          <w:bCs w:val="1"/>
          <w:i w:val="1"/>
          <w:iCs w:val="1"/>
          <w:color w:val="auto"/>
        </w:rPr>
        <w:t>Reporting Requirements</w:t>
      </w:r>
    </w:p>
    <w:p>
      <w:pPr>
        <w:sectPr>
          <w:pgSz w:w="11900" w:h="16838" w:orient="portrait"/>
          <w:cols w:equalWidth="0" w:num="1">
            <w:col w:w="11180"/>
          </w:cols>
          <w:pgMar w:left="240" w:top="460" w:right="479" w:bottom="1440" w:gutter="0" w:footer="0" w:header="0"/>
          <w:type w:val="continuous"/>
        </w:sectPr>
      </w:pPr>
    </w:p>
    <w:p>
      <w:pPr>
        <w:spacing w:after="0" w:line="13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Since Mereo will become a foreign private issuer and, following the consummation of the merger, its securities will be listed on Nasdaq and registered under Section 12 of the Exchange Act, Mereo will be required to publicly file with the SEC annual reports on Form 20-F within four months after the end of each fiscal year and reports on Form 6-K.</w:t>
      </w:r>
    </w:p>
    <w:p>
      <w:pPr>
        <w:spacing w:after="0" w:line="111"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 addition, according to the AIM Rules, which apply to Mereo due to the quotation of the Mereo Shares on AIM, Mereo must publish:</w:t>
      </w:r>
    </w:p>
    <w:p>
      <w:pPr>
        <w:spacing w:after="0" w:line="102" w:lineRule="exact"/>
        <w:rPr>
          <w:sz w:val="20"/>
          <w:szCs w:val="20"/>
          <w:color w:val="auto"/>
        </w:rPr>
      </w:pPr>
    </w:p>
    <w:p>
      <w:pPr>
        <w:ind w:left="520" w:right="120" w:hanging="316"/>
        <w:spacing w:after="0" w:line="246" w:lineRule="auto"/>
        <w:tabs>
          <w:tab w:leader="none" w:pos="529" w:val="left"/>
        </w:tabs>
        <w:numPr>
          <w:ilvl w:val="0"/>
          <w:numId w:val="210"/>
        </w:numPr>
        <w:rPr>
          <w:rFonts w:ascii="MS PGothic" w:cs="MS PGothic" w:eastAsia="MS PGothic" w:hAnsi="MS PGothic"/>
          <w:sz w:val="13"/>
          <w:szCs w:val="13"/>
          <w:color w:val="auto"/>
        </w:rPr>
      </w:pPr>
      <w:r>
        <w:rPr>
          <w:rFonts w:ascii="Arial" w:cs="Arial" w:eastAsia="Arial" w:hAnsi="Arial"/>
          <w:sz w:val="18"/>
          <w:szCs w:val="18"/>
          <w:color w:val="auto"/>
        </w:rPr>
        <w:t>its annual audited accounts as of the end of each financial year within six months after the end of each financial year at the latest;</w:t>
      </w:r>
    </w:p>
    <w:p>
      <w:pPr>
        <w:spacing w:after="0" w:line="102" w:lineRule="exact"/>
        <w:rPr>
          <w:rFonts w:ascii="MS PGothic" w:cs="MS PGothic" w:eastAsia="MS PGothic" w:hAnsi="MS PGothic"/>
          <w:sz w:val="13"/>
          <w:szCs w:val="13"/>
          <w:color w:val="auto"/>
        </w:rPr>
      </w:pPr>
    </w:p>
    <w:p>
      <w:pPr>
        <w:ind w:left="520" w:right="200" w:hanging="316"/>
        <w:spacing w:after="0"/>
        <w:tabs>
          <w:tab w:leader="none" w:pos="529" w:val="left"/>
        </w:tabs>
        <w:numPr>
          <w:ilvl w:val="0"/>
          <w:numId w:val="210"/>
        </w:numPr>
        <w:rPr>
          <w:rFonts w:ascii="MS PGothic" w:cs="MS PGothic" w:eastAsia="MS PGothic" w:hAnsi="MS PGothic"/>
          <w:sz w:val="13"/>
          <w:szCs w:val="13"/>
          <w:color w:val="auto"/>
        </w:rPr>
      </w:pPr>
      <w:r>
        <w:rPr>
          <w:rFonts w:ascii="Arial" w:cs="Arial" w:eastAsia="Arial" w:hAnsi="Arial"/>
          <w:sz w:val="18"/>
          <w:szCs w:val="18"/>
          <w:color w:val="auto"/>
        </w:rPr>
        <w:t>half-yearly financial statements for the first six months of a financial year within three months after the end of each reporting period at the latest.</w:t>
      </w:r>
    </w:p>
    <w:p>
      <w:pPr>
        <w:spacing w:after="0" w:line="108"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Furthermore, according to the EU Market Abuse Regulation, Mereo must, as soon as possible, publish all inside information that directly concerns it. In particular, inside information directly concerns an issuer if it relates to developments within the issuer’s sphere of activity. Inside information is, broadly, any specific information about circumstances that are not public knowledge relating to Mereo or the Mereo Shares that, if it became publicly known, would have a significant effect on the price of Mereo Shares.</w:t>
      </w:r>
    </w:p>
    <w:p>
      <w:pPr>
        <w:spacing w:after="0" w:line="11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Any Mereo shareholder who holds voting rights in Mereo, directly or indirectly, the percentage of which reaches, exceeds or falls below 3%, 4% and each 1% threshold thereafter up to 100% as a result of an acquisition or disposal of shares or financial instruments, shall, without undue delay, and within two trading days at the latest as from the transaction, notify this to Mereo and simultaneously to the FCA.</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329</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8" w:right="340"/>
        <w:spacing w:after="0" w:line="246" w:lineRule="auto"/>
        <w:rPr>
          <w:sz w:val="20"/>
          <w:szCs w:val="20"/>
          <w:color w:val="auto"/>
        </w:rPr>
      </w:pPr>
      <w:r>
        <w:rPr>
          <w:rFonts w:ascii="Arial" w:cs="Arial" w:eastAsia="Arial" w:hAnsi="Arial"/>
          <w:sz w:val="18"/>
          <w:szCs w:val="18"/>
          <w:color w:val="auto"/>
        </w:rPr>
        <w:t>As a U.S. public company, OncoMed must file with the SEC, among other reports and notices:</w:t>
      </w:r>
    </w:p>
    <w:p>
      <w:pPr>
        <w:spacing w:after="0" w:line="102" w:lineRule="exact"/>
        <w:rPr>
          <w:sz w:val="20"/>
          <w:szCs w:val="20"/>
          <w:color w:val="auto"/>
        </w:rPr>
      </w:pPr>
    </w:p>
    <w:p>
      <w:pPr>
        <w:ind w:left="328" w:right="20" w:hanging="328"/>
        <w:spacing w:after="0" w:line="246" w:lineRule="auto"/>
        <w:tabs>
          <w:tab w:leader="none" w:pos="31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Annual Report on Form 10-K within 60 days after the end of a fiscal year;</w:t>
      </w:r>
    </w:p>
    <w:p>
      <w:pPr>
        <w:spacing w:after="0" w:line="102" w:lineRule="exact"/>
        <w:rPr>
          <w:rFonts w:ascii="Arial" w:cs="Arial" w:eastAsia="Arial" w:hAnsi="Arial"/>
          <w:sz w:val="18"/>
          <w:szCs w:val="18"/>
          <w:color w:val="auto"/>
        </w:rPr>
      </w:pPr>
    </w:p>
    <w:p>
      <w:pPr>
        <w:ind w:left="328" w:right="260" w:hanging="328"/>
        <w:spacing w:after="0" w:line="246" w:lineRule="auto"/>
        <w:tabs>
          <w:tab w:leader="none" w:pos="31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Quarterly Report on Form 10-Q within 40 days after the end of a fiscal quarter ending; and</w:t>
      </w:r>
    </w:p>
    <w:p>
      <w:pPr>
        <w:spacing w:after="0" w:line="102" w:lineRule="exact"/>
        <w:rPr>
          <w:rFonts w:ascii="Arial" w:cs="Arial" w:eastAsia="Arial" w:hAnsi="Arial"/>
          <w:sz w:val="18"/>
          <w:szCs w:val="18"/>
          <w:color w:val="auto"/>
        </w:rPr>
      </w:pPr>
    </w:p>
    <w:p>
      <w:pPr>
        <w:ind w:left="328" w:hanging="328"/>
        <w:spacing w:after="0" w:line="239" w:lineRule="auto"/>
        <w:tabs>
          <w:tab w:leader="none" w:pos="31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Current Reports on Form 8-K upon the occurrence of certain important corporate events. Unless otherwise specified, a report is to be filed or furnished within four business days after occurrence of the event.</w:t>
      </w:r>
    </w:p>
    <w:p>
      <w:pPr>
        <w:sectPr>
          <w:pgSz w:w="11900" w:h="16838" w:orient="portrait"/>
          <w:cols w:equalWidth="0" w:num="2">
            <w:col w:w="5860" w:space="192"/>
            <w:col w:w="5128"/>
          </w:cols>
          <w:pgMar w:left="240" w:top="460" w:right="479" w:bottom="1440" w:gutter="0" w:footer="0" w:header="0"/>
          <w:type w:val="continuous"/>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Short-Swing Profits</w:t>
      </w:r>
    </w:p>
    <w:p>
      <w:pPr>
        <w:sectPr>
          <w:pgSz w:w="11900" w:h="16838" w:orient="portrait"/>
          <w:cols w:equalWidth="0" w:num="1">
            <w:col w:w="11220"/>
          </w:cols>
          <w:pgMar w:left="240" w:top="460" w:right="439" w:bottom="1440" w:gutter="0" w:footer="0" w:header="0"/>
        </w:sectPr>
      </w:pPr>
    </w:p>
    <w:p>
      <w:pPr>
        <w:spacing w:after="0" w:line="126" w:lineRule="exact"/>
        <w:rPr>
          <w:sz w:val="20"/>
          <w:szCs w:val="20"/>
          <w:color w:val="auto"/>
        </w:rPr>
      </w:pPr>
    </w:p>
    <w:p>
      <w:pPr>
        <w:jc w:val="both"/>
        <w:ind w:left="200" w:right="400"/>
        <w:spacing w:after="0"/>
        <w:rPr>
          <w:sz w:val="20"/>
          <w:szCs w:val="20"/>
          <w:color w:val="auto"/>
        </w:rPr>
      </w:pPr>
      <w:r>
        <w:rPr>
          <w:rFonts w:ascii="Arial" w:cs="Arial" w:eastAsia="Arial" w:hAnsi="Arial"/>
          <w:sz w:val="18"/>
          <w:szCs w:val="18"/>
          <w:color w:val="auto"/>
        </w:rPr>
        <w:t>Directors, officers and principal shareholders of Mereo will not be subject to the Exchange Act’s “short-swing” profit rules, because Mereo will be a foreign private issuer under the Exchange Act.</w:t>
      </w:r>
    </w:p>
    <w:p>
      <w:pPr>
        <w:spacing w:after="0" w:line="108"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However, directors of Mereo will be subject to applicable English and U.S. laws prohibiting insider trading.</w:t>
      </w:r>
    </w:p>
    <w:p>
      <w:pPr>
        <w:spacing w:after="0" w:line="10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Directors, officers and other persons discharging managerial responsibilities, as well as persons closely related to them, are required to notify certain own account transactions in Mereo Shares to Mereo and the FCA.</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Because OncoMed has a class of equity securities registered under Section 12 of the Exchange Act, the reporting and “short-swing” profit recovery provisions of Section 16 of the Exchange Act (and the related rules) apply to OncoMed’s officers, directors and principal shareholders.</w:t>
      </w:r>
    </w:p>
    <w:p>
      <w:pPr>
        <w:spacing w:after="0" w:line="1139" w:lineRule="exact"/>
        <w:rPr>
          <w:sz w:val="20"/>
          <w:szCs w:val="20"/>
          <w:color w:val="auto"/>
        </w:rPr>
      </w:pPr>
    </w:p>
    <w:p>
      <w:pPr>
        <w:sectPr>
          <w:pgSz w:w="11900" w:h="16838" w:orient="portrait"/>
          <w:cols w:equalWidth="0" w:num="2">
            <w:col w:w="5780" w:space="280"/>
            <w:col w:w="5160"/>
          </w:cols>
          <w:pgMar w:left="240" w:top="460" w:right="439" w:bottom="1440" w:gutter="0" w:footer="0" w:header="0"/>
          <w:type w:val="continuous"/>
        </w:sectPr>
      </w:pPr>
    </w:p>
    <w:p>
      <w:pPr>
        <w:ind w:left="1440"/>
        <w:spacing w:after="0"/>
        <w:rPr>
          <w:sz w:val="20"/>
          <w:szCs w:val="20"/>
          <w:color w:val="auto"/>
        </w:rPr>
      </w:pPr>
      <w:r>
        <w:rPr>
          <w:rFonts w:ascii="Arial" w:cs="Arial" w:eastAsia="Arial" w:hAnsi="Arial"/>
          <w:sz w:val="17"/>
          <w:szCs w:val="17"/>
          <w:b w:val="1"/>
          <w:bCs w:val="1"/>
          <w:i w:val="1"/>
          <w:iCs w:val="1"/>
          <w:color w:val="auto"/>
        </w:rPr>
        <w:t>Enforcement of Civil Liabilities Against Non-United States Persons and Enforceability of Judgments</w:t>
      </w:r>
    </w:p>
    <w:p>
      <w:pPr>
        <w:sectPr>
          <w:pgSz w:w="11900" w:h="16838" w:orient="portrait"/>
          <w:cols w:equalWidth="0" w:num="1">
            <w:col w:w="11220"/>
          </w:cols>
          <w:pgMar w:left="240" w:top="460" w:right="439" w:bottom="1440" w:gutter="0" w:footer="0" w:header="0"/>
          <w:type w:val="continuous"/>
        </w:sectPr>
      </w:pPr>
    </w:p>
    <w:p>
      <w:pPr>
        <w:spacing w:after="0" w:line="13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Mereo is a corporation organized under the laws of England and Wales and its corporate headquarters will remain in England following the consummation of the merger. Many of the directors and officers of Mereo following the merger will be residents of jurisdictions outside the United States. In addition, although Mereo will, following consummation of the Merger, have substantial assets in the United States, the majority of Mereo’s assets and a large proportion of the assets of certain of its directors and officers will be located outside of the United States.</w:t>
      </w:r>
    </w:p>
    <w:p>
      <w:pPr>
        <w:spacing w:after="0" w:line="11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As a result of the foregoing, U.S. investors may find it difficult in a lawsuit based on the civil liability provisions of the United States federal securities laws: (1) to effect service within the United States upon Mereo and Mereo’s directors and officers that are located outside the United States; (2) to enforce in United States courts or outside the United States, judgments obtained against those persons in United States courts; (3) to enforce, in United States courts, judgments obtained against those persons in courts in jurisdictions outside the United States; and (4) to enforce against those persons in the United Kingdom, whether in original actions or in actions for the enforcement of judgments of U.S. courts, civil liabilities based solely upon the United States federal securities laws.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 is a U.S. company incorporated under the laws of Delaware and has substantial assets located in the U.S. As a result, investors generally can initiate lawsuits in the U.S. against OncoMed and its directors and officers and can enforce lawsuits based on U.S. federal securities laws in U.S. courts.</w:t>
      </w:r>
    </w:p>
    <w:p>
      <w:pPr>
        <w:sectPr>
          <w:pgSz w:w="11900" w:h="16838" w:orient="portrait"/>
          <w:cols w:equalWidth="0" w:num="2">
            <w:col w:w="5860" w:space="200"/>
            <w:col w:w="5160"/>
          </w:cols>
          <w:pgMar w:left="240" w:top="460" w:right="439" w:bottom="1440" w:gutter="0" w:footer="0" w:header="0"/>
          <w:type w:val="continuous"/>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EXCHANGE CONTROLS</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Other than certain economic sanctions which may in place from time to time, there are currently no United Kingdom laws, decrees or regulations restricting the import or export of capital or affecting the remittance of dividends or other payment to holders of Mereo Shares who are non-residents of the United Kingdom. Similarly, other than certain economic sanctions which may be in force from time to time, there are no limitations relating only to non-residents of the United Kingdom under English law or Mereo’s Articles on the right to be a holder of, and to vote in respect of, Mereo Shares.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331</w:t>
      </w:r>
    </w:p>
    <w:p>
      <w:pPr>
        <w:sectPr>
          <w:pgSz w:w="11900" w:h="16838" w:orient="portrait"/>
          <w:cols w:equalWidth="0" w:num="1">
            <w:col w:w="11060"/>
          </w:cols>
          <w:pgMar w:left="240" w:top="459" w:right="59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SUBMISSION OF STOCKHOLDER PROPOSALS</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Only such business will be conducted at the OncoMed Special Meeting as will have been brought by the OncoMed Board before the special meeting pursuant to the attached “OncoMed Pharmaceuticals, Inc. Notice of Special Meeting of Stockholders.”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STOCKHOLDER PROPOSALS TO BE PRESENTED AT NEXT ANNUAL MEETING</w:t>
      </w:r>
    </w:p>
    <w:p>
      <w:pPr>
        <w:spacing w:after="0" w:line="342"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OncoMed is not expected to hold its 2019 annual meeting of stockholders if the Merger is completed on the timeline currently contemplated.</w:t>
      </w:r>
    </w:p>
    <w:p>
      <w:pPr>
        <w:spacing w:after="0" w:line="197"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If OncoMed’s 2019 annual meeting of stockholders is held, as previously stated in the OncoMed proxy statement filed with the SEC on April 27, 2018, stockholder proposals will be considered for inclusion in OncoMed’s 2019 annual meeting proxy materials for the meeting so long as they are provided to OncoMed on a timely basis and satisfy the other conditions set forth in applicable SEC rules. For a stockholder proposal to be included in OncoMed’s 2019 annual meeting proxy statement and form of proxy, it must have been received by OncoMed’s Secretary, in writing, no later than December 28, 2018, at OncoMed’s executive offices: OncoMed Pharmaceuticals, Inc.,</w:t>
      </w:r>
    </w:p>
    <w:p>
      <w:pPr>
        <w:spacing w:after="0" w:line="4"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800 Chesapeake Drive, Redwood City, California 94063. The rules of the SEC contain detailed requirements for submitting proposals for inclusion in OncoMed’s 2019 proxy statement and permit OncoMed to exclude proposals from OncoMed’s proxy statement in specified circumstances.</w:t>
      </w:r>
    </w:p>
    <w:p>
      <w:pPr>
        <w:spacing w:after="0" w:line="1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b w:val="1"/>
          <w:bCs w:val="1"/>
          <w:color w:val="auto"/>
        </w:rPr>
        <w:t>IN ACCORDANCE WITH THE ONCOMED BYLAWS, STOCKHOLDERS WHO DO NOT SUBMIT A PROPOSAL FOR INCLUSION IN ONCOMED’S 2019 ANNUAL MEETING PROXY STATEMENT, AS DESCRIBED IN THE IMMEDIATELY PRECEDING PARAGRAPH, BUT WHO INTEND TO PRESENT A PROPOSAL, NOMINATION FOR DIRECTOR OR OTHER BUSINESS FOR CONSIDERATION AT ONCOMED’S 2019 ANNUAL MEETING, SUCH PROPOSAL, NOMINATION FOR DIRECTOR OR OTHER BUSINESS FOR CONSIDERATION MUST BE SUBMITTED IN WRITING TO ONCOMED’S SECRETARY AND DELIVERED TO, OR MAILED AND RECEIVED AT, ONCOMED’S EXECUTIVE OFFICES AT 800 CHESAPEAKE DRIVE, REDWOOD CITY, CALIFORNIA 94063, BETWEEN FEBRUARY 22, 2019 AND MARCH 24, 2019; PROVIDED THAT IF THE DATE OF THE 2019 ANNUAL MEETING IS MORE THAN THIRTY DAYS BEFORE OR MORE THAN SIXTY DAYS AFTER JUNE 22, 2019, STOCKHOLDERS MUST GIVE NOTICE NOT LATER THAN THE NINTETH DAY PRIOR TO THE ANNUAL MEETING DATE OR, IF LATER, THE TENTH DAY FOLLOWING THE DAY ON WHICH PUBLIC DISCLOSURE OF THE ANNUAL MEETING DATE IS FIRST MADE. THE ONCOMED BYLAWS CONTAIN DETAILED REQUIREMENTS THAT A STOCKHOLDER’S NOTICE MUST SATISFY. ANY STOCKHOLDER NOTICE SHOULD BE IN WRITING AND ADDRESSED TO ONCOMED’S SECRETARY, ONCOMED PHARMACEUTICALS, INC., 800 CHESAPEAKE DRIVE, REDWOOD CITY, CALIFORNIA 94063.</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BUSINESS AT THE ONCOMED SPECIAL MEETING</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knows of no other matters that will be presented for consideration at the OncoMed Special Meeting.</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332</w:t>
      </w:r>
    </w:p>
    <w:p>
      <w:pPr>
        <w:sectPr>
          <w:pgSz w:w="11900" w:h="16838" w:orient="portrait"/>
          <w:cols w:equalWidth="0" w:num="1">
            <w:col w:w="11220"/>
          </w:cols>
          <w:pgMar w:left="24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validity of the Mereo Shares underlying the Mereo ADSs to be issued in the Merger will be passed upon for Mereo by Davis Polk &amp; Wardwell London LLP, London, United Kingdom.</w:t>
      </w:r>
    </w:p>
    <w:p>
      <w:pPr>
        <w:spacing w:after="0" w:line="197" w:lineRule="exact"/>
        <w:rPr>
          <w:sz w:val="20"/>
          <w:szCs w:val="20"/>
          <w:color w:val="auto"/>
        </w:rPr>
      </w:pPr>
    </w:p>
    <w:p>
      <w:pPr>
        <w:ind w:left="200" w:right="940" w:firstLine="331"/>
        <w:spacing w:after="0" w:line="246" w:lineRule="auto"/>
        <w:rPr>
          <w:sz w:val="20"/>
          <w:szCs w:val="20"/>
          <w:color w:val="auto"/>
        </w:rPr>
      </w:pPr>
      <w:r>
        <w:rPr>
          <w:rFonts w:ascii="Arial" w:cs="Arial" w:eastAsia="Arial" w:hAnsi="Arial"/>
          <w:sz w:val="18"/>
          <w:szCs w:val="18"/>
          <w:color w:val="auto"/>
        </w:rPr>
        <w:t>Davis Polk &amp; Wardwell London LLP, London, United Kingdom, represented Mereo in connection with the Merger and in the preparation of this proxy statement/prospectus.</w:t>
      </w:r>
    </w:p>
    <w:p>
      <w:pPr>
        <w:spacing w:after="0" w:line="197"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Latham &amp; Watkins LLP, Menlo Park, California, represented OncoMed in connection with the Merger and in the preparation of this proxy statement/prospectus.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consolidated financial statements of Mereo BioPharma Group plc at December 31, 2017 and 2016, and for each of the two years in the period ended December 31, 2017,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statements of OncoMed Pharmaceuticals, Inc. appearing in OncoMed Pharmaceuticals, Inc’s Annual Report (Form 10-</w:t>
      </w:r>
    </w:p>
    <w:p>
      <w:pPr>
        <w:ind w:left="200" w:firstLine="4"/>
        <w:spacing w:after="0" w:line="239" w:lineRule="auto"/>
        <w:tabs>
          <w:tab w:leader="none" w:pos="43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the year ended December 31, 2018, and the effectiveness of OncoMed Pharmaceuticals,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JUDGMENTS</w:t>
      </w:r>
    </w:p>
    <w:p>
      <w:pPr>
        <w:spacing w:after="0" w:line="34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Mereo is incorporated and currently existing under the laws of England and Wales. In addition, most of Mereo’s directors and officers reside outside of the United States and most of the assets of Mereo’s subsidiaries are located outside of the United States. As a result, it may be difficult for investors to effect service of process on Mereo or those persons in the United States or to enforce in the United States judgments obtained in United States courts against Mereo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280" w:hanging="432"/>
        <w:spacing w:after="0" w:line="218" w:lineRule="auto"/>
        <w:tabs>
          <w:tab w:leader="none" w:pos="960" w:val="left"/>
        </w:tabs>
        <w:numPr>
          <w:ilvl w:val="0"/>
          <w:numId w:val="21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Mereo or its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21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Mereo or its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333</w:t>
      </w:r>
    </w:p>
    <w:p>
      <w:pPr>
        <w:sectPr>
          <w:pgSz w:w="11900" w:h="16838" w:orient="portrait"/>
          <w:cols w:equalWidth="0" w:num="1">
            <w:col w:w="11220"/>
          </w:cols>
          <w:pgMar w:left="24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Mereo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60" w:right="16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Mereo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28"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Mereo cannot assure you that those judgments will be recognized or enforceable in England and Wales.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334</w:t>
      </w:r>
    </w:p>
    <w:p>
      <w:pPr>
        <w:sectPr>
          <w:pgSz w:w="11900" w:h="16838" w:orient="portrait"/>
          <w:cols w:equalWidth="0" w:num="1">
            <w:col w:w="11200"/>
          </w:cols>
          <w:pgMar w:left="240" w:top="460"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filed with the SEC a registration statement on Form F-4, including the exhibits and annexes thereto, with the SEC under the Securities Act, to register the Mereo Shares that OncoMed stockholders will receive in connection with the Merger. This proxy statement/prospectus, which is part of the registration statement as well as a proxy statement with respect to the OncoMed Special Meeting, does not contain all of the information set forth in the registration statement and the exhibits to the registration statement, and some parts have been omitted in accordance with the rules and regulations of the SEC. Mereo may also file amendments to the registration statement. For further information, you are referred to the registration statement and the exhibits and schedules filed as part of the registration statement. If a document has been filed as an exhibit to the registration statement, you are referred to the copy of the document that has been filed. Each statement in this proxy statement/prospectus relating to a document filed as an exhibit is qualified in all respects by the filed exhibit.</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OncoMed files annual, quarterly, and current reports, proxy statements and other information with the SEC. The SEC maintains a website that contains reports, proxy and information statements, and other information regarding issuers, including OncoMed, who file electronically with the SEC. The address of that website is www.sec.gov. Investors may also consult OncoMed’s and Mereo’s websites for more information about OncoMed and Mereo, respectively. OncoMed’s website is www.OncoMed.com. Mereo’s website is www.mereobiopharma.com. Information included on these websites is not incorporated by reference into and does not constitute a part of this proxy statement/prospectus.</w:t>
      </w:r>
    </w:p>
    <w:p>
      <w:pPr>
        <w:spacing w:after="0" w:line="20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OncoMed has supplied all information contained in this proxy statement/prospectus relating to OncoMed, and Mereo has supplied all information contained in this proxy statement/prospectus relating to Mereo.</w:t>
      </w:r>
    </w:p>
    <w:p>
      <w:pPr>
        <w:spacing w:after="0" w:line="197" w:lineRule="exact"/>
        <w:rPr>
          <w:sz w:val="20"/>
          <w:szCs w:val="20"/>
          <w:color w:val="auto"/>
        </w:rPr>
      </w:pPr>
    </w:p>
    <w:p>
      <w:pPr>
        <w:ind w:left="200" w:right="280" w:firstLine="331"/>
        <w:spacing w:after="0" w:line="261" w:lineRule="auto"/>
        <w:rPr>
          <w:sz w:val="20"/>
          <w:szCs w:val="20"/>
          <w:color w:val="auto"/>
        </w:rPr>
      </w:pPr>
      <w:r>
        <w:rPr>
          <w:rFonts w:ascii="Arial" w:cs="Arial" w:eastAsia="Arial" w:hAnsi="Arial"/>
          <w:sz w:val="17"/>
          <w:szCs w:val="17"/>
          <w:color w:val="auto"/>
        </w:rPr>
        <w:t>Any person, including any beneficial owner, to whom this proxy statement/prospectus is delivered may request copies of this proxy statement/prospectus and any of the annexes incorporated by reference in this document or other information concerning OncoMed, without charge, by requesting them in writing or by telephone from OncoMed at the following address and telephone number:</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OncoMed Pharmaceuticals, Inc.</w:t>
      </w:r>
    </w:p>
    <w:p>
      <w:pPr>
        <w:jc w:val="center"/>
        <w:ind w:right="-23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39"/>
        <w:spacing w:after="0" w:line="235" w:lineRule="auto"/>
        <w:rPr>
          <w:sz w:val="20"/>
          <w:szCs w:val="20"/>
          <w:color w:val="auto"/>
        </w:rPr>
      </w:pPr>
      <w:r>
        <w:rPr>
          <w:rFonts w:ascii="Arial" w:cs="Arial" w:eastAsia="Arial" w:hAnsi="Arial"/>
          <w:sz w:val="18"/>
          <w:szCs w:val="18"/>
          <w:color w:val="auto"/>
        </w:rPr>
        <w:t>800 Chesapeake Drive</w:t>
      </w:r>
    </w:p>
    <w:p>
      <w:pPr>
        <w:jc w:val="center"/>
        <w:ind w:right="-23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Telephone number: (650) 995-8200</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SEC allows OncoMed to “incorporate by reference” certain information filed with or furnished to the SEC, which means that OncoMed can disclose important information to you by referring you to those documents. The information incorporated by reference is an important part of this proxy statement/prospectus. With respect to this proxy statement/prospectus, information that OncoMed later files with or furnishes to the SEC and that is incorporated by reference will automatically update and supersede information in this proxy statement/prospectus and information previously incorporated by reference into this proxy statement/prospectus.</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Each document incorporated by reference into this proxy statement/prospectus is current only as of the date of such document, and the incorporation by reference of such document is not intended to</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335</w:t>
      </w:r>
    </w:p>
    <w:p>
      <w:pPr>
        <w:sectPr>
          <w:pgSz w:w="11900" w:h="16838" w:orient="portrait"/>
          <w:cols w:equalWidth="0" w:num="1">
            <w:col w:w="11180"/>
          </w:cols>
          <w:pgMar w:left="240" w:top="460" w:right="47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create any implication that there has been no change in the affairs of OncoMed since the date of the relevant document or that the information contained in such document is current as of any time subsequent to its date. Any statement contained in such incorporated documents is deemed to be modified or superseded for the purpose of this proxy statement/prospectus to the extent that a subsequent statement contained in another document that is incorporated by reference into this proxy statement/prospectus at a later date modifies or supersedes that statement. Any such statement so modified or superseded will not be deemed, except as so modified or superseded, to constitute a part of this proxy statement/prospectus.</w:t>
      </w:r>
    </w:p>
    <w:p>
      <w:pPr>
        <w:spacing w:after="0" w:line="20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This proxy statement/prospectus incorporates by reference the following documents and information filed by OncoMed with the SEC (other than, in each case, documents or information deemed to have been “furnished” and not “filed” in accordance with SEC rules):</w:t>
      </w:r>
    </w:p>
    <w:p>
      <w:pPr>
        <w:spacing w:after="0" w:line="224" w:lineRule="exact"/>
        <w:rPr>
          <w:sz w:val="20"/>
          <w:szCs w:val="20"/>
          <w:color w:val="auto"/>
        </w:rPr>
      </w:pPr>
    </w:p>
    <w:p>
      <w:pPr>
        <w:ind w:left="960" w:hanging="432"/>
        <w:spacing w:after="0" w:line="223"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current reports on Form 8-K, filed with the SEC on January 4, 2018, January 31, 2018, February 23, 2018, March 19, 2018, June 25, 2018, June 27, 2018, September 20, 2018, October 1, 2018, October 17, 2018, December 6, 2018, January 28, 2019 and March 15, 2019;</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proxy statement on Schedule 14A filed with the SEC on April 27,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quarterly report on Form 10-Q for the period ended June 30, 2018, filed with the SEC on August 2,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annual report on Form 10-K for the period ended December 31, 2018, filed with the SEC on March 7, 2019; and</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description of OncoMed common stock contained in OncoMed’s Registration Statement on Form 8-A filed with the SEC on July 8, 2013, including any amendments or reports filed for the purpose of updating such descriptions.</w:t>
      </w:r>
    </w:p>
    <w:p>
      <w:pPr>
        <w:spacing w:after="0" w:line="203" w:lineRule="exact"/>
        <w:rPr>
          <w:sz w:val="20"/>
          <w:szCs w:val="20"/>
          <w:color w:val="auto"/>
        </w:rPr>
      </w:pPr>
    </w:p>
    <w:p>
      <w:pPr>
        <w:jc w:val="both"/>
        <w:ind w:left="200" w:right="1100" w:firstLine="331"/>
        <w:spacing w:after="0"/>
        <w:rPr>
          <w:sz w:val="20"/>
          <w:szCs w:val="20"/>
          <w:color w:val="auto"/>
        </w:rPr>
      </w:pPr>
      <w:r>
        <w:rPr>
          <w:rFonts w:ascii="Arial" w:cs="Arial" w:eastAsia="Arial" w:hAnsi="Arial"/>
          <w:sz w:val="18"/>
          <w:szCs w:val="18"/>
          <w:color w:val="auto"/>
        </w:rPr>
        <w:t>All documents filed by OncoMed under Sections 13(a), 13(c), 14 or 15(d) of the Exchange Act after the date of this proxy statement/prospectus and prior to the date of the OncoMed Special Meeting will be incorporated by reference into this proxy statement/prospectus, other than the portions of such documents not deemed to be filed.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may obtain copies of these documents in the manner described under “Where You Can Find More Information.”</w:t>
      </w:r>
    </w:p>
    <w:p>
      <w:pPr>
        <w:spacing w:after="0" w:line="190" w:lineRule="exact"/>
        <w:rPr>
          <w:sz w:val="20"/>
          <w:szCs w:val="20"/>
          <w:color w:val="auto"/>
        </w:rPr>
      </w:pPr>
    </w:p>
    <w:p>
      <w:pPr>
        <w:ind w:left="200" w:right="140" w:firstLine="331"/>
        <w:spacing w:after="0" w:line="242" w:lineRule="auto"/>
        <w:rPr>
          <w:sz w:val="20"/>
          <w:szCs w:val="20"/>
          <w:color w:val="auto"/>
        </w:rPr>
      </w:pPr>
      <w:r>
        <w:rPr>
          <w:rFonts w:ascii="Arial" w:cs="Arial" w:eastAsia="Arial" w:hAnsi="Arial"/>
          <w:sz w:val="18"/>
          <w:szCs w:val="18"/>
          <w:b w:val="1"/>
          <w:bCs w:val="1"/>
          <w:color w:val="auto"/>
        </w:rPr>
        <w:t>THIS PROXY STATEMENT/PROSPECTUS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STATEMENT/PROSPECTUS TO VOTE YOUR SHARES AT THE ONCOMED SPECIAL MEETING. THE PARTIES HAVE NOT AUTHORIZED ANYONE TO PROVIDE YOU WITH INFORMATION THAT IS DIFFERENT FROM WHAT IS CONTAINED IN THIS PROXY STATEMENT/PROSPECTUS.</w:t>
      </w:r>
    </w:p>
    <w:p>
      <w:pPr>
        <w:spacing w:after="0" w:line="179"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8"/>
          <w:szCs w:val="18"/>
          <w:b w:val="1"/>
          <w:bCs w:val="1"/>
          <w:color w:val="auto"/>
        </w:rPr>
        <w:t>THIS PROXY STATEMENT/PROSPECTUS IS DATED MARCH 20, 2019. YOU SHOULD NOT ASSUME THAT THE INFORMATION CONTAINED IN THIS PROXY STATEMENT/PROSPECTUS IS ACCURATE AS OF ANY DATE OTHER THAN THAT DATE, AND THE MAILING OF THIS PROXY STATEMENT/PROSPECTUS TO STOCKHOLDERS DOES NOT CREATE ANY IMPLICATION TO THE CONTRARY.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336</w:t>
      </w:r>
    </w:p>
    <w:p>
      <w:pPr>
        <w:sectPr>
          <w:pgSz w:w="11900" w:h="16838" w:orient="portrait"/>
          <w:cols w:equalWidth="0" w:num="1">
            <w:col w:w="11220"/>
          </w:cols>
          <w:pgMar w:left="240" w:top="459" w:right="43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07"/>
        </w:trPr>
        <w:tc>
          <w:tcPr>
            <w:tcW w:w="9480" w:type="dxa"/>
            <w:vAlign w:val="bottom"/>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17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60" w:type="dxa"/>
            <w:vAlign w:val="bottom"/>
            <w:gridSpan w:val="10"/>
          </w:tcPr>
          <w:p>
            <w:pPr>
              <w:jc w:val="center"/>
              <w:ind w:right="129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00" w:type="dxa"/>
            <w:vAlign w:val="bottom"/>
          </w:tcPr>
          <w:p>
            <w:pPr>
              <w:spacing w:after="0"/>
              <w:rPr>
                <w:sz w:val="24"/>
                <w:szCs w:val="24"/>
                <w:color w:val="auto"/>
              </w:rPr>
            </w:pPr>
          </w:p>
        </w:tc>
      </w:tr>
      <w:tr>
        <w:trPr>
          <w:trHeight w:val="43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20" w:type="dxa"/>
            <w:vAlign w:val="bottom"/>
            <w:gridSpan w:val="11"/>
          </w:tcPr>
          <w:p>
            <w:pPr>
              <w:jc w:val="center"/>
              <w:ind w:right="590"/>
              <w:spacing w:after="0"/>
              <w:rPr>
                <w:sz w:val="20"/>
                <w:szCs w:val="20"/>
                <w:color w:val="auto"/>
              </w:rPr>
            </w:pPr>
            <w:r>
              <w:rPr>
                <w:rFonts w:ascii="Arial" w:cs="Arial" w:eastAsia="Arial" w:hAnsi="Arial"/>
                <w:sz w:val="18"/>
                <w:szCs w:val="18"/>
                <w:b w:val="1"/>
                <w:bCs w:val="1"/>
                <w:color w:val="auto"/>
                <w:w w:val="99"/>
              </w:rPr>
              <w:t>Financial Statements as of December 31, 2016 and 2017</w:t>
            </w:r>
          </w:p>
        </w:tc>
        <w:tc>
          <w:tcPr>
            <w:tcW w:w="1700" w:type="dxa"/>
            <w:vAlign w:val="bottom"/>
          </w:tcPr>
          <w:p>
            <w:pPr>
              <w:spacing w:after="0"/>
              <w:rPr>
                <w:sz w:val="24"/>
                <w:szCs w:val="24"/>
                <w:color w:val="auto"/>
              </w:rPr>
            </w:pP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358">
              <w:r>
                <w:rPr>
                  <w:rFonts w:ascii="Arial" w:cs="Arial" w:eastAsia="Arial" w:hAnsi="Arial"/>
                  <w:sz w:val="18"/>
                  <w:szCs w:val="18"/>
                  <w:color w:val="0000EE"/>
                </w:rPr>
                <w:t>Report of Independent Registered Public Accounting Firm</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r>
      <w:tr>
        <w:trPr>
          <w:trHeight w:val="183"/>
        </w:trPr>
        <w:tc>
          <w:tcPr>
            <w:tcW w:w="200" w:type="dxa"/>
            <w:vAlign w:val="bottom"/>
          </w:tcPr>
          <w:p>
            <w:pPr>
              <w:spacing w:after="0"/>
              <w:rPr>
                <w:sz w:val="15"/>
                <w:szCs w:val="15"/>
                <w:color w:val="auto"/>
              </w:rPr>
            </w:pPr>
          </w:p>
        </w:tc>
        <w:tc>
          <w:tcPr>
            <w:tcW w:w="46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59">
              <w:r>
                <w:rPr>
                  <w:rFonts w:ascii="Arial" w:cs="Arial" w:eastAsia="Arial" w:hAnsi="Arial"/>
                  <w:sz w:val="18"/>
                  <w:szCs w:val="18"/>
                  <w:color w:val="0000EE"/>
                </w:rPr>
                <w:t>Consolidated Statement of Comprehensive Loss</w:t>
              </w:r>
            </w:hyperlink>
          </w:p>
        </w:tc>
        <w:tc>
          <w:tcPr>
            <w:tcW w:w="4680" w:type="dxa"/>
            <w:vAlign w:val="bottom"/>
            <w:gridSpan w:val="4"/>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60">
              <w:r>
                <w:rPr>
                  <w:rFonts w:ascii="Arial" w:cs="Arial" w:eastAsia="Arial" w:hAnsi="Arial"/>
                  <w:sz w:val="18"/>
                  <w:szCs w:val="18"/>
                  <w:color w:val="0000EE"/>
                </w:rPr>
                <w:t>Consolidated Balance Sheets</w:t>
              </w:r>
            </w:hyperlink>
          </w:p>
        </w:tc>
        <w:tc>
          <w:tcPr>
            <w:tcW w:w="5420" w:type="dxa"/>
            <w:vAlign w:val="bottom"/>
            <w:gridSpan w:val="6"/>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361">
              <w:r>
                <w:rPr>
                  <w:rFonts w:ascii="Arial" w:cs="Arial" w:eastAsia="Arial" w:hAnsi="Arial"/>
                  <w:sz w:val="18"/>
                  <w:szCs w:val="18"/>
                  <w:color w:val="0000EE"/>
                  <w:w w:val="99"/>
                </w:rPr>
                <w:t>Consolidated Statement of Cash Flows</w:t>
              </w:r>
            </w:hyperlink>
          </w:p>
        </w:tc>
        <w:tc>
          <w:tcPr>
            <w:tcW w:w="6160" w:type="dxa"/>
            <w:vAlign w:val="bottom"/>
            <w:gridSpan w:val="10"/>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183"/>
        </w:trPr>
        <w:tc>
          <w:tcPr>
            <w:tcW w:w="200" w:type="dxa"/>
            <w:vAlign w:val="bottom"/>
          </w:tcPr>
          <w:p>
            <w:pPr>
              <w:spacing w:after="0"/>
              <w:rPr>
                <w:sz w:val="15"/>
                <w:szCs w:val="15"/>
                <w:color w:val="auto"/>
              </w:rPr>
            </w:pPr>
          </w:p>
        </w:tc>
        <w:tc>
          <w:tcPr>
            <w:tcW w:w="3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362">
              <w:r>
                <w:rPr>
                  <w:rFonts w:ascii="Arial" w:cs="Arial" w:eastAsia="Arial" w:hAnsi="Arial"/>
                  <w:sz w:val="18"/>
                  <w:szCs w:val="18"/>
                  <w:color w:val="0000EE"/>
                  <w:w w:val="99"/>
                </w:rPr>
                <w:t>Consolidated Statement of Changes in Equity</w:t>
              </w:r>
            </w:hyperlink>
          </w:p>
        </w:tc>
        <w:tc>
          <w:tcPr>
            <w:tcW w:w="5640" w:type="dxa"/>
            <w:vAlign w:val="bottom"/>
            <w:gridSpan w:val="9"/>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183"/>
        </w:trPr>
        <w:tc>
          <w:tcPr>
            <w:tcW w:w="200" w:type="dxa"/>
            <w:vAlign w:val="bottom"/>
          </w:tcPr>
          <w:p>
            <w:pPr>
              <w:spacing w:after="0"/>
              <w:rPr>
                <w:sz w:val="15"/>
                <w:szCs w:val="15"/>
                <w:color w:val="auto"/>
              </w:rPr>
            </w:pPr>
          </w:p>
        </w:tc>
        <w:tc>
          <w:tcPr>
            <w:tcW w:w="9280" w:type="dxa"/>
            <w:vAlign w:val="bottom"/>
            <w:gridSpan w:val="13"/>
          </w:tcPr>
          <w:p>
            <w:pPr>
              <w:spacing w:after="0" w:line="182" w:lineRule="exact"/>
              <w:rPr>
                <w:rFonts w:ascii="Arial" w:cs="Arial" w:eastAsia="Arial" w:hAnsi="Arial"/>
                <w:sz w:val="18"/>
                <w:szCs w:val="18"/>
                <w:color w:val="0000EE"/>
              </w:rPr>
            </w:pPr>
            <w:hyperlink w:anchor="page363">
              <w:r>
                <w:rPr>
                  <w:rFonts w:ascii="Arial" w:cs="Arial" w:eastAsia="Arial" w:hAnsi="Arial"/>
                  <w:sz w:val="18"/>
                  <w:szCs w:val="18"/>
                  <w:color w:val="0000EE"/>
                </w:rPr>
                <w:t>Notes to the Consolidated Financial Statements</w:t>
              </w:r>
            </w:hyperlink>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60" w:type="dxa"/>
            <w:vAlign w:val="bottom"/>
            <w:gridSpan w:val="10"/>
          </w:tcPr>
          <w:p>
            <w:pPr>
              <w:jc w:val="center"/>
              <w:ind w:right="1330"/>
              <w:spacing w:after="0"/>
              <w:rPr>
                <w:sz w:val="20"/>
                <w:szCs w:val="20"/>
                <w:color w:val="auto"/>
              </w:rPr>
            </w:pPr>
            <w:r>
              <w:rPr>
                <w:rFonts w:ascii="Arial" w:cs="Arial" w:eastAsia="Arial" w:hAnsi="Arial"/>
                <w:sz w:val="18"/>
                <w:szCs w:val="18"/>
                <w:b w:val="1"/>
                <w:bCs w:val="1"/>
                <w:color w:val="auto"/>
                <w:w w:val="99"/>
              </w:rPr>
              <w:t>Financial Statements as of June 30, 2017 and 2018</w:t>
            </w:r>
          </w:p>
        </w:tc>
        <w:tc>
          <w:tcPr>
            <w:tcW w:w="1700" w:type="dxa"/>
            <w:vAlign w:val="bottom"/>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399">
              <w:r>
                <w:rPr>
                  <w:rFonts w:ascii="Arial" w:cs="Arial" w:eastAsia="Arial" w:hAnsi="Arial"/>
                  <w:sz w:val="18"/>
                  <w:szCs w:val="18"/>
                  <w:color w:val="0000EE"/>
                </w:rPr>
                <w:t>Unaudited Consolidated Interim Statement of Comprehensive Loss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0">
              <w:r>
                <w:rPr>
                  <w:rFonts w:ascii="Arial" w:cs="Arial" w:eastAsia="Arial" w:hAnsi="Arial"/>
                  <w:sz w:val="18"/>
                  <w:szCs w:val="18"/>
                  <w:color w:val="0000EE"/>
                </w:rPr>
                <w:t>Unaudited Consolidated Interim Balance Sheets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1">
              <w:r>
                <w:rPr>
                  <w:rFonts w:ascii="Arial" w:cs="Arial" w:eastAsia="Arial" w:hAnsi="Arial"/>
                  <w:sz w:val="18"/>
                  <w:szCs w:val="18"/>
                  <w:color w:val="0000EE"/>
                </w:rPr>
                <w:t>Unaudited Consolidated Interim Statement of Cash Flows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2">
              <w:r>
                <w:rPr>
                  <w:rFonts w:ascii="Arial" w:cs="Arial" w:eastAsia="Arial" w:hAnsi="Arial"/>
                  <w:sz w:val="18"/>
                  <w:szCs w:val="18"/>
                  <w:color w:val="0000EE"/>
                </w:rPr>
                <w:t>Unaudited Consolidated Interim Statement of Changes in Equity</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3">
              <w:r>
                <w:rPr>
                  <w:rFonts w:ascii="Arial" w:cs="Arial" w:eastAsia="Arial" w:hAnsi="Arial"/>
                  <w:sz w:val="18"/>
                  <w:szCs w:val="18"/>
                  <w:color w:val="0000EE"/>
                </w:rPr>
                <w:t>Notes to the Unaudited Consolidated Interim Financial Statements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5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jc w:val="center"/>
              <w:ind w:right="3510"/>
              <w:spacing w:after="0"/>
              <w:rPr>
                <w:sz w:val="20"/>
                <w:szCs w:val="20"/>
                <w:color w:val="auto"/>
              </w:rPr>
            </w:pPr>
            <w:r>
              <w:rPr>
                <w:rFonts w:ascii="Arial" w:cs="Arial" w:eastAsia="Arial" w:hAnsi="Arial"/>
                <w:sz w:val="18"/>
                <w:szCs w:val="18"/>
                <w:color w:val="auto"/>
                <w:w w:val="96"/>
              </w:rPr>
              <w:t>F-1</w:t>
            </w: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audited the accompanying consolidated balance sheets of Mereo BioPharma Group plc (the “Company”) as of</w:t>
      </w:r>
    </w:p>
    <w:p>
      <w:pPr>
        <w:ind w:left="200"/>
        <w:spacing w:after="0"/>
        <w:rPr>
          <w:sz w:val="20"/>
          <w:szCs w:val="20"/>
          <w:color w:val="auto"/>
        </w:rPr>
      </w:pPr>
      <w:r>
        <w:rPr>
          <w:rFonts w:ascii="Arial" w:cs="Arial" w:eastAsia="Arial" w:hAnsi="Arial"/>
          <w:sz w:val="17"/>
          <w:szCs w:val="17"/>
          <w:color w:val="auto"/>
        </w:rPr>
        <w:t>December 31, 2017 and 2016, and the related consolidated statements of comprehensive loss, changes in equity, and cash flows for each</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two years in the period ended December 31, 2017, and the related notes (collectively referred to as the consolidated financial</w:t>
      </w:r>
    </w:p>
    <w:p>
      <w:pPr>
        <w:ind w:left="200"/>
        <w:spacing w:after="0" w:line="234" w:lineRule="auto"/>
        <w:rPr>
          <w:sz w:val="20"/>
          <w:szCs w:val="20"/>
          <w:color w:val="auto"/>
        </w:rPr>
      </w:pPr>
      <w:r>
        <w:rPr>
          <w:rFonts w:ascii="Arial" w:cs="Arial" w:eastAsia="Arial" w:hAnsi="Arial"/>
          <w:sz w:val="18"/>
          <w:szCs w:val="18"/>
          <w:color w:val="auto"/>
        </w:rPr>
        <w:t>statements). In our opinion, the consolidated financial statements present fairly, in all material respects, the financial position of the</w:t>
      </w:r>
    </w:p>
    <w:p>
      <w:pPr>
        <w:ind w:left="200"/>
        <w:spacing w:after="0" w:line="235" w:lineRule="auto"/>
        <w:rPr>
          <w:sz w:val="20"/>
          <w:szCs w:val="20"/>
          <w:color w:val="auto"/>
        </w:rPr>
      </w:pPr>
      <w:r>
        <w:rPr>
          <w:rFonts w:ascii="Arial" w:cs="Arial" w:eastAsia="Arial" w:hAnsi="Arial"/>
          <w:sz w:val="18"/>
          <w:szCs w:val="18"/>
          <w:color w:val="auto"/>
        </w:rPr>
        <w:t>Company at December 31, 2017 and 2016, and the results of its operations and its cash flows for each of the two years in the period</w:t>
      </w:r>
    </w:p>
    <w:p>
      <w:pPr>
        <w:ind w:left="200"/>
        <w:spacing w:after="0" w:line="235" w:lineRule="auto"/>
        <w:rPr>
          <w:sz w:val="20"/>
          <w:szCs w:val="20"/>
          <w:color w:val="auto"/>
        </w:rPr>
      </w:pPr>
      <w:r>
        <w:rPr>
          <w:rFonts w:ascii="Arial" w:cs="Arial" w:eastAsia="Arial" w:hAnsi="Arial"/>
          <w:sz w:val="18"/>
          <w:szCs w:val="18"/>
          <w:color w:val="auto"/>
        </w:rPr>
        <w:t>ended December 31, 2017, in conformity with International Financial Reporting Standards as issued by the International Accounting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 Board.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ind w:left="200"/>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b w:val="1"/>
                <w:bCs w:val="1"/>
                <w:color w:val="auto"/>
                <w:w w:val="97"/>
              </w:rPr>
              <w:t>Notes</w:t>
            </w:r>
          </w:p>
        </w:tc>
        <w:tc>
          <w:tcPr>
            <w:tcW w:w="1820" w:type="dxa"/>
            <w:vAlign w:val="bottom"/>
            <w:gridSpan w:val="2"/>
          </w:tcPr>
          <w:p>
            <w:pPr>
              <w:jc w:val="center"/>
              <w:ind w:left="41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58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(34,606,649)</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(11,616,816)</w:t>
            </w:r>
          </w:p>
        </w:tc>
        <w:tc>
          <w:tcPr>
            <w:tcW w:w="17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(10,697,194)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(36,179,318)</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(45,303,843)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720" w:type="dxa"/>
            <w:vAlign w:val="bottom"/>
            <w:gridSpan w:val="2"/>
          </w:tcPr>
          <w:p>
            <w:pPr>
              <w:jc w:val="center"/>
              <w:ind w:left="214"/>
              <w:spacing w:after="0" w:line="202" w:lineRule="exact"/>
              <w:rPr>
                <w:sz w:val="20"/>
                <w:szCs w:val="20"/>
                <w:color w:val="auto"/>
              </w:rPr>
            </w:pPr>
            <w:r>
              <w:rPr>
                <w:rFonts w:ascii="Arial" w:cs="Arial" w:eastAsia="Arial" w:hAnsi="Arial"/>
                <w:sz w:val="18"/>
                <w:szCs w:val="18"/>
                <w:color w:val="auto"/>
                <w:w w:val="99"/>
              </w:rPr>
              <w:t>7</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374,906</w:t>
            </w:r>
          </w:p>
        </w:tc>
        <w:tc>
          <w:tcPr>
            <w:tcW w:w="34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826,855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720" w:type="dxa"/>
            <w:vAlign w:val="bottom"/>
            <w:gridSpan w:val="2"/>
            <w:shd w:val="clear" w:color="auto" w:fill="CCEEFF"/>
          </w:tcPr>
          <w:p>
            <w:pPr>
              <w:jc w:val="center"/>
              <w:ind w:left="214"/>
              <w:spacing w:after="0" w:line="202" w:lineRule="exact"/>
              <w:rPr>
                <w:sz w:val="20"/>
                <w:szCs w:val="20"/>
                <w:color w:val="auto"/>
              </w:rPr>
            </w:pPr>
            <w:r>
              <w:rPr>
                <w:rFonts w:ascii="Arial" w:cs="Arial" w:eastAsia="Arial" w:hAnsi="Arial"/>
                <w:sz w:val="18"/>
                <w:szCs w:val="18"/>
                <w:color w:val="auto"/>
                <w:w w:val="99"/>
              </w:rPr>
              <w:t>7</w:t>
            </w:r>
          </w:p>
        </w:tc>
        <w:tc>
          <w:tcPr>
            <w:tcW w:w="21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(179,765)</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(1,089,925)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720" w:type="dxa"/>
            <w:vAlign w:val="bottom"/>
            <w:gridSpan w:val="2"/>
          </w:tcPr>
          <w:p>
            <w:pPr>
              <w:jc w:val="center"/>
              <w:ind w:left="214"/>
              <w:spacing w:after="0" w:line="202" w:lineRule="exact"/>
              <w:rPr>
                <w:sz w:val="20"/>
                <w:szCs w:val="20"/>
                <w:color w:val="auto"/>
              </w:rPr>
            </w:pPr>
            <w:r>
              <w:rPr>
                <w:rFonts w:ascii="Arial" w:cs="Arial" w:eastAsia="Arial" w:hAnsi="Arial"/>
                <w:sz w:val="18"/>
                <w:szCs w:val="18"/>
                <w:color w:val="auto"/>
                <w:w w:val="99"/>
              </w:rPr>
              <w:t>9</w:t>
            </w:r>
          </w:p>
        </w:tc>
        <w:tc>
          <w:tcPr>
            <w:tcW w:w="520" w:type="dxa"/>
            <w:vAlign w:val="bottom"/>
          </w:tcPr>
          <w:p>
            <w:pPr>
              <w:spacing w:after="0"/>
              <w:rPr>
                <w:sz w:val="18"/>
                <w:szCs w:val="18"/>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(28,390,280)</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year, attributable to the equity holders of the</w:t>
            </w: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(28,390,280)</w:t>
            </w:r>
          </w:p>
        </w:tc>
        <w:tc>
          <w:tcPr>
            <w:tcW w:w="17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720" w:type="dxa"/>
            <w:vAlign w:val="bottom"/>
            <w:gridSpan w:val="2"/>
            <w:shd w:val="clear" w:color="auto" w:fill="CCEEFF"/>
          </w:tcPr>
          <w:p>
            <w:pPr>
              <w:jc w:val="center"/>
              <w:ind w:left="234"/>
              <w:spacing w:after="0" w:line="196" w:lineRule="exact"/>
              <w:rPr>
                <w:sz w:val="20"/>
                <w:szCs w:val="20"/>
                <w:color w:val="auto"/>
              </w:rPr>
            </w:pPr>
            <w:r>
              <w:rPr>
                <w:rFonts w:ascii="Arial" w:cs="Arial" w:eastAsia="Arial" w:hAnsi="Arial"/>
                <w:sz w:val="18"/>
                <w:szCs w:val="18"/>
                <w:color w:val="auto"/>
                <w:w w:val="99"/>
              </w:rPr>
              <w:t>10</w:t>
            </w:r>
          </w:p>
        </w:tc>
        <w:tc>
          <w:tcPr>
            <w:tcW w:w="216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b w:val="1"/>
                <w:bCs w:val="1"/>
                <w:color w:val="auto"/>
              </w:rPr>
              <w:t>(0.63)</w:t>
            </w:r>
          </w:p>
        </w:tc>
        <w:tc>
          <w:tcPr>
            <w:tcW w:w="17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at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080" w:type="dxa"/>
            <w:vAlign w:val="bottom"/>
            <w:gridSpan w:val="3"/>
          </w:tcPr>
          <w:p>
            <w:pPr>
              <w:ind w:left="240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173,869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25,986,810</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33,158,590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1,102,146</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1,970,781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2800" w:type="dxa"/>
            <w:vAlign w:val="bottom"/>
            <w:gridSpan w:val="2"/>
          </w:tcPr>
          <w:p>
            <w:pPr>
              <w:jc w:val="center"/>
              <w:ind w:left="2371"/>
              <w:spacing w:after="0" w:line="202" w:lineRule="exact"/>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15</w:t>
            </w: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60,777,997</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86,764,807</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118,226,956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16,359,169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(40,579,241)</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(79,315,920)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3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62,483,490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1,172,420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4,075,386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3,126,526</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18,812,511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4,298,946</w:t>
            </w:r>
          </w:p>
        </w:tc>
        <w:tc>
          <w:tcPr>
            <w:tcW w:w="3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1,121,107</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3,024,026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2,088,012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4,379,774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1,939,806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3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33,851,987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86,764,807</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80" w:type="dxa"/>
            <w:vAlign w:val="bottom"/>
            <w:gridSpan w:val="3"/>
          </w:tcPr>
          <w:p>
            <w:pPr>
              <w:ind w:left="1000"/>
              <w:spacing w:after="0"/>
              <w:rPr>
                <w:sz w:val="20"/>
                <w:szCs w:val="20"/>
                <w:color w:val="auto"/>
              </w:rPr>
            </w:pPr>
            <w:r>
              <w:rPr>
                <w:rFonts w:ascii="Arial" w:cs="Arial" w:eastAsia="Arial" w:hAnsi="Arial"/>
                <w:sz w:val="14"/>
                <w:szCs w:val="14"/>
                <w:b w:val="1"/>
                <w:bCs w:val="1"/>
                <w:color w:val="auto"/>
              </w:rPr>
              <w:t>Notes</w:t>
            </w: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(46,951,138)</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 net of disposals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32,940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36,076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6,494,018</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3,651,898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(2,262,626)</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1,384,225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1,031,109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1,115,966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(374,906)</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(826,855)</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338,279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179,765</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103,115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Transaction costs on bank loan</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327,123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66,935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54,473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(1,219,202)</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(839,751)</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(Decrease)/Increase in payables and accruals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(768,402)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3,860,412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(29,662,174)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(32,147,971)</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(3,467)</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(15,568)</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Purchase of licence</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(2,280,000)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16</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(2,500,000)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earned</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374,906</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1,051,620</w:t>
            </w:r>
          </w:p>
        </w:tc>
        <w:tc>
          <w:tcPr>
            <w:tcW w:w="140" w:type="dxa"/>
            <w:vAlign w:val="bottom"/>
            <w:shd w:val="clear" w:color="auto" w:fill="CCEEFF"/>
          </w:tcPr>
          <w:p>
            <w:pPr>
              <w:spacing w:after="0"/>
              <w:rPr>
                <w:sz w:val="17"/>
                <w:szCs w:val="17"/>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372,614</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(3,743,948)</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67,888,820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15,000,000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(2,995,864)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(729,632)</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1020" w:type="dxa"/>
            <w:vAlign w:val="bottom"/>
          </w:tcPr>
          <w:p>
            <w:pPr>
              <w:spacing w:after="0"/>
              <w:rPr>
                <w:sz w:val="17"/>
                <w:szCs w:val="17"/>
                <w:color w:val="auto"/>
              </w:rPr>
            </w:pPr>
          </w:p>
        </w:tc>
        <w:tc>
          <w:tcPr>
            <w:tcW w:w="66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18a</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3,463,563</w:t>
            </w:r>
          </w:p>
        </w:tc>
        <w:tc>
          <w:tcPr>
            <w:tcW w:w="3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10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18b</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(200,000)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(327,123)</w:t>
            </w: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68,356,519</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33,743,245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39,066,959</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(2,148,674)</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12,247,986</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(1,384,225)</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420" w:type="dxa"/>
            <w:vAlign w:val="bottom"/>
            <w:gridSpan w:val="2"/>
          </w:tcPr>
          <w:p>
            <w:pPr>
              <w:jc w:val="center"/>
              <w:ind w:left="971"/>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 capital</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reserves</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reserves £</w:t>
            </w:r>
          </w:p>
        </w:tc>
        <w:tc>
          <w:tcPr>
            <w:tcW w:w="124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4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(28,390,280)</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107,709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67,781,112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67,888,821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6,185,067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6,185,067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24)</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shares (Note 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15,977,271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(7,000,000)</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7,000,000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(2,995,864)</w:t>
            </w: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(40,579,241)</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(38,799,054)</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(38,799,054)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3,027,963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3,027,963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Share-based payments – LTIP (Note 24)</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24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DBSP (Note 24)</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consideration (Note 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1,331,288</w:t>
            </w:r>
          </w:p>
        </w:tc>
        <w:tc>
          <w:tcPr>
            <w:tcW w:w="240" w:type="dxa"/>
            <w:vAlign w:val="bottom"/>
          </w:tcPr>
          <w:p>
            <w:pPr>
              <w:spacing w:after="0"/>
              <w:rPr>
                <w:sz w:val="17"/>
                <w:szCs w:val="17"/>
                <w:color w:val="auto"/>
              </w:rPr>
            </w:pP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1,331,288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4 2017 (Note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15,125</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14,984,875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Issue of share capital on conversion of loan</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(Note 17)</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1,899</w:t>
            </w:r>
          </w:p>
        </w:tc>
        <w:tc>
          <w:tcPr>
            <w:tcW w:w="1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1,396,654</w:t>
            </w:r>
          </w:p>
        </w:tc>
        <w:tc>
          <w:tcPr>
            <w:tcW w:w="220" w:type="dxa"/>
            <w:vAlign w:val="bottom"/>
          </w:tcPr>
          <w:p>
            <w:pPr>
              <w:spacing w:after="0"/>
              <w:rPr>
                <w:sz w:val="17"/>
                <w:szCs w:val="17"/>
                <w:color w:val="auto"/>
              </w:rPr>
            </w:pP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1,398,553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 bonus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shares (Note 17)</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1,766</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1,081,133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loan (Note 18a)</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62,375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Issue of share capital on October, 31 2017</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1,473</w:t>
            </w:r>
          </w:p>
        </w:tc>
        <w:tc>
          <w:tcPr>
            <w:tcW w:w="1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1,518,527</w:t>
            </w:r>
          </w:p>
        </w:tc>
        <w:tc>
          <w:tcPr>
            <w:tcW w:w="220" w:type="dxa"/>
            <w:vAlign w:val="bottom"/>
          </w:tcPr>
          <w:p>
            <w:pPr>
              <w:spacing w:after="0"/>
              <w:rPr>
                <w:sz w:val="17"/>
                <w:szCs w:val="17"/>
                <w:color w:val="auto"/>
              </w:rPr>
            </w:pP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1,520,000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(729,632)</w:t>
            </w:r>
          </w:p>
        </w:tc>
        <w:tc>
          <w:tcPr>
            <w:tcW w:w="13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213,285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118,226,956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16,359,169</w:t>
            </w:r>
          </w:p>
        </w:tc>
        <w:tc>
          <w:tcPr>
            <w:tcW w:w="24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w w:val="99"/>
              </w:rPr>
              <w:t>7,000,000</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(79,315,920)</w:t>
            </w:r>
          </w:p>
        </w:tc>
        <w:tc>
          <w:tcPr>
            <w:tcW w:w="1120" w:type="dxa"/>
            <w:vAlign w:val="bottom"/>
          </w:tcPr>
          <w:p>
            <w:pPr>
              <w:jc w:val="right"/>
              <w:spacing w:after="0"/>
              <w:rPr>
                <w:sz w:val="20"/>
                <w:szCs w:val="20"/>
                <w:color w:val="auto"/>
              </w:rPr>
            </w:pPr>
            <w:r>
              <w:rPr>
                <w:rFonts w:ascii="Arial" w:cs="Arial" w:eastAsia="Arial" w:hAnsi="Arial"/>
                <w:sz w:val="18"/>
                <w:szCs w:val="18"/>
                <w:color w:val="auto"/>
              </w:rPr>
              <w:t>62,483,490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We are a public limited company incorporated and domiciled in the United Kingdom, and registered in England, with our shares publicly traded on the Alternative Investment Market of the London Stock Exchange. Our registered office is located at Fourth Floor, 1 Cavendish Place, London W1G 0QF.</w:t>
      </w:r>
    </w:p>
    <w:p>
      <w:pPr>
        <w:spacing w:after="0" w:line="203"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2017 were authorised for issue in accordance with a resolution of the Directors on February 26, 2017.</w:t>
      </w:r>
    </w:p>
    <w:p>
      <w:pPr>
        <w:spacing w:after="0" w:line="283" w:lineRule="exact"/>
        <w:rPr>
          <w:sz w:val="20"/>
          <w:szCs w:val="20"/>
          <w:color w:val="auto"/>
        </w:rPr>
      </w:pPr>
    </w:p>
    <w:p>
      <w:pPr>
        <w:ind w:left="400" w:hanging="196"/>
        <w:spacing w:after="0"/>
        <w:tabs>
          <w:tab w:leader="none" w:pos="4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26" w:lineRule="exact"/>
        <w:rPr>
          <w:sz w:val="20"/>
          <w:szCs w:val="20"/>
          <w:color w:val="auto"/>
        </w:rPr>
      </w:pPr>
    </w:p>
    <w:p>
      <w:pPr>
        <w:jc w:val="both"/>
        <w:ind w:left="200" w:right="240"/>
        <w:spacing w:after="0"/>
        <w:rPr>
          <w:sz w:val="20"/>
          <w:szCs w:val="20"/>
          <w:color w:val="auto"/>
        </w:rPr>
      </w:pPr>
      <w:r>
        <w:rPr>
          <w:rFonts w:ascii="Arial" w:cs="Arial" w:eastAsia="Arial" w:hAnsi="Arial"/>
          <w:sz w:val="18"/>
          <w:szCs w:val="18"/>
          <w:color w:val="auto"/>
        </w:rPr>
        <w:t>We have reclassified the capital reduction undertaken in 2016 resulting in the reduction of the accumulated loss by £7.0 million and the crediting a new Other reserves by the same amount as set out in the Consolidated balance sheet and in the Consolidated statement of changes in equity.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2017.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60"/>
          </w:cols>
          <w:pgMar w:left="240" w:top="459" w:right="49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2.5 Changes of accounting policies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Segment reporting</w:t>
      </w:r>
    </w:p>
    <w:p>
      <w:pPr>
        <w:spacing w:after="0" w:line="12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MPH-966, the Company has revised its policy and now reports as a single operating segment (See Note 4).</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Other reserves</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Other reserves arose on reduction of share premium. These reserves are available for distribution to shareholders in the future at a time when the Company has sufficient accumulated realized profits to make a distribution.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Taxation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w:t>
      </w:r>
    </w:p>
    <w:p>
      <w:pPr>
        <w:ind w:left="200"/>
        <w:spacing w:after="0"/>
        <w:rPr>
          <w:sz w:val="20"/>
          <w:szCs w:val="20"/>
          <w:color w:val="auto"/>
        </w:rPr>
      </w:pPr>
      <w:r>
        <w:rPr>
          <w:rFonts w:ascii="Arial" w:cs="Arial" w:eastAsia="Arial" w:hAnsi="Arial"/>
          <w:sz w:val="18"/>
          <w:szCs w:val="18"/>
          <w:color w:val="auto"/>
        </w:rPr>
        <w:t>loss.</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sufficient taxable profit will be available to allow all or part of the deferred income tax asset to be utilised. Unrecognized deferred income tax assets are reassessed at the end of each reporting period and are recognized to the extent that it has become probable that future taxable profit will allow the deferred tax asset to be recovered.</w:t>
      </w:r>
    </w:p>
    <w:p>
      <w:pPr>
        <w:spacing w:after="0" w:line="203"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740" w:type="dxa"/>
        <w:tblCellMar>
          <w:top w:w="0" w:type="dxa"/>
          <w:left w:w="0" w:type="dxa"/>
          <w:bottom w:w="0" w:type="dxa"/>
          <w:right w:w="0" w:type="dxa"/>
        </w:tblCellMar>
      </w:tblPr>
      <w:tr>
        <w:trPr>
          <w:trHeight w:val="21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ind w:left="180"/>
              <w:spacing w:after="0"/>
              <w:rPr>
                <w:sz w:val="20"/>
                <w:szCs w:val="20"/>
                <w:color w:val="auto"/>
              </w:rPr>
            </w:pPr>
            <w:r>
              <w:rPr>
                <w:rFonts w:ascii="Arial" w:cs="Arial" w:eastAsia="Arial" w:hAnsi="Arial"/>
                <w:sz w:val="18"/>
                <w:szCs w:val="18"/>
                <w:color w:val="auto"/>
              </w:rPr>
              <w:t>ten years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Office equipment</w:t>
            </w:r>
          </w:p>
        </w:tc>
        <w:tc>
          <w:tcPr>
            <w:tcW w:w="1020" w:type="dxa"/>
            <w:vAlign w:val="bottom"/>
          </w:tcPr>
          <w:p>
            <w:pPr>
              <w:ind w:left="120"/>
              <w:spacing w:after="0"/>
              <w:rPr>
                <w:sz w:val="20"/>
                <w:szCs w:val="20"/>
                <w:color w:val="auto"/>
              </w:rPr>
            </w:pPr>
            <w:r>
              <w:rPr>
                <w:rFonts w:ascii="Arial" w:cs="Arial" w:eastAsia="Arial" w:hAnsi="Arial"/>
                <w:sz w:val="18"/>
                <w:szCs w:val="18"/>
                <w:color w:val="auto"/>
              </w:rPr>
              <w:t>five years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IT equipment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2"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The Group leases its premises. The Group recognizes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240" w:top="460" w:right="6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firstLine="441"/>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Amoritzation would commence when product candidates underpinned by the intellectual property rights become available for commercial use. No amoritzation has been charged to date, as the product candidates underpinned by the intellectual property rights are not yet available for commercial use.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640" w:right="6960" w:hanging="328"/>
        <w:spacing w:after="0" w:line="367" w:lineRule="auto"/>
        <w:tabs>
          <w:tab w:leader="none" w:pos="63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 w:lineRule="exact"/>
        <w:rPr>
          <w:rFonts w:ascii="Arial" w:cs="Arial" w:eastAsia="Arial" w:hAnsi="Arial"/>
          <w:sz w:val="18"/>
          <w:szCs w:val="18"/>
          <w:color w:val="auto"/>
        </w:rPr>
      </w:pPr>
    </w:p>
    <w:p>
      <w:pPr>
        <w:ind w:left="640" w:hanging="328"/>
        <w:spacing w:after="0"/>
        <w:tabs>
          <w:tab w:leader="none" w:pos="6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97"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640" w:hanging="328"/>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17" w:lineRule="exact"/>
        <w:rPr>
          <w:rFonts w:ascii="Arial" w:cs="Arial" w:eastAsia="Arial" w:hAnsi="Arial"/>
          <w:sz w:val="18"/>
          <w:szCs w:val="18"/>
          <w:color w:val="auto"/>
        </w:rPr>
      </w:pPr>
    </w:p>
    <w:p>
      <w:pPr>
        <w:ind w:left="640" w:right="740" w:hanging="328"/>
        <w:spacing w:after="0" w:line="246" w:lineRule="auto"/>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8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w w:val="99"/>
              </w:rPr>
              <w:t>Further disclosures relating to impairment of non-financial assets are also provided in the following notes: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rPr>
              <w:t>Disclosures for significant assumptions</w:t>
            </w:r>
          </w:p>
        </w:tc>
        <w:tc>
          <w:tcPr>
            <w:tcW w:w="5040" w:type="dxa"/>
            <w:vAlign w:val="bottom"/>
          </w:tcPr>
          <w:p>
            <w:pPr>
              <w:ind w:left="20"/>
              <w:spacing w:after="0"/>
              <w:rPr>
                <w:sz w:val="20"/>
                <w:szCs w:val="20"/>
                <w:color w:val="auto"/>
              </w:rPr>
            </w:pPr>
            <w:r>
              <w:rPr>
                <w:rFonts w:ascii="Arial" w:cs="Arial" w:eastAsia="Arial" w:hAnsi="Arial"/>
                <w:sz w:val="18"/>
                <w:szCs w:val="18"/>
                <w:color w:val="auto"/>
              </w:rPr>
              <w:t>Note 3</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040" w:type="dxa"/>
            <w:vAlign w:val="bottom"/>
          </w:tcPr>
          <w:p>
            <w:pPr>
              <w:ind w:left="220"/>
              <w:spacing w:after="0"/>
              <w:rPr>
                <w:sz w:val="20"/>
                <w:szCs w:val="20"/>
                <w:color w:val="auto"/>
              </w:rPr>
            </w:pPr>
            <w:r>
              <w:rPr>
                <w:rFonts w:ascii="Arial" w:cs="Arial" w:eastAsia="Arial" w:hAnsi="Arial"/>
                <w:sz w:val="18"/>
                <w:szCs w:val="18"/>
                <w:color w:val="auto"/>
              </w:rPr>
              <w:t>Note 11</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w w:val="99"/>
              </w:rPr>
              <w:t>Intangible assets not yet available for use</w:t>
            </w:r>
          </w:p>
        </w:tc>
        <w:tc>
          <w:tcPr>
            <w:tcW w:w="5040" w:type="dxa"/>
            <w:vAlign w:val="bottom"/>
          </w:tcPr>
          <w:p>
            <w:pPr>
              <w:ind w:left="220"/>
              <w:spacing w:after="0"/>
              <w:rPr>
                <w:sz w:val="20"/>
                <w:szCs w:val="20"/>
                <w:color w:val="auto"/>
              </w:rPr>
            </w:pPr>
            <w:r>
              <w:rPr>
                <w:rFonts w:ascii="Arial" w:cs="Arial" w:eastAsia="Arial" w:hAnsi="Arial"/>
                <w:sz w:val="18"/>
                <w:szCs w:val="18"/>
                <w:color w:val="auto"/>
              </w:rPr>
              <w:t>Notes 12 and 13</w:t>
            </w:r>
          </w:p>
        </w:tc>
      </w:tr>
    </w:tbl>
    <w:p>
      <w:pPr>
        <w:spacing w:after="0" w:line="20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3"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2017.</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 Provisions</w:t>
      </w:r>
    </w:p>
    <w:p>
      <w:pPr>
        <w:spacing w:after="0" w:line="12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3" w:lineRule="exact"/>
        <w:rPr>
          <w:sz w:val="20"/>
          <w:szCs w:val="20"/>
          <w:color w:val="auto"/>
        </w:rPr>
      </w:pPr>
    </w:p>
    <w:p>
      <w:pPr>
        <w:jc w:val="both"/>
        <w:ind w:left="200" w:right="680" w:firstLine="441"/>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jc w:val="both"/>
        <w:ind w:left="200" w:right="680" w:firstLine="441"/>
        <w:spacing w:after="0" w:line="246" w:lineRule="auto"/>
        <w:rPr>
          <w:sz w:val="20"/>
          <w:szCs w:val="20"/>
          <w:color w:val="auto"/>
        </w:rPr>
      </w:pPr>
      <w:r>
        <w:rPr>
          <w:rFonts w:ascii="Arial" w:cs="Arial" w:eastAsia="Arial" w:hAnsi="Arial"/>
          <w:sz w:val="18"/>
          <w:szCs w:val="18"/>
          <w:color w:val="auto"/>
        </w:rPr>
        <w:t>Employees (including Executive Officers)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left="200" w:right="500" w:firstLine="441"/>
        <w:spacing w:after="0"/>
        <w:rPr>
          <w:sz w:val="20"/>
          <w:szCs w:val="20"/>
          <w:color w:val="auto"/>
        </w:rPr>
      </w:pPr>
      <w:r>
        <w:rPr>
          <w:rFonts w:ascii="Arial" w:cs="Arial" w:eastAsia="Arial" w:hAnsi="Arial"/>
          <w:sz w:val="18"/>
          <w:szCs w:val="18"/>
          <w:color w:val="auto"/>
        </w:rPr>
        <w:t>Under the 2015 plan, options were historically awarded to employees, non- executive directors and certain consultants. Share options awarded to non-employees under the 2015 plan are accounted for as for options awarded to employees as the value of non-employee services could be readily determined.</w:t>
      </w:r>
    </w:p>
    <w:p>
      <w:pPr>
        <w:spacing w:after="0" w:line="203"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Purchases, where consideration is satisfied by issuing equity shares, are accounted for as equity-settled share-based payment transactions in accordance with IFRS 2. Fair value is determined by the share price at the date of purchase.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240" w:top="459" w:right="51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2"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2"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 Research and development costs</w:t>
      </w:r>
    </w:p>
    <w:p>
      <w:pPr>
        <w:spacing w:after="0" w:line="122"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generated internally by the Group, is charged to the statement of comprehensive loss as incurred. Intellectual property and in-process research and development from asset acquisitions are recognized as intangible assets at cost.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 Provisions for deferred cash consideration</w:t>
      </w:r>
    </w:p>
    <w:p>
      <w:pPr>
        <w:spacing w:after="0" w:line="122"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Provisions for deferred cash consideration consist of future payments which are contractually committed but not yet certain. In respect of products which are not yet approved such deferred cash consideration excludes potential downstream milestones, royalties or other payments as these are deemed to be so uncertain as to be unquantifiable. Deferred cash consideration is recognized as a liability with the amounts calculated as the risk adjusted net present value of anticipated deferred payments.</w:t>
      </w:r>
    </w:p>
    <w:p>
      <w:pPr>
        <w:spacing w:after="0" w:line="20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Associated warrants are measured at fair value with changes recorded through the statement of comprehensive loss (see note 20).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126"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jc w:val="both"/>
        <w:ind w:left="200" w:right="220" w:firstLine="441"/>
        <w:spacing w:after="0" w:line="239" w:lineRule="auto"/>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recognized as an expense. The expense is based upon a number of assumptions disclosed in Note 24. The selection of different assumptions could affect the results of the Group.</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2017.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judgements regarding the likelihood of successful product approval, the costs of reaching approval and the subsequent commercial profitability of the product once approved.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license consideration</w:t>
      </w:r>
    </w:p>
    <w:p>
      <w:pPr>
        <w:spacing w:after="0" w:line="126"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judgements regarding the timing and progress of the related research. Deferred consideration in the form of shares is recognized as a share-based payment when it is probable that shares will be transfered.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26"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assumptions, as disclosed in Note 20.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which manages the operating results of the business.</w:t>
      </w:r>
    </w:p>
    <w:p>
      <w:pPr>
        <w:spacing w:after="0" w:line="283" w:lineRule="exact"/>
        <w:rPr>
          <w:sz w:val="20"/>
          <w:szCs w:val="20"/>
          <w:color w:val="auto"/>
        </w:rPr>
      </w:pPr>
    </w:p>
    <w:p>
      <w:pPr>
        <w:ind w:left="200" w:right="8400" w:firstLine="4"/>
        <w:spacing w:after="0" w:line="372" w:lineRule="auto"/>
        <w:tabs>
          <w:tab w:leader="none" w:pos="4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Country of</w:t>
            </w:r>
          </w:p>
        </w:tc>
        <w:tc>
          <w:tcPr>
            <w:tcW w:w="158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 equity interest</w:t>
            </w:r>
          </w:p>
        </w:tc>
        <w:tc>
          <w:tcPr>
            <w:tcW w:w="25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equity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2"/>
                <w:szCs w:val="12"/>
                <w:color w:val="auto"/>
              </w:rPr>
            </w:pP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6"/>
                <w:szCs w:val="16"/>
                <w:color w:val="auto"/>
              </w:rPr>
            </w:pPr>
          </w:p>
        </w:tc>
        <w:tc>
          <w:tcPr>
            <w:tcW w:w="2080" w:type="dxa"/>
            <w:vAlign w:val="bottom"/>
          </w:tcPr>
          <w:p>
            <w:pPr>
              <w:ind w:left="400"/>
              <w:spacing w:after="0"/>
              <w:rPr>
                <w:sz w:val="20"/>
                <w:szCs w:val="20"/>
                <w:color w:val="auto"/>
              </w:rPr>
            </w:pPr>
            <w:r>
              <w:rPr>
                <w:rFonts w:ascii="Arial" w:cs="Arial" w:eastAsia="Arial" w:hAnsi="Arial"/>
                <w:sz w:val="14"/>
                <w:szCs w:val="14"/>
                <w:b w:val="1"/>
                <w:bCs w:val="1"/>
                <w:color w:val="auto"/>
              </w:rPr>
              <w:t>Principal activities</w:t>
            </w:r>
          </w:p>
        </w:tc>
        <w:tc>
          <w:tcPr>
            <w:tcW w:w="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158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2016</w:t>
            </w:r>
          </w:p>
        </w:tc>
        <w:tc>
          <w:tcPr>
            <w:tcW w:w="20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Mereo BioPharma 1 Limited</w:t>
            </w:r>
          </w:p>
        </w:tc>
        <w:tc>
          <w:tcPr>
            <w:tcW w:w="3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research</w:t>
            </w:r>
          </w:p>
        </w:tc>
        <w:tc>
          <w:tcPr>
            <w:tcW w:w="4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shd w:val="clear" w:color="auto" w:fill="CCEEFF"/>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Mereo BioPharma 2 Limited</w:t>
            </w:r>
          </w:p>
        </w:tc>
        <w:tc>
          <w:tcPr>
            <w:tcW w:w="23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8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23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shd w:val="clear" w:color="auto" w:fill="CCEEFF"/>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Mereo BioPharma 4 Limited</w:t>
            </w:r>
          </w:p>
        </w:tc>
        <w:tc>
          <w:tcPr>
            <w:tcW w:w="23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8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420" w:type="dxa"/>
            <w:vAlign w:val="bottom"/>
          </w:tcPr>
          <w:p>
            <w:pPr>
              <w:spacing w:after="0"/>
              <w:rPr>
                <w:sz w:val="17"/>
                <w:szCs w:val="17"/>
                <w:color w:val="auto"/>
              </w:rPr>
            </w:pPr>
          </w:p>
        </w:tc>
        <w:tc>
          <w:tcPr>
            <w:tcW w:w="1160" w:type="dxa"/>
            <w:vAlign w:val="bottom"/>
          </w:tcPr>
          <w:p>
            <w:pPr>
              <w:ind w:left="860"/>
              <w:spacing w:after="0" w:line="203"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Mereo BioPharma Group plc</w:t>
            </w:r>
          </w:p>
        </w:tc>
        <w:tc>
          <w:tcPr>
            <w:tcW w:w="23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Employee share plan</w:t>
            </w: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Employee Benefit Trust</w:t>
            </w: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Jersey</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F-15</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Key management includes Directors (Executive and Non-Executive) and Executive Officers, the General Counsel, the Chief Medical Officer and the Head of Corporate Development. The compensation paid or payable to key management is set out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520" w:type="dxa"/>
            <w:vAlign w:val="bottom"/>
            <w:gridSpan w:val="5"/>
          </w:tcPr>
          <w:p>
            <w:pPr>
              <w:jc w:val="center"/>
              <w:ind w:left="4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2,111,712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2,756,979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Post-employment benefits</w:t>
            </w:r>
          </w:p>
        </w:tc>
        <w:tc>
          <w:tcPr>
            <w:tcW w:w="14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106,500</w:t>
            </w:r>
          </w:p>
        </w:tc>
        <w:tc>
          <w:tcPr>
            <w:tcW w:w="60" w:type="dxa"/>
            <w:vAlign w:val="bottom"/>
          </w:tcPr>
          <w:p>
            <w:pPr>
              <w:spacing w:after="0"/>
              <w:rPr>
                <w:sz w:val="17"/>
                <w:szCs w:val="17"/>
                <w:color w:val="auto"/>
              </w:rPr>
            </w:pPr>
          </w:p>
        </w:tc>
        <w:tc>
          <w:tcPr>
            <w:tcW w:w="15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87,269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54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4,631,853</w:t>
            </w:r>
          </w:p>
        </w:tc>
        <w:tc>
          <w:tcPr>
            <w:tcW w:w="15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2,726,337</w:t>
            </w:r>
          </w:p>
        </w:tc>
        <w:tc>
          <w:tcPr>
            <w:tcW w:w="0" w:type="dxa"/>
            <w:vAlign w:val="bottom"/>
          </w:tcPr>
          <w:p>
            <w:pPr>
              <w:spacing w:after="0"/>
              <w:rPr>
                <w:sz w:val="1"/>
                <w:szCs w:val="1"/>
                <w:color w:val="auto"/>
              </w:rPr>
            </w:pPr>
          </w:p>
        </w:tc>
      </w:tr>
      <w:tr>
        <w:trPr>
          <w:trHeight w:val="210"/>
        </w:trPr>
        <w:tc>
          <w:tcPr>
            <w:tcW w:w="702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6,850,065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5,570,585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Finance income and Finance charge</w:t>
            </w: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5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Finance income</w:t>
            </w:r>
          </w:p>
        </w:tc>
        <w:tc>
          <w:tcPr>
            <w:tcW w:w="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Bank interest earned</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374,906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826,855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charge</w:t>
            </w:r>
          </w:p>
        </w:tc>
        <w:tc>
          <w:tcPr>
            <w:tcW w:w="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(179,765)</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(103,115)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(327,123)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4"/>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(66,935)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Loss on short-term deposits</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4"/>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(338,279)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(54,473)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Finance charge</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(179,765)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(1,089,925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1,150,222</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1,640,373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344,467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420,417</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50,864</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77,425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1,550,884</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822,173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2,132,920</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2,253,393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1,040,409</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1,159,548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109,187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96,598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06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4,943,133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2,829,725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06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11,322,086</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bottom w:val="single" w:sz="8" w:color="auto"/>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9,299,652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vMerge w:val="restart"/>
          </w:tcPr>
          <w:p>
            <w:pPr>
              <w:ind w:left="3980"/>
              <w:spacing w:after="0"/>
              <w:rPr>
                <w:sz w:val="20"/>
                <w:szCs w:val="20"/>
                <w:color w:val="auto"/>
              </w:rPr>
            </w:pPr>
            <w:r>
              <w:rPr>
                <w:rFonts w:ascii="Arial" w:cs="Arial" w:eastAsia="Arial" w:hAnsi="Arial"/>
                <w:sz w:val="18"/>
                <w:szCs w:val="18"/>
                <w:color w:val="auto"/>
              </w:rPr>
              <w:t>F-16</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Group is entitled to claim tax credits in the United Kingdom (the “UK”) under the UK R&amp;D SME scheme. The amount included in the financial statements represents the credit receivable by the Group for the year. The claims in respect of the year ended December 31, 2016 were received by the Group in May 2017. The year ended December 31, 2017 amounts have not yet been agreed with the relevant tax authorities.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3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2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5,331,271</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8,152,084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2"/>
        </w:trPr>
        <w:tc>
          <w:tcPr>
            <w:tcW w:w="8120" w:type="dxa"/>
            <w:vAlign w:val="bottom"/>
            <w:gridSpan w:val="4"/>
          </w:tcPr>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1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(33,721,551)</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(46,951,138)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tcPr>
          <w:p>
            <w:pPr>
              <w:spacing w:after="0" w:line="201" w:lineRule="exact"/>
              <w:rPr>
                <w:sz w:val="20"/>
                <w:szCs w:val="20"/>
                <w:color w:val="auto"/>
              </w:rPr>
            </w:pPr>
            <w:r>
              <w:rPr>
                <w:rFonts w:ascii="Arial" w:cs="Arial" w:eastAsia="Arial" w:hAnsi="Arial"/>
                <w:sz w:val="18"/>
                <w:szCs w:val="18"/>
                <w:color w:val="auto"/>
              </w:rPr>
              <w:t>Loss on ordinary activities before tax at the United Kingdom’s statutory income tax rate of 19.25%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34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(2016:20%)</w:t>
            </w:r>
          </w:p>
        </w:tc>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6,744,310</w:t>
            </w:r>
          </w:p>
        </w:tc>
        <w:tc>
          <w:tcPr>
            <w:tcW w:w="2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9,038,094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02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(15,116)</w:t>
            </w: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(14,316)</w:t>
            </w:r>
          </w:p>
        </w:tc>
      </w:tr>
      <w:tr>
        <w:trPr>
          <w:trHeight w:val="203"/>
        </w:trPr>
        <w:tc>
          <w:tcPr>
            <w:tcW w:w="20" w:type="dxa"/>
            <w:vAlign w:val="bottom"/>
          </w:tcPr>
          <w:p>
            <w:pPr>
              <w:spacing w:after="0"/>
              <w:rPr>
                <w:sz w:val="17"/>
                <w:szCs w:val="17"/>
                <w:color w:val="auto"/>
              </w:rPr>
            </w:pPr>
          </w:p>
        </w:tc>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020" w:type="dxa"/>
            <w:vAlign w:val="bottom"/>
          </w:tcPr>
          <w:p>
            <w:pPr>
              <w:spacing w:after="0"/>
              <w:rPr>
                <w:sz w:val="17"/>
                <w:szCs w:val="17"/>
                <w:color w:val="auto"/>
              </w:rPr>
            </w:pPr>
          </w:p>
        </w:tc>
        <w:tc>
          <w:tcPr>
            <w:tcW w:w="15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(1,300,044)</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(711,677)</w:t>
            </w: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relief uplift</w:t>
            </w:r>
          </w:p>
        </w:tc>
        <w:tc>
          <w:tcPr>
            <w:tcW w:w="10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2,134,107</w:t>
            </w:r>
          </w:p>
        </w:tc>
        <w:tc>
          <w:tcPr>
            <w:tcW w:w="24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3,447,474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Losses (unrecognized)</w:t>
            </w:r>
          </w:p>
        </w:tc>
        <w:tc>
          <w:tcPr>
            <w:tcW w:w="1020" w:type="dxa"/>
            <w:vAlign w:val="bottom"/>
          </w:tcPr>
          <w:p>
            <w:pPr>
              <w:spacing w:after="0"/>
              <w:rPr>
                <w:sz w:val="17"/>
                <w:szCs w:val="17"/>
                <w:color w:val="auto"/>
              </w:rPr>
            </w:pPr>
          </w:p>
        </w:tc>
        <w:tc>
          <w:tcPr>
            <w:tcW w:w="15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(2,231,986)</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(3,784,801)</w:t>
            </w: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177,310</w:t>
            </w:r>
          </w:p>
        </w:tc>
        <w:tc>
          <w:tcPr>
            <w:tcW w:w="140" w:type="dxa"/>
            <w:vAlign w:val="bottom"/>
            <w:shd w:val="clear" w:color="auto" w:fill="CCEEFF"/>
          </w:tcPr>
          <w:p>
            <w:pPr>
              <w:spacing w:after="0"/>
              <w:rPr>
                <w:sz w:val="17"/>
                <w:szCs w:val="17"/>
                <w:color w:val="auto"/>
              </w:rPr>
            </w:pPr>
          </w:p>
        </w:tc>
      </w:tr>
      <w:tr>
        <w:trPr>
          <w:trHeight w:val="210"/>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Tax credit for the year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5,331,271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the Group had tax losses to be carried forward of approximately £36,010,916 (2016: £16,343,508).</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2,778,396</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6,121,400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5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(9,883)</w:t>
            </w: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2,770,723</w:t>
            </w:r>
          </w:p>
        </w:tc>
        <w:tc>
          <w:tcPr>
            <w:tcW w:w="54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8,388,198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19.25% (2016:20%) and any UK deferred tax assets and liabilities would be recognized at a rate of 17%.</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 2016</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Weighted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5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w:t>
            </w:r>
          </w:p>
        </w:tc>
      </w:tr>
      <w:tr>
        <w:trPr>
          <w:trHeight w:val="175"/>
        </w:trPr>
        <w:tc>
          <w:tcPr>
            <w:tcW w:w="5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(28,390,280)</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44,789,893</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r>
        <w:trPr>
          <w:trHeight w:val="378"/>
        </w:trPr>
        <w:tc>
          <w:tcPr>
            <w:tcW w:w="5540" w:type="dxa"/>
            <w:vAlign w:val="bottom"/>
          </w:tcPr>
          <w:p>
            <w:pPr>
              <w:spacing w:after="0"/>
              <w:rPr>
                <w:sz w:val="24"/>
                <w:szCs w:val="24"/>
                <w:color w:val="auto"/>
              </w:rPr>
            </w:pPr>
          </w:p>
        </w:tc>
        <w:tc>
          <w:tcPr>
            <w:tcW w:w="2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 2017</w:t>
            </w: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Weighted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5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w:t>
            </w:r>
          </w:p>
        </w:tc>
      </w:tr>
      <w:tr>
        <w:trPr>
          <w:trHeight w:val="175"/>
        </w:trPr>
        <w:tc>
          <w:tcPr>
            <w:tcW w:w="5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(38,799,054)</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69,012,348</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The Group operates a number of share option plans (see Note 24) which could potentially dilute basic earnings per share in the future. In addition, there exist within equity 864,988 (2016: 1,453,520) shares to be issued which also have the potential to dilute basic earnings per share in future (see Note 17).</w:t>
      </w:r>
    </w:p>
    <w:p>
      <w:pPr>
        <w:spacing w:after="0" w:line="20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As part of a licence and option agreement with AstraZeneca (see Note 25), additional future payments of a maximum of 1,349,692 new ordinary shares would be payable on reaching certain clinical milestones.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totaling 696,490 were issued in 2017 that could potentially dilute basic earnings per share if converted.</w:t>
      </w:r>
    </w:p>
    <w:p>
      <w:pPr>
        <w:spacing w:after="0" w:line="212"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authorisation of these financial statements.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Leasehold</w:t>
            </w: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Office</w:t>
            </w:r>
          </w:p>
        </w:tc>
        <w:tc>
          <w:tcPr>
            <w:tcW w:w="2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20" w:type="dxa"/>
            <w:vAlign w:val="bottom"/>
            <w:gridSpan w:val="3"/>
          </w:tcPr>
          <w:p>
            <w:pPr>
              <w:jc w:val="center"/>
              <w:ind w:left="1255"/>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equipment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20" w:type="dxa"/>
            <w:vAlign w:val="bottom"/>
            <w:gridSpan w:val="2"/>
          </w:tcPr>
          <w:p>
            <w:pPr>
              <w:jc w:val="center"/>
              <w:ind w:left="157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9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9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16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155,494</w:t>
            </w: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20,024</w:t>
            </w:r>
          </w:p>
        </w:tc>
        <w:tc>
          <w:tcPr>
            <w:tcW w:w="2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40,360</w:t>
            </w:r>
          </w:p>
        </w:tc>
        <w:tc>
          <w:tcPr>
            <w:tcW w:w="5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tcPr>
          <w:p>
            <w:pPr>
              <w:spacing w:after="0"/>
              <w:rPr>
                <w:sz w:val="18"/>
                <w:szCs w:val="18"/>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155,494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20,024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42,652</w:t>
            </w:r>
          </w:p>
        </w:tc>
        <w:tc>
          <w:tcPr>
            <w:tcW w:w="50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6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10,107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5,461</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6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impairment</w:t>
            </w:r>
          </w:p>
        </w:tc>
        <w:tc>
          <w:tcPr>
            <w:tcW w:w="1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(1,335)</w:t>
            </w:r>
          </w:p>
        </w:tc>
        <w:tc>
          <w:tcPr>
            <w:tcW w:w="14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(4,401)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6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(4,005)</w:t>
            </w:r>
          </w:p>
        </w:tc>
        <w:tc>
          <w:tcPr>
            <w:tcW w:w="14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(21,174)</w:t>
            </w:r>
          </w:p>
        </w:tc>
        <w:tc>
          <w:tcPr>
            <w:tcW w:w="12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(5,340)</w:t>
            </w:r>
          </w:p>
        </w:tc>
        <w:tc>
          <w:tcPr>
            <w:tcW w:w="14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640" w:type="dxa"/>
            <w:vAlign w:val="bottom"/>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2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(5,386)</w:t>
            </w:r>
          </w:p>
        </w:tc>
        <w:tc>
          <w:tcPr>
            <w:tcW w:w="14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6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(32,928)</w:t>
            </w: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(80,377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149,869</w:t>
            </w: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18,689</w:t>
            </w:r>
          </w:p>
        </w:tc>
        <w:tc>
          <w:tcPr>
            <w:tcW w:w="2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35,959</w:t>
            </w:r>
          </w:p>
        </w:tc>
        <w:tc>
          <w:tcPr>
            <w:tcW w:w="5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134,320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24,865</w:t>
            </w:r>
          </w:p>
        </w:tc>
        <w:tc>
          <w:tcPr>
            <w:tcW w:w="5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2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118,771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15,185</w:t>
            </w:r>
          </w:p>
        </w:tc>
        <w:tc>
          <w:tcPr>
            <w:tcW w:w="5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20" w:type="dxa"/>
            <w:vAlign w:val="bottom"/>
            <w:gridSpan w:val="3"/>
          </w:tcPr>
          <w:p>
            <w:pPr>
              <w:jc w:val="right"/>
              <w:ind w:right="1340"/>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Intangible assets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at January 1, 2016 and December 31, 2016</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2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25,812,941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 2017</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Amortisation and impairment</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 (Note 13)</w:t>
            </w:r>
          </w:p>
        </w:tc>
        <w:tc>
          <w:tcPr>
            <w:tcW w:w="1220" w:type="dxa"/>
            <w:vAlign w:val="bottom"/>
            <w:gridSpan w:val="2"/>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The Group’s strategy is to acquire clinical-stage development programmes for the treatment of speciality and rare diseases from large pharmaceutical companies.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 Zeneca AB (AstraZeneca). MPH-966 is being developed for the treatment of severe alpha-1 antitrypsin deficiency, at a cost of £7,192,288 as follows:</w:t>
      </w:r>
    </w:p>
    <w:p>
      <w:pPr>
        <w:sectPr>
          <w:pgSz w:w="11900" w:h="16838" w:orient="portrait"/>
          <w:cols w:equalWidth="0" w:num="1">
            <w:col w:w="11060"/>
          </w:cols>
          <w:pgMar w:left="24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Cash payment in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Equity issued (see Note 17)</w:t>
      </w:r>
    </w:p>
    <w:p>
      <w:pPr>
        <w:ind w:left="1980"/>
        <w:spacing w:after="0" w:line="234" w:lineRule="auto"/>
        <w:rPr>
          <w:sz w:val="20"/>
          <w:szCs w:val="20"/>
          <w:color w:val="auto"/>
        </w:rPr>
      </w:pPr>
      <w:r>
        <w:rPr>
          <w:rFonts w:ascii="Arial" w:cs="Arial" w:eastAsia="Arial" w:hAnsi="Arial"/>
          <w:sz w:val="18"/>
          <w:szCs w:val="18"/>
          <w:color w:val="auto"/>
        </w:rPr>
        <w:t>Deferred equity consideration (see Note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-127000</wp:posOffset>
            </wp:positionV>
            <wp:extent cx="4751070"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7"/>
          <w:szCs w:val="17"/>
          <w:color w:val="auto"/>
        </w:rPr>
        <w:t>Present value of provision for deferred cash consideration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22225</wp:posOffset>
            </wp:positionV>
            <wp:extent cx="4751070"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Impairment testing of intangible assets not yet available for use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2,280,000</w:t>
      </w:r>
    </w:p>
    <w:p>
      <w:pPr>
        <w:jc w:val="right"/>
        <w:ind w:right="1680"/>
        <w:spacing w:after="0" w:line="234" w:lineRule="auto"/>
        <w:rPr>
          <w:sz w:val="20"/>
          <w:szCs w:val="20"/>
          <w:color w:val="auto"/>
        </w:rPr>
      </w:pPr>
      <w:r>
        <w:rPr>
          <w:rFonts w:ascii="Arial" w:cs="Arial" w:eastAsia="Arial" w:hAnsi="Arial"/>
          <w:sz w:val="18"/>
          <w:szCs w:val="18"/>
          <w:color w:val="auto"/>
        </w:rPr>
        <w:t>1,520,000</w:t>
      </w:r>
    </w:p>
    <w:p>
      <w:pPr>
        <w:jc w:val="right"/>
        <w:ind w:right="1680"/>
        <w:spacing w:after="0" w:line="235" w:lineRule="auto"/>
        <w:rPr>
          <w:sz w:val="20"/>
          <w:szCs w:val="20"/>
          <w:color w:val="auto"/>
        </w:rPr>
      </w:pPr>
      <w:r>
        <w:rPr>
          <w:rFonts w:ascii="Arial" w:cs="Arial" w:eastAsia="Arial" w:hAnsi="Arial"/>
          <w:sz w:val="18"/>
          <w:szCs w:val="18"/>
          <w:color w:val="auto"/>
        </w:rPr>
        <w:t>1,331,288</w:t>
      </w:r>
    </w:p>
    <w:p>
      <w:pPr>
        <w:spacing w:after="0" w:line="1"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2,061,000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-1905</wp:posOffset>
            </wp:positionV>
            <wp:extent cx="6775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jc w:val="right"/>
        <w:ind w:right="1680"/>
        <w:spacing w:after="0"/>
        <w:rPr>
          <w:sz w:val="20"/>
          <w:szCs w:val="20"/>
          <w:color w:val="auto"/>
        </w:rPr>
      </w:pPr>
      <w:r>
        <w:rPr>
          <w:rFonts w:ascii="Arial" w:cs="Arial" w:eastAsia="Arial" w:hAnsi="Arial"/>
          <w:sz w:val="18"/>
          <w:szCs w:val="18"/>
          <w:b w:val="1"/>
          <w:bCs w:val="1"/>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6775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22860</wp:posOffset>
            </wp:positionV>
            <wp:extent cx="6775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7720" w:space="660"/>
            <w:col w:w="2680"/>
          </w:cols>
          <w:pgMar w:left="240" w:top="459" w:right="59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Acquired or licensed development programmes not yet available for use are assessed annually for impairment.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240" w:top="459" w:right="599" w:bottom="1440" w:gutter="0" w:footer="0" w:header="0"/>
          <w:type w:val="continuous"/>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Carrying amount of acquired and licensed development programmes: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rPr>
              <w:t>As at December 31, 2016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360" w:type="dxa"/>
            <w:vAlign w:val="bottom"/>
          </w:tcPr>
          <w:p>
            <w:pPr>
              <w:spacing w:after="0"/>
              <w:rPr>
                <w:sz w:val="12"/>
                <w:szCs w:val="12"/>
                <w:color w:val="auto"/>
              </w:rPr>
            </w:pPr>
          </w:p>
        </w:tc>
        <w:tc>
          <w:tcPr>
            <w:tcW w:w="80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BGS-649</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5"/>
          </w:tcPr>
          <w:p>
            <w:pPr>
              <w:jc w:val="center"/>
              <w:ind w:right="480"/>
              <w:spacing w:after="0" w:line="143" w:lineRule="exact"/>
              <w:rPr>
                <w:sz w:val="20"/>
                <w:szCs w:val="20"/>
                <w:color w:val="auto"/>
              </w:rPr>
            </w:pPr>
            <w:r>
              <w:rPr>
                <w:rFonts w:ascii="Arial" w:cs="Arial" w:eastAsia="Arial" w:hAnsi="Arial"/>
                <w:sz w:val="14"/>
                <w:szCs w:val="14"/>
                <w:b w:val="1"/>
                <w:bCs w:val="1"/>
                <w:color w:val="auto"/>
              </w:rPr>
              <w:t>BCT-197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(setrusumab)</w:t>
            </w:r>
          </w:p>
        </w:tc>
        <w:tc>
          <w:tcPr>
            <w:tcW w:w="36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(leflutozole)</w:t>
            </w:r>
          </w:p>
        </w:tc>
        <w:tc>
          <w:tcPr>
            <w:tcW w:w="360" w:type="dxa"/>
            <w:vAlign w:val="bottom"/>
          </w:tcPr>
          <w:p>
            <w:pPr>
              <w:spacing w:after="0"/>
              <w:rPr>
                <w:sz w:val="15"/>
                <w:szCs w:val="15"/>
                <w:color w:val="auto"/>
              </w:rPr>
            </w:pPr>
          </w:p>
        </w:tc>
        <w:tc>
          <w:tcPr>
            <w:tcW w:w="1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(acumapimod)</w:t>
            </w:r>
          </w:p>
        </w:tc>
        <w:tc>
          <w:tcPr>
            <w:tcW w:w="140" w:type="dxa"/>
            <w:vAlign w:val="bottom"/>
          </w:tcPr>
          <w:p>
            <w:pPr>
              <w:spacing w:after="0"/>
              <w:rPr>
                <w:sz w:val="15"/>
                <w:szCs w:val="15"/>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w w:val="97"/>
              </w:rPr>
              <w:t>9,886,356</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25,812,941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As at December 31, 2017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MPH-966</w:t>
            </w:r>
          </w:p>
        </w:tc>
        <w:tc>
          <w:tcPr>
            <w:tcW w:w="9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BGS-649</w:t>
            </w:r>
          </w:p>
        </w:tc>
        <w:tc>
          <w:tcPr>
            <w:tcW w:w="280" w:type="dxa"/>
            <w:vAlign w:val="bottom"/>
          </w:tcPr>
          <w:p>
            <w:pPr>
              <w:spacing w:after="0"/>
              <w:rPr>
                <w:sz w:val="12"/>
                <w:szCs w:val="12"/>
                <w:color w:val="auto"/>
              </w:rPr>
            </w:pPr>
          </w:p>
        </w:tc>
        <w:tc>
          <w:tcPr>
            <w:tcW w:w="900" w:type="dxa"/>
            <w:vAlign w:val="bottom"/>
            <w:gridSpan w:val="3"/>
          </w:tcPr>
          <w:p>
            <w:pPr>
              <w:ind w:left="220"/>
              <w:spacing w:after="0" w:line="143" w:lineRule="exact"/>
              <w:rPr>
                <w:sz w:val="20"/>
                <w:szCs w:val="20"/>
                <w:color w:val="auto"/>
              </w:rPr>
            </w:pPr>
            <w:r>
              <w:rPr>
                <w:rFonts w:ascii="Arial" w:cs="Arial" w:eastAsia="Arial" w:hAnsi="Arial"/>
                <w:sz w:val="14"/>
                <w:szCs w:val="14"/>
                <w:b w:val="1"/>
                <w:bCs w:val="1"/>
                <w:color w:val="auto"/>
              </w:rPr>
              <w:t>BCT-197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(setrusumab)</w:t>
            </w: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(alvelestat)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(leflutozole)</w:t>
            </w:r>
          </w:p>
        </w:tc>
        <w:tc>
          <w:tcPr>
            <w:tcW w:w="28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(acumapimod)</w:t>
            </w:r>
          </w:p>
        </w:tc>
        <w:tc>
          <w:tcPr>
            <w:tcW w:w="280" w:type="dxa"/>
            <w:vAlign w:val="bottom"/>
          </w:tcPr>
          <w:p>
            <w:pPr>
              <w:spacing w:after="0"/>
              <w:rPr>
                <w:sz w:val="15"/>
                <w:szCs w:val="15"/>
                <w:color w:val="auto"/>
              </w:rPr>
            </w:pPr>
          </w:p>
        </w:tc>
        <w:tc>
          <w:tcPr>
            <w:tcW w:w="110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and licensed development programmes</w:t>
            </w: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7,192,288</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9,886,356</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4"/>
            <w:shd w:val="clear" w:color="auto" w:fill="CCEEFF"/>
          </w:tcPr>
          <w:p>
            <w:pPr>
              <w:ind w:left="240"/>
              <w:spacing w:after="0" w:line="196" w:lineRule="exact"/>
              <w:rPr>
                <w:sz w:val="20"/>
                <w:szCs w:val="20"/>
                <w:color w:val="auto"/>
              </w:rPr>
            </w:pPr>
            <w:r>
              <w:rPr>
                <w:rFonts w:ascii="Arial" w:cs="Arial" w:eastAsia="Arial" w:hAnsi="Arial"/>
                <w:sz w:val="18"/>
                <w:szCs w:val="18"/>
                <w:color w:val="auto"/>
                <w:w w:val="97"/>
              </w:rPr>
              <w:t>4,310,761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33,005,229</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100" w:firstLine="441"/>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2017. We believe that the likelihood of a materially different outcome using different assumptions is remote.</w:t>
      </w:r>
    </w:p>
    <w:p>
      <w:pPr>
        <w:spacing w:after="0" w:line="202"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 -use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117" w:lineRule="exact"/>
        <w:rPr>
          <w:sz w:val="20"/>
          <w:szCs w:val="20"/>
          <w:color w:val="auto"/>
        </w:rPr>
      </w:pPr>
    </w:p>
    <w:p>
      <w:pPr>
        <w:jc w:val="both"/>
        <w:ind w:left="1060" w:right="380" w:hanging="316"/>
        <w:spacing w:after="0"/>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1060" w:right="420" w:hanging="316"/>
        <w:spacing w:after="0"/>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1060" w:right="160" w:hanging="316"/>
        <w:spacing w:after="0" w:line="246" w:lineRule="auto"/>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102" w:lineRule="exact"/>
        <w:rPr>
          <w:rFonts w:ascii="Arial" w:cs="Arial" w:eastAsia="Arial" w:hAnsi="Arial"/>
          <w:sz w:val="18"/>
          <w:szCs w:val="18"/>
          <w:color w:val="auto"/>
        </w:rPr>
      </w:pPr>
    </w:p>
    <w:p>
      <w:pPr>
        <w:jc w:val="both"/>
        <w:ind w:left="1060" w:right="420" w:hanging="316"/>
        <w:spacing w:after="0"/>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1060" w:right="440" w:hanging="316"/>
        <w:spacing w:after="0" w:line="246" w:lineRule="auto"/>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102" w:lineRule="exact"/>
        <w:rPr>
          <w:rFonts w:ascii="Arial" w:cs="Arial" w:eastAsia="Arial" w:hAnsi="Arial"/>
          <w:sz w:val="18"/>
          <w:szCs w:val="18"/>
          <w:color w:val="auto"/>
        </w:rPr>
      </w:pPr>
    </w:p>
    <w:p>
      <w:pPr>
        <w:ind w:left="1060" w:right="780" w:hanging="316"/>
        <w:spacing w:after="0" w:line="246" w:lineRule="auto"/>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where applicable, and estimates of operating costs based on management’s prior industry experience;</w:t>
      </w:r>
    </w:p>
    <w:p>
      <w:pPr>
        <w:spacing w:after="0" w:line="117" w:lineRule="exact"/>
        <w:rPr>
          <w:sz w:val="20"/>
          <w:szCs w:val="20"/>
          <w:color w:val="auto"/>
        </w:rPr>
      </w:pPr>
    </w:p>
    <w:p>
      <w:pPr>
        <w:ind w:left="1060" w:right="100" w:hanging="316"/>
        <w:spacing w:after="0" w:line="246" w:lineRule="auto"/>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02" w:lineRule="exact"/>
        <w:rPr>
          <w:rFonts w:ascii="Arial" w:cs="Arial" w:eastAsia="Arial" w:hAnsi="Arial"/>
          <w:sz w:val="18"/>
          <w:szCs w:val="18"/>
          <w:color w:val="auto"/>
        </w:rPr>
      </w:pPr>
    </w:p>
    <w:p>
      <w:pPr>
        <w:ind w:left="1620" w:hanging="430"/>
        <w:spacing w:after="0"/>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BCT-197 —18 years;</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BGS-649 —17 years; and</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BPS-804 —14 years: and</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MPH-966 —16 years: and</w:t>
      </w:r>
    </w:p>
    <w:p>
      <w:pPr>
        <w:spacing w:after="0" w:line="117" w:lineRule="exact"/>
        <w:rPr>
          <w:rFonts w:ascii="Arial" w:cs="Arial" w:eastAsia="Arial" w:hAnsi="Arial"/>
          <w:sz w:val="18"/>
          <w:szCs w:val="18"/>
          <w:color w:val="auto"/>
        </w:rPr>
      </w:pPr>
    </w:p>
    <w:p>
      <w:pPr>
        <w:ind w:left="1060" w:right="360" w:hanging="316"/>
        <w:spacing w:after="0" w:line="246" w:lineRule="auto"/>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(2016: 11.2%).</w:t>
      </w:r>
    </w:p>
    <w:p>
      <w:pPr>
        <w:spacing w:after="0" w:line="197" w:lineRule="exact"/>
        <w:rPr>
          <w:sz w:val="20"/>
          <w:szCs w:val="20"/>
          <w:color w:val="auto"/>
        </w:rPr>
      </w:pPr>
    </w:p>
    <w:p>
      <w:pPr>
        <w:jc w:val="both"/>
        <w:ind w:left="200" w:right="540" w:firstLine="441"/>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Other receivables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18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0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293,328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228,775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241,306</w:t>
            </w:r>
          </w:p>
        </w:tc>
        <w:tc>
          <w:tcPr>
            <w:tcW w:w="10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212,422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10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509,350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1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421,292</w:t>
            </w: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ind w:left="139"/>
              <w:spacing w:after="0" w:line="196" w:lineRule="exact"/>
              <w:rPr>
                <w:sz w:val="20"/>
                <w:szCs w:val="20"/>
                <w:color w:val="auto"/>
              </w:rPr>
            </w:pPr>
            <w:r>
              <w:rPr>
                <w:rFonts w:ascii="Arial" w:cs="Arial" w:eastAsia="Arial" w:hAnsi="Arial"/>
                <w:sz w:val="18"/>
                <w:szCs w:val="18"/>
                <w:color w:val="auto"/>
                <w:w w:val="99"/>
              </w:rPr>
              <w:t>11,005,675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53,156,279</w:t>
            </w:r>
          </w:p>
        </w:tc>
        <w:tc>
          <w:tcPr>
            <w:tcW w:w="48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left="139"/>
              <w:spacing w:after="0" w:line="202" w:lineRule="exact"/>
              <w:rPr>
                <w:sz w:val="20"/>
                <w:szCs w:val="20"/>
                <w:color w:val="auto"/>
              </w:rPr>
            </w:pPr>
            <w:r>
              <w:rPr>
                <w:rFonts w:ascii="Arial" w:cs="Arial" w:eastAsia="Arial" w:hAnsi="Arial"/>
                <w:sz w:val="18"/>
                <w:szCs w:val="18"/>
                <w:color w:val="auto"/>
                <w:w w:val="99"/>
              </w:rPr>
              <w:t>39,038,997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600" w:type="dxa"/>
            <w:vAlign w:val="bottom"/>
            <w:gridSpan w:val="3"/>
            <w:shd w:val="clear" w:color="auto" w:fill="CCEEFF"/>
          </w:tcPr>
          <w:p>
            <w:pPr>
              <w:jc w:val="center"/>
              <w:ind w:left="620"/>
              <w:spacing w:after="0" w:line="202" w:lineRule="exact"/>
              <w:rPr>
                <w:sz w:val="20"/>
                <w:szCs w:val="20"/>
                <w:color w:val="auto"/>
              </w:rPr>
            </w:pPr>
            <w:r>
              <w:rPr>
                <w:rFonts w:ascii="Arial" w:cs="Arial" w:eastAsia="Arial" w:hAnsi="Arial"/>
                <w:sz w:val="18"/>
                <w:szCs w:val="18"/>
                <w:b w:val="1"/>
                <w:bCs w:val="1"/>
                <w:color w:val="auto"/>
                <w:w w:val="99"/>
              </w:rPr>
              <w:t>50,044,672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 and are held in a diversified portfolio of counterparties.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gridSpan w:val="2"/>
          </w:tcPr>
          <w:p>
            <w:pPr>
              <w:ind w:left="188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Short term investments consist of cash deposits held with greater than three month’s term to maturity. None of these investments are held with terms greater than a year.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Ordinary share capital</w:t>
            </w: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gridSpan w:val="3"/>
            <w:vMerge w:val="continue"/>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beginning of year</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59,221</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193,022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133,801</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193,022</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19,740,296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9, 2016 for private financing round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39,464,540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June 9, 2016 for private placement</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5,135,962</w:t>
            </w:r>
          </w:p>
        </w:tc>
        <w:tc>
          <w:tcPr>
            <w:tcW w:w="0" w:type="dxa"/>
            <w:vAlign w:val="bottom"/>
          </w:tcPr>
          <w:p>
            <w:pPr>
              <w:spacing w:after="0"/>
              <w:rPr>
                <w:sz w:val="1"/>
                <w:szCs w:val="1"/>
                <w:color w:val="auto"/>
              </w:rPr>
            </w:pPr>
          </w:p>
        </w:tc>
      </w:tr>
      <w:tr>
        <w:trPr>
          <w:trHeight w:val="21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2016</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64,340,798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2016 (£)</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2016 (£)</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64,340,798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3 April 2017</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26 April 2017 for conversion of loan note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28 October 2017 for acquisition of licence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71,094,974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213,285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1060" w:hanging="316"/>
        <w:spacing w:after="0" w:line="239" w:lineRule="auto"/>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07" w:lineRule="exact"/>
        <w:rPr>
          <w:rFonts w:ascii="Arial" w:cs="Arial" w:eastAsia="Arial" w:hAnsi="Arial"/>
          <w:sz w:val="18"/>
          <w:szCs w:val="18"/>
          <w:color w:val="auto"/>
        </w:rPr>
      </w:pPr>
    </w:p>
    <w:p>
      <w:pPr>
        <w:ind w:left="1060" w:right="30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8" w:lineRule="exact"/>
        <w:rPr>
          <w:rFonts w:ascii="Arial" w:cs="Arial" w:eastAsia="Arial" w:hAnsi="Arial"/>
          <w:sz w:val="18"/>
          <w:szCs w:val="18"/>
          <w:color w:val="auto"/>
        </w:rPr>
      </w:pPr>
    </w:p>
    <w:p>
      <w:pPr>
        <w:ind w:left="1060" w:right="600" w:hanging="316"/>
        <w:spacing w:after="0" w:line="246" w:lineRule="auto"/>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jc w:val="both"/>
        <w:ind w:left="1060" w:right="6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under a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jc w:val="both"/>
        <w:ind w:left="1060" w:right="320" w:hanging="316"/>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3 June 2016 into 632,829 ordinary shares of £0.003 in nominal value in the capital of the Company at the fixed conversion price of £2.21 per share. Under the terms of the Notes, Novartis also received 588,532 bonus shares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060" w:right="26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and allotted 490,798 ordinary shares of £0.003 in nominal value in the capital of the Company to Astrazeneca AB as part payment for the acquisition by Mereo BioPharma 4 Ltd of an exclusive licence and option to acquire certain assets</w:t>
      </w:r>
    </w:p>
    <w:p>
      <w:pPr>
        <w:sectPr>
          <w:pgSz w:w="11900" w:h="16838" w:orient="portrait"/>
          <w:cols w:equalWidth="0" w:num="1">
            <w:col w:w="11240"/>
          </w:cols>
          <w:pgMar w:left="240" w:top="459" w:right="419" w:bottom="1440" w:gutter="0" w:footer="0" w:header="0"/>
        </w:sectPr>
      </w:pPr>
    </w:p>
    <w:p>
      <w:pPr>
        <w:spacing w:after="0" w:line="366"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874385"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Share capital reduction on March 21, 2016</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5874385" cy="1289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line="234" w:lineRule="auto"/>
        <w:rPr>
          <w:sz w:val="20"/>
          <w:szCs w:val="20"/>
          <w:color w:val="auto"/>
        </w:rPr>
      </w:pPr>
      <w:r>
        <w:rPr>
          <w:rFonts w:ascii="Arial" w:cs="Arial" w:eastAsia="Arial" w:hAnsi="Arial"/>
          <w:sz w:val="18"/>
          <w:szCs w:val="18"/>
          <w:color w:val="auto"/>
        </w:rPr>
        <w:t>Issuance of share capital for private placement on June 9, 2016</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874385" cy="1289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At December 31, 2016</w:t>
      </w:r>
    </w:p>
    <w:p>
      <w:pPr>
        <w:spacing w:after="0" w:line="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Issued on 3 April 2017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5874385" cy="1289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line="234" w:lineRule="auto"/>
        <w:rPr>
          <w:sz w:val="20"/>
          <w:szCs w:val="20"/>
          <w:color w:val="auto"/>
        </w:rPr>
      </w:pPr>
      <w:r>
        <w:rPr>
          <w:rFonts w:ascii="Arial" w:cs="Arial" w:eastAsia="Arial" w:hAnsi="Arial"/>
          <w:sz w:val="18"/>
          <w:szCs w:val="18"/>
          <w:color w:val="auto"/>
        </w:rPr>
        <w:t>Issued on 26 April 2017 for conversion of loan note</w:t>
      </w:r>
    </w:p>
    <w:p>
      <w:pPr>
        <w:ind w:left="1080"/>
        <w:spacing w:after="0" w:line="235" w:lineRule="auto"/>
        <w:rPr>
          <w:sz w:val="20"/>
          <w:szCs w:val="20"/>
          <w:color w:val="auto"/>
        </w:rPr>
      </w:pPr>
      <w:r>
        <w:rPr>
          <w:rFonts w:ascii="Arial" w:cs="Arial" w:eastAsia="Arial" w:hAnsi="Arial"/>
          <w:sz w:val="18"/>
          <w:szCs w:val="18"/>
          <w:color w:val="auto"/>
        </w:rPr>
        <w:t>Issued on 28 October 2017 for acquisition of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-127000</wp:posOffset>
            </wp:positionV>
            <wp:extent cx="5874385" cy="1289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Transaction costs for issued share capital</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-121920</wp:posOffset>
            </wp:positionV>
            <wp:extent cx="5874385" cy="1289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26,212,880</w:t>
      </w:r>
    </w:p>
    <w:p>
      <w:pPr>
        <w:jc w:val="right"/>
        <w:ind w:right="980"/>
        <w:spacing w:after="0"/>
        <w:rPr>
          <w:sz w:val="20"/>
          <w:szCs w:val="20"/>
          <w:color w:val="auto"/>
        </w:rPr>
      </w:pPr>
      <w:r>
        <w:rPr>
          <w:rFonts w:ascii="Arial" w:cs="Arial" w:eastAsia="Arial" w:hAnsi="Arial"/>
          <w:sz w:val="18"/>
          <w:szCs w:val="18"/>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72,423,314</w:t>
      </w:r>
    </w:p>
    <w:p>
      <w:pPr>
        <w:ind w:left="100"/>
        <w:spacing w:after="0" w:line="234" w:lineRule="auto"/>
        <w:rPr>
          <w:sz w:val="20"/>
          <w:szCs w:val="20"/>
          <w:color w:val="auto"/>
        </w:rPr>
      </w:pPr>
      <w:r>
        <w:rPr>
          <w:rFonts w:ascii="Arial" w:cs="Arial" w:eastAsia="Arial" w:hAnsi="Arial"/>
          <w:sz w:val="18"/>
          <w:szCs w:val="18"/>
          <w:color w:val="auto"/>
        </w:rPr>
        <w:t>11,335,069</w:t>
      </w:r>
    </w:p>
    <w:p>
      <w:pPr>
        <w:spacing w:after="0" w:line="1"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5715</wp:posOffset>
            </wp:positionV>
            <wp:extent cx="7461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14,984,875</w:t>
      </w:r>
    </w:p>
    <w:p>
      <w:pPr>
        <w:jc w:val="right"/>
        <w:ind w:right="1040"/>
        <w:spacing w:after="0" w:line="234" w:lineRule="auto"/>
        <w:rPr>
          <w:sz w:val="20"/>
          <w:szCs w:val="20"/>
          <w:color w:val="auto"/>
        </w:rPr>
      </w:pPr>
      <w:r>
        <w:rPr>
          <w:rFonts w:ascii="Arial" w:cs="Arial" w:eastAsia="Arial" w:hAnsi="Arial"/>
          <w:sz w:val="18"/>
          <w:szCs w:val="18"/>
          <w:color w:val="auto"/>
        </w:rPr>
        <w:t>2,477,787</w:t>
      </w:r>
    </w:p>
    <w:p>
      <w:pPr>
        <w:jc w:val="right"/>
        <w:ind w:right="1040"/>
        <w:spacing w:after="0" w:line="235" w:lineRule="auto"/>
        <w:rPr>
          <w:sz w:val="20"/>
          <w:szCs w:val="20"/>
          <w:color w:val="auto"/>
        </w:rPr>
      </w:pPr>
      <w:r>
        <w:rPr>
          <w:rFonts w:ascii="Arial" w:cs="Arial" w:eastAsia="Arial" w:hAnsi="Arial"/>
          <w:sz w:val="18"/>
          <w:szCs w:val="18"/>
          <w:color w:val="auto"/>
        </w:rPr>
        <w:t>1,518,527</w:t>
      </w:r>
    </w:p>
    <w:p>
      <w:pPr>
        <w:spacing w:after="0" w:line="1"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(729,632)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118,226,956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14605</wp:posOffset>
            </wp:positionV>
            <wp:extent cx="7461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480" w:space="720"/>
            <w:col w:w="2040"/>
          </w:cols>
          <w:pgMar w:left="240" w:top="459" w:right="419" w:bottom="1440" w:gutter="0" w:footer="0" w:header="0"/>
          <w:type w:val="continuous"/>
        </w:sectPr>
      </w:pP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Equity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component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convertible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 to be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1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loan instrument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issued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payments £</w:t>
            </w:r>
          </w:p>
        </w:tc>
        <w:tc>
          <w:tcPr>
            <w:tcW w:w="14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2016</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6,494,018</w:t>
            </w:r>
          </w:p>
        </w:tc>
        <w:tc>
          <w:tcPr>
            <w:tcW w:w="380" w:type="dxa"/>
            <w:vAlign w:val="bottom"/>
          </w:tcPr>
          <w:p>
            <w:pPr>
              <w:spacing w:after="0"/>
              <w:rPr>
                <w:sz w:val="17"/>
                <w:szCs w:val="17"/>
                <w:color w:val="auto"/>
              </w:rPr>
            </w:pPr>
          </w:p>
        </w:tc>
        <w:tc>
          <w:tcPr>
            <w:tcW w:w="15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6,494,018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4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(16,003,363)</w:t>
            </w: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r>
      <w:tr>
        <w:trPr>
          <w:trHeight w:val="210"/>
        </w:trPr>
        <w:tc>
          <w:tcPr>
            <w:tcW w:w="20" w:type="dxa"/>
            <w:vAlign w:val="bottom"/>
          </w:tcPr>
          <w:p>
            <w:pPr>
              <w:spacing w:after="0"/>
              <w:rPr>
                <w:sz w:val="18"/>
                <w:szCs w:val="18"/>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516,802</w:t>
            </w:r>
          </w:p>
        </w:tc>
        <w:tc>
          <w:tcPr>
            <w:tcW w:w="4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516,802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4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9,476,283</w:t>
            </w:r>
          </w:p>
        </w:tc>
        <w:tc>
          <w:tcPr>
            <w:tcW w:w="3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516,802</w:t>
            </w:r>
          </w:p>
        </w:tc>
        <w:tc>
          <w:tcPr>
            <w:tcW w:w="4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140" w:type="dxa"/>
            <w:vAlign w:val="bottom"/>
            <w:shd w:val="clear" w:color="auto" w:fill="CCEEFF"/>
          </w:tcPr>
          <w:p>
            <w:pPr>
              <w:spacing w:after="0"/>
              <w:rPr>
                <w:sz w:val="17"/>
                <w:szCs w:val="17"/>
                <w:color w:val="auto"/>
              </w:rPr>
            </w:pPr>
          </w:p>
        </w:tc>
      </w:tr>
      <w:tr>
        <w:trPr>
          <w:trHeight w:val="20"/>
        </w:trPr>
        <w:tc>
          <w:tcPr>
            <w:tcW w:w="554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Share-based payments expense during 2017</w:t>
            </w:r>
          </w:p>
        </w:tc>
        <w:tc>
          <w:tcPr>
            <w:tcW w:w="148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4,983,186</w:t>
            </w:r>
          </w:p>
        </w:tc>
        <w:tc>
          <w:tcPr>
            <w:tcW w:w="380" w:type="dxa"/>
            <w:vAlign w:val="bottom"/>
          </w:tcPr>
          <w:p>
            <w:pPr>
              <w:spacing w:after="0"/>
              <w:rPr>
                <w:sz w:val="17"/>
                <w:szCs w:val="17"/>
                <w:color w:val="auto"/>
              </w:rPr>
            </w:pPr>
          </w:p>
        </w:tc>
        <w:tc>
          <w:tcPr>
            <w:tcW w:w="15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4,983,186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4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(1,082,899)</w:t>
            </w: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(1,082,899)</w:t>
            </w:r>
          </w:p>
        </w:tc>
      </w:tr>
      <w:tr>
        <w:trPr>
          <w:trHeight w:val="210"/>
        </w:trPr>
        <w:tc>
          <w:tcPr>
            <w:tcW w:w="20" w:type="dxa"/>
            <w:vAlign w:val="bottom"/>
          </w:tcPr>
          <w:p>
            <w:pPr>
              <w:spacing w:after="0"/>
              <w:rPr>
                <w:sz w:val="18"/>
                <w:szCs w:val="18"/>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(208,680)</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1,591,578</w:t>
            </w:r>
          </w:p>
        </w:tc>
        <w:tc>
          <w:tcPr>
            <w:tcW w:w="44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14,459,469</w:t>
            </w:r>
          </w:p>
        </w:tc>
        <w:tc>
          <w:tcPr>
            <w:tcW w:w="38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308,122</w:t>
            </w:r>
          </w:p>
        </w:tc>
        <w:tc>
          <w:tcPr>
            <w:tcW w:w="44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16,359,169</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jc w:val="both"/>
        <w:ind w:left="200" w:right="20" w:firstLine="441"/>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24 for further details).</w:t>
      </w:r>
    </w:p>
    <w:p>
      <w:pPr>
        <w:spacing w:after="0" w:line="197"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 Refer to Note 24 for further details of these plans. Of the £6,494,018 share-based payment expense in 2016, £298,836 is an accelerated charge relating to 500,000 share options which were cancelled on June 9, 2016.</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type w:val="continuous"/>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20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6"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18a). The value of the equity component (cost of the conversion option) as at 31 December 2017 is £308,122 (2016: £516,802).</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Accumulated deficit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20" w:type="dxa"/>
            <w:vAlign w:val="bottom"/>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14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reserves</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(40,579,241)</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(79,315,920)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(33,579,241)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(72,315,920)</w:t>
            </w:r>
          </w:p>
        </w:tc>
      </w:tr>
    </w:tbl>
    <w:p>
      <w:pPr>
        <w:spacing w:after="0" w:line="215"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Interest bearing loans and borrowings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ind w:right="78"/>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5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6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 - see Note 18a</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Bank loan -see Note 18b</w:t>
            </w:r>
          </w:p>
        </w:tc>
        <w:tc>
          <w:tcPr>
            <w:tcW w:w="106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18,774,924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4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6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60" w:type="dxa"/>
            <w:vAlign w:val="bottom"/>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1,939,806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18a. Novartis Notes</w:t>
      </w:r>
    </w:p>
    <w:p>
      <w:pPr>
        <w:spacing w:after="0" w:line="126"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 bearing loans and borrowings, a reduction in other capital reserves of £208,680, and a reduction in accumulated loss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The value of the debt component of the Notes at the date of issue was calculated as £ 2,946,761. The cash flows attached to the Note up to the Maturity Date were calculated and discounted at an appropriate venture debt rate of 10%. The carrying amount at December 31, 2017 is £1,977,393 (2016: £3,126,526).</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value of the equity component of the Notes at December 31, 2017 was calculated as £308,123 (2016: £516,802).</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18b. Bank loan</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and the issue of warrants over shares in the Company (see Note 20). We borrowed £10.0 million on each of August 21, 2017 (Tranche 1) and December 29, 2017 (Tranche 2)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202"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The total carrying value of the loan at 31 December 2017 was £18,774,924. £1,939,806 is a current liability and £16,835,118 is a non-current liability. A total of £66,935 of non-cash interest has been charged to the statement of comprehensive loss in the period.</w:t>
      </w:r>
    </w:p>
    <w:p>
      <w:pPr>
        <w:spacing w:after="0" w:line="283" w:lineRule="exact"/>
        <w:rPr>
          <w:sz w:val="20"/>
          <w:szCs w:val="20"/>
          <w:color w:val="auto"/>
        </w:rPr>
      </w:pPr>
    </w:p>
    <w:p>
      <w:pPr>
        <w:ind w:left="200" w:right="9760" w:firstLine="4"/>
        <w:spacing w:after="0" w:line="434" w:lineRule="auto"/>
        <w:tabs>
          <w:tab w:leader="none" w:pos="500"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Summary</w:t>
      </w:r>
    </w:p>
    <w:p>
      <w:pPr>
        <w:spacing w:after="0" w:line="59"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80" w:type="dxa"/>
            <w:vAlign w:val="bottom"/>
          </w:tcPr>
          <w:p>
            <w:pPr>
              <w:spacing w:after="0"/>
              <w:rPr>
                <w:sz w:val="18"/>
                <w:szCs w:val="18"/>
                <w:color w:val="auto"/>
              </w:rPr>
            </w:pPr>
          </w:p>
        </w:tc>
        <w:tc>
          <w:tcPr>
            <w:tcW w:w="1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00" w:type="dxa"/>
            <w:vAlign w:val="bottom"/>
            <w:gridSpan w:val="3"/>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00" w:type="dxa"/>
            <w:vAlign w:val="bottom"/>
            <w:gridSpan w:val="3"/>
            <w:vMerge w:val="continue"/>
          </w:tcPr>
          <w:p>
            <w:pPr>
              <w:spacing w:after="0"/>
              <w:rPr>
                <w:sz w:val="15"/>
                <w:szCs w:val="15"/>
                <w:color w:val="auto"/>
              </w:rPr>
            </w:pPr>
          </w:p>
        </w:tc>
        <w:tc>
          <w:tcPr>
            <w:tcW w:w="102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w:t>
            </w:r>
          </w:p>
        </w:tc>
        <w:tc>
          <w:tcPr>
            <w:tcW w:w="2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141,311</w:t>
            </w: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1,172,420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7,293</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1,084,181</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1,115,966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8"/>
                <w:szCs w:val="18"/>
                <w:color w:val="auto"/>
              </w:rPr>
            </w:pPr>
          </w:p>
        </w:tc>
        <w:tc>
          <w:tcPr>
            <w:tcW w:w="15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(60,365)</w:t>
            </w:r>
          </w:p>
        </w:tc>
        <w:tc>
          <w:tcPr>
            <w:tcW w:w="20" w:type="dxa"/>
            <w:vAlign w:val="bottom"/>
          </w:tcPr>
          <w:p>
            <w:pPr>
              <w:spacing w:after="0"/>
              <w:rPr>
                <w:sz w:val="18"/>
                <w:szCs w:val="18"/>
                <w:color w:val="auto"/>
              </w:rPr>
            </w:pP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00" w:type="dxa"/>
            <w:vAlign w:val="bottom"/>
            <w:gridSpan w:val="3"/>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80" w:type="dxa"/>
            <w:vAlign w:val="bottom"/>
            <w:gridSpan w:val="2"/>
          </w:tcPr>
          <w:p>
            <w:pPr>
              <w:ind w:left="7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24) the liability has been classified as non-current. The provision has been discounted.</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 for deferred cash consideration</w:t>
            </w:r>
          </w:p>
        </w:tc>
        <w:tc>
          <w:tcPr>
            <w:tcW w:w="3840" w:type="dxa"/>
            <w:vAlign w:val="bottom"/>
            <w:gridSpan w:val="2"/>
          </w:tcPr>
          <w:p>
            <w:pPr>
              <w:jc w:val="center"/>
              <w:ind w:left="2682"/>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gridSpan w:val="2"/>
            <w:vMerge w:val="continue"/>
          </w:tcPr>
          <w:p>
            <w:pPr>
              <w:spacing w:after="0"/>
              <w:rPr>
                <w:sz w:val="15"/>
                <w:szCs w:val="15"/>
                <w:color w:val="auto"/>
              </w:rPr>
            </w:pPr>
          </w:p>
        </w:tc>
        <w:tc>
          <w:tcPr>
            <w:tcW w:w="3840" w:type="dxa"/>
            <w:vAlign w:val="bottom"/>
            <w:gridSpan w:val="2"/>
          </w:tcPr>
          <w:p>
            <w:pPr>
              <w:jc w:val="center"/>
              <w:ind w:left="2722"/>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w:t>
            </w:r>
          </w:p>
        </w:tc>
        <w:tc>
          <w:tcPr>
            <w:tcW w:w="28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740"/>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2820" w:type="dxa"/>
            <w:vAlign w:val="bottom"/>
          </w:tcPr>
          <w:p>
            <w:pPr>
              <w:spacing w:after="0"/>
              <w:rPr>
                <w:sz w:val="18"/>
                <w:szCs w:val="18"/>
                <w:color w:val="auto"/>
              </w:rPr>
            </w:pPr>
          </w:p>
        </w:tc>
        <w:tc>
          <w:tcPr>
            <w:tcW w:w="102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28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7"/>
                <w:szCs w:val="17"/>
                <w:color w:val="auto"/>
              </w:rPr>
            </w:pPr>
          </w:p>
        </w:tc>
        <w:tc>
          <w:tcPr>
            <w:tcW w:w="1020" w:type="dxa"/>
            <w:vAlign w:val="bottom"/>
          </w:tcPr>
          <w:p>
            <w:pPr>
              <w:ind w:left="7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28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1,787,000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40" w:type="dxa"/>
            <w:vAlign w:val="bottom"/>
            <w:gridSpan w:val="2"/>
          </w:tcPr>
          <w:p>
            <w:pPr>
              <w:ind w:left="1120"/>
              <w:spacing w:after="0"/>
              <w:rPr>
                <w:sz w:val="20"/>
                <w:szCs w:val="20"/>
                <w:color w:val="auto"/>
              </w:rPr>
            </w:pPr>
            <w:r>
              <w:rPr>
                <w:rFonts w:ascii="Arial" w:cs="Arial" w:eastAsia="Arial" w:hAnsi="Arial"/>
                <w:sz w:val="18"/>
                <w:szCs w:val="18"/>
                <w:color w:val="auto"/>
              </w:rPr>
              <w:t>F-27</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12).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the provision is increased or decreased as appropriate.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Warrant liability</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40" w:type="dxa"/>
            <w:vAlign w:val="bottom"/>
            <w:gridSpan w:val="2"/>
          </w:tcPr>
          <w:p>
            <w:pPr>
              <w:jc w:val="center"/>
              <w:ind w:left="1828"/>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40" w:type="dxa"/>
            <w:vAlign w:val="bottom"/>
            <w:gridSpan w:val="2"/>
          </w:tcPr>
          <w:p>
            <w:pPr>
              <w:jc w:val="center"/>
              <w:ind w:left="1768"/>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center"/>
              <w:ind w:left="70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840" w:type="dxa"/>
            <w:vAlign w:val="bottom"/>
            <w:gridSpan w:val="2"/>
          </w:tcPr>
          <w:p>
            <w:pPr>
              <w:jc w:val="center"/>
              <w:ind w:left="180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center"/>
              <w:ind w:left="74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1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1900" w:type="dxa"/>
            <w:vAlign w:val="bottom"/>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90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The total of 696,490 warrants is equivalent to 0.98% of ordinary share capital at December 31, 2017.</w:t>
      </w:r>
    </w:p>
    <w:p>
      <w:pPr>
        <w:spacing w:after="0" w:line="20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IAS32,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202" w:lineRule="exact"/>
        <w:rPr>
          <w:sz w:val="20"/>
          <w:szCs w:val="20"/>
          <w:color w:val="auto"/>
        </w:rPr>
      </w:pPr>
    </w:p>
    <w:p>
      <w:pPr>
        <w:ind w:left="200" w:right="460" w:firstLine="441"/>
        <w:spacing w:after="0" w:line="246" w:lineRule="auto"/>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period ended December 31, 2017:</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Expected volatility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Risk-free interest rate (%)</w:t>
      </w:r>
    </w:p>
    <w:p>
      <w:pPr>
        <w:ind w:left="1980"/>
        <w:spacing w:after="0"/>
        <w:rPr>
          <w:sz w:val="20"/>
          <w:szCs w:val="20"/>
          <w:color w:val="auto"/>
        </w:rPr>
      </w:pPr>
      <w:r>
        <w:rPr>
          <w:rFonts w:ascii="Arial" w:cs="Arial" w:eastAsia="Arial" w:hAnsi="Arial"/>
          <w:sz w:val="17"/>
          <w:szCs w:val="17"/>
          <w:color w:val="auto"/>
        </w:rPr>
        <w:t>Expected life of share options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289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Market price of ordinary shares (£)</w:t>
      </w:r>
    </w:p>
    <w:p>
      <w:pPr>
        <w:ind w:left="1980"/>
        <w:spacing w:after="0"/>
        <w:rPr>
          <w:sz w:val="20"/>
          <w:szCs w:val="20"/>
          <w:color w:val="auto"/>
        </w:rPr>
      </w:pPr>
      <w:r>
        <w:rPr>
          <w:rFonts w:ascii="Arial" w:cs="Arial" w:eastAsia="Arial" w:hAnsi="Arial"/>
          <w:sz w:val="18"/>
          <w:szCs w:val="18"/>
          <w:color w:val="auto"/>
        </w:rPr>
        <w:t>Model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ind w:left="300" w:right="2120" w:hanging="290"/>
        <w:spacing w:after="0" w:line="247" w:lineRule="auto"/>
        <w:tabs>
          <w:tab w:leader="none" w:pos="212" w:val="left"/>
        </w:tabs>
        <w:numPr>
          <w:ilvl w:val="0"/>
          <w:numId w:val="225"/>
        </w:numPr>
        <w:rPr>
          <w:rFonts w:ascii="Arial" w:cs="Arial" w:eastAsia="Arial" w:hAnsi="Arial"/>
          <w:sz w:val="14"/>
          <w:szCs w:val="14"/>
          <w:b w:val="1"/>
          <w:bCs w:val="1"/>
          <w:color w:val="auto"/>
        </w:rPr>
      </w:pPr>
      <w:r>
        <w:rPr>
          <w:rFonts w:ascii="Arial" w:cs="Arial" w:eastAsia="Arial" w:hAnsi="Arial"/>
          <w:sz w:val="14"/>
          <w:szCs w:val="14"/>
          <w:b w:val="1"/>
          <w:bCs w:val="1"/>
          <w:color w:val="auto"/>
        </w:rPr>
        <w:t>December 2017</w:t>
      </w:r>
    </w:p>
    <w:p>
      <w:pPr>
        <w:jc w:val="right"/>
        <w:ind w:right="1800"/>
        <w:spacing w:after="0" w:line="235" w:lineRule="auto"/>
        <w:rPr>
          <w:sz w:val="20"/>
          <w:szCs w:val="20"/>
          <w:color w:val="auto"/>
        </w:rPr>
      </w:pPr>
      <w:r>
        <w:rPr>
          <w:rFonts w:ascii="Arial" w:cs="Arial" w:eastAsia="Arial" w:hAnsi="Arial"/>
          <w:sz w:val="18"/>
          <w:szCs w:val="18"/>
          <w:color w:val="auto"/>
        </w:rPr>
        <w:t>50-51</w:t>
      </w:r>
    </w:p>
    <w:p>
      <w:pPr>
        <w:jc w:val="right"/>
        <w:ind w:right="1800"/>
        <w:spacing w:after="0" w:line="235" w:lineRule="auto"/>
        <w:rPr>
          <w:sz w:val="20"/>
          <w:szCs w:val="20"/>
          <w:color w:val="auto"/>
        </w:rPr>
      </w:pPr>
      <w:r>
        <w:rPr>
          <w:rFonts w:ascii="Arial" w:cs="Arial" w:eastAsia="Arial" w:hAnsi="Arial"/>
          <w:sz w:val="18"/>
          <w:szCs w:val="18"/>
          <w:color w:val="auto"/>
        </w:rPr>
        <w:t>1.10–1.25</w:t>
      </w:r>
    </w:p>
    <w:p>
      <w:pPr>
        <w:jc w:val="right"/>
        <w:ind w:right="1800"/>
        <w:spacing w:after="0" w:line="235" w:lineRule="auto"/>
        <w:rPr>
          <w:sz w:val="20"/>
          <w:szCs w:val="20"/>
          <w:color w:val="auto"/>
        </w:rPr>
      </w:pPr>
      <w:r>
        <w:rPr>
          <w:rFonts w:ascii="Arial" w:cs="Arial" w:eastAsia="Arial" w:hAnsi="Arial"/>
          <w:sz w:val="18"/>
          <w:szCs w:val="18"/>
          <w:color w:val="auto"/>
        </w:rPr>
        <w:t>9.6-10</w:t>
      </w:r>
    </w:p>
    <w:p>
      <w:pPr>
        <w:ind w:left="420"/>
        <w:spacing w:after="0"/>
        <w:rPr>
          <w:sz w:val="20"/>
          <w:szCs w:val="20"/>
          <w:color w:val="auto"/>
        </w:rPr>
      </w:pPr>
      <w:r>
        <w:rPr>
          <w:rFonts w:ascii="Arial" w:cs="Arial" w:eastAsia="Arial" w:hAnsi="Arial"/>
          <w:sz w:val="17"/>
          <w:szCs w:val="17"/>
          <w:color w:val="auto"/>
        </w:rPr>
        <w:t>3.00–3.25</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Black Scholes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9607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14605</wp:posOffset>
            </wp:positionV>
            <wp:extent cx="9607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720"/>
            <w:col w:w="3020"/>
          </w:cols>
          <w:pgMar w:left="240" w:top="459" w:right="479" w:bottom="1440" w:gutter="0" w:footer="0" w:header="0"/>
          <w:type w:val="continuous"/>
        </w:sectPr>
      </w:pP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warrants at grant was £1,292,011. At December 31, 2017 it was £1,346,484.</w:t>
      </w:r>
    </w:p>
    <w:p>
      <w:pPr>
        <w:spacing w:after="0" w:line="212"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80"/>
          </w:cols>
          <w:pgMar w:left="240" w:top="459" w:right="479" w:bottom="1440" w:gutter="0" w:footer="0" w:header="0"/>
          <w:type w:val="continuous"/>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Trade and other payables</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994,901</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2,860,303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113,205</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144,348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13,001</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1,121,107</w:t>
            </w:r>
          </w:p>
        </w:tc>
        <w:tc>
          <w:tcPr>
            <w:tcW w:w="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3,024,026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1060" w:hanging="316"/>
        <w:spacing w:after="0"/>
        <w:tabs>
          <w:tab w:leader="none" w:pos="10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297" w:lineRule="exact"/>
        <w:rPr>
          <w:rFonts w:ascii="Arial" w:cs="Arial" w:eastAsia="Arial" w:hAnsi="Arial"/>
          <w:sz w:val="18"/>
          <w:szCs w:val="18"/>
          <w:color w:val="auto"/>
        </w:rPr>
      </w:pPr>
    </w:p>
    <w:p>
      <w:pPr>
        <w:ind w:left="500" w:hanging="296"/>
        <w:spacing w:after="0"/>
        <w:tabs>
          <w:tab w:leader="none" w:pos="5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145"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color w:val="auto"/>
              </w:rPr>
              <w:t>Total Interest</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color w:val="auto"/>
              </w:rPr>
              <w:t>bearing loans and</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color w:val="auto"/>
              </w:rPr>
              <w:t>Total Other</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8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borrowings</w:t>
            </w:r>
          </w:p>
        </w:tc>
        <w:tc>
          <w:tcPr>
            <w:tcW w:w="142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liabilities</w:t>
            </w:r>
          </w:p>
        </w:tc>
        <w:tc>
          <w:tcPr>
            <w:tcW w:w="116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January 1, 2017</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18,507,989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6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1,292,011</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6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(327,123)</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Novartis notes</w:t>
            </w:r>
          </w:p>
        </w:tc>
        <w:tc>
          <w:tcPr>
            <w:tcW w:w="16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(1,252,248)</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(1,252,248)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6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200,000</w:t>
            </w: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6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54,473</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6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2,061,000</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w:t>
            </w:r>
          </w:p>
        </w:tc>
        <w:tc>
          <w:tcPr>
            <w:tcW w:w="16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327,123</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Accreted interest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170,050</w:t>
            </w:r>
          </w:p>
        </w:tc>
        <w:tc>
          <w:tcPr>
            <w:tcW w:w="48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3,407,484</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24,159,801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00" w:hanging="296"/>
        <w:spacing w:after="0"/>
        <w:tabs>
          <w:tab w:leader="none" w:pos="5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measurement and Fair value measurement</w:t>
      </w:r>
    </w:p>
    <w:p>
      <w:pPr>
        <w:spacing w:after="0" w:line="103" w:lineRule="exact"/>
        <w:rPr>
          <w:rFonts w:ascii="Arial" w:cs="Arial" w:eastAsia="Arial" w:hAnsi="Arial"/>
          <w:sz w:val="18"/>
          <w:szCs w:val="18"/>
          <w:b w:val="1"/>
          <w:bCs w:val="1"/>
          <w:color w:val="auto"/>
        </w:rPr>
      </w:pPr>
    </w:p>
    <w:p>
      <w:pPr>
        <w:ind w:left="660" w:hanging="456"/>
        <w:spacing w:after="0"/>
        <w:tabs>
          <w:tab w:leader="none" w:pos="660" w:val="left"/>
        </w:tabs>
        <w:numPr>
          <w:ilvl w:val="0"/>
          <w:numId w:val="2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59" w:right="4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26"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We seek to maintain a balance between equity capital and convertible and secured debt to provide sufficient cash resources to execute our business plan. In addition, we maintain a balance between cash held on deposit and short term investments in sterling and other currencies to reduce its exposure to foreign exchange fluctuations in respect of our planned expenditure. During the year, in order to maintain a strong cash runway we completed an equity placing and arranged and drew down a new bank debt facility, which includes an initial interest-only period until September 2018.</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97"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interest payable on both the convertible loan note and on the bank loan is fixed. Consequently, there is no material exposure to interest rate risk in respect of interest payable.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Foreign exchange risk arises from commercial transactions and recognized assets and liabilities in foreign currencies. In relation to foreign currency risk, the Group’s policy is to hold the majority of its funds in Sterling and to hold sufficient USD to fund planned commitments for the next 12 months on a rolling basis with short term spot purchases to manage commitments in other currencies.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£5m with any one cash deposit counter party.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firstLine="441"/>
        <w:spacing w:after="0" w:line="246"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2017 is the carrying amounts.</w:t>
      </w:r>
    </w:p>
    <w:p>
      <w:pPr>
        <w:spacing w:after="0" w:line="197" w:lineRule="exact"/>
        <w:rPr>
          <w:sz w:val="20"/>
          <w:szCs w:val="20"/>
          <w:color w:val="auto"/>
        </w:rPr>
      </w:pPr>
    </w:p>
    <w:p>
      <w:pPr>
        <w:jc w:val="both"/>
        <w:ind w:left="200" w:right="420" w:firstLine="441"/>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Fair Value Measurement using</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Quoted</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prices in</w:t>
            </w:r>
          </w:p>
        </w:tc>
        <w:tc>
          <w:tcPr>
            <w:tcW w:w="5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active</w:t>
            </w:r>
          </w:p>
        </w:tc>
        <w:tc>
          <w:tcPr>
            <w:tcW w:w="1500" w:type="dxa"/>
            <w:vAlign w:val="bottom"/>
            <w:gridSpan w:val="3"/>
          </w:tcPr>
          <w:p>
            <w:pPr>
              <w:jc w:val="center"/>
              <w:ind w:left="148"/>
              <w:spacing w:after="0"/>
              <w:rPr>
                <w:sz w:val="20"/>
                <w:szCs w:val="20"/>
                <w:color w:val="auto"/>
              </w:rPr>
            </w:pPr>
            <w:r>
              <w:rPr>
                <w:rFonts w:ascii="Arial" w:cs="Arial" w:eastAsia="Arial" w:hAnsi="Arial"/>
                <w:sz w:val="14"/>
                <w:szCs w:val="14"/>
                <w:color w:val="auto"/>
              </w:rPr>
              <w:t>observable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rPr>
              <w:t>Significant</w:t>
            </w: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markets</w:t>
            </w:r>
          </w:p>
        </w:tc>
        <w:tc>
          <w:tcPr>
            <w:tcW w:w="5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color w:val="auto"/>
              </w:rPr>
              <w:t>unobservable</w:t>
            </w:r>
          </w:p>
        </w:tc>
      </w:tr>
      <w:tr>
        <w:trPr>
          <w:trHeight w:val="157"/>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Date of valuation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Total</w:t>
            </w:r>
          </w:p>
        </w:tc>
        <w:tc>
          <w:tcPr>
            <w:tcW w:w="108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rPr>
              <w:t>(Level 1)</w:t>
            </w:r>
          </w:p>
        </w:tc>
        <w:tc>
          <w:tcPr>
            <w:tcW w:w="500" w:type="dxa"/>
            <w:vAlign w:val="bottom"/>
          </w:tcPr>
          <w:p>
            <w:pPr>
              <w:spacing w:after="0"/>
              <w:rPr>
                <w:sz w:val="13"/>
                <w:szCs w:val="13"/>
                <w:color w:val="auto"/>
              </w:rPr>
            </w:pPr>
          </w:p>
        </w:tc>
        <w:tc>
          <w:tcPr>
            <w:tcW w:w="100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10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inputs (Level 3)</w:t>
            </w:r>
          </w:p>
        </w:tc>
      </w:tr>
      <w:tr>
        <w:trPr>
          <w:trHeight w:val="183"/>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w:t>
            </w:r>
          </w:p>
        </w:tc>
        <w:tc>
          <w:tcPr>
            <w:tcW w:w="1180" w:type="dxa"/>
            <w:vAlign w:val="bottom"/>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2,061,000</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7"/>
                <w:szCs w:val="17"/>
                <w:color w:val="auto"/>
              </w:rPr>
            </w:pPr>
          </w:p>
        </w:tc>
      </w:tr>
      <w:tr>
        <w:trPr>
          <w:trHeight w:val="203"/>
        </w:trPr>
        <w:tc>
          <w:tcPr>
            <w:tcW w:w="4460" w:type="dxa"/>
            <w:vAlign w:val="bottom"/>
            <w:gridSpan w:val="2"/>
          </w:tcPr>
          <w:p>
            <w:pPr>
              <w:jc w:val="right"/>
              <w:ind w:right="3930"/>
              <w:spacing w:after="0" w:line="203" w:lineRule="exact"/>
              <w:rPr>
                <w:sz w:val="20"/>
                <w:szCs w:val="20"/>
                <w:color w:val="auto"/>
              </w:rPr>
            </w:pPr>
            <w:r>
              <w:rPr>
                <w:rFonts w:ascii="Arial" w:cs="Arial" w:eastAsia="Arial" w:hAnsi="Arial"/>
                <w:sz w:val="18"/>
                <w:szCs w:val="18"/>
                <w:color w:val="auto"/>
              </w:rPr>
              <w:t>19)</w:t>
            </w:r>
          </w:p>
        </w:tc>
        <w:tc>
          <w:tcPr>
            <w:tcW w:w="1180" w:type="dxa"/>
            <w:vAlign w:val="bottom"/>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1,346,484</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1,346,484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Liabilities for which fair values are disclosed</w:t>
            </w: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1,977,393</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1,977,393</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18,774,924</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18,774,924</w:t>
            </w:r>
          </w:p>
        </w:tc>
        <w:tc>
          <w:tcPr>
            <w:tcW w:w="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 hierarchy for liabilities as at December 31, 2016:</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Fair Value Measurement using</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Quoted</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prices in</w:t>
            </w:r>
          </w:p>
        </w:tc>
        <w:tc>
          <w:tcPr>
            <w:tcW w:w="5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Significant</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Significant</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active</w:t>
            </w:r>
          </w:p>
        </w:tc>
        <w:tc>
          <w:tcPr>
            <w:tcW w:w="1520" w:type="dxa"/>
            <w:vAlign w:val="bottom"/>
            <w:gridSpan w:val="3"/>
          </w:tcPr>
          <w:p>
            <w:pPr>
              <w:jc w:val="center"/>
              <w:ind w:left="128"/>
              <w:spacing w:after="0"/>
              <w:rPr>
                <w:sz w:val="20"/>
                <w:szCs w:val="20"/>
                <w:color w:val="auto"/>
              </w:rPr>
            </w:pPr>
            <w:r>
              <w:rPr>
                <w:rFonts w:ascii="Arial" w:cs="Arial" w:eastAsia="Arial" w:hAnsi="Arial"/>
                <w:sz w:val="14"/>
                <w:szCs w:val="14"/>
                <w:color w:val="auto"/>
              </w:rPr>
              <w:t>observable</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unobservable</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markets</w:t>
            </w:r>
          </w:p>
        </w:tc>
        <w:tc>
          <w:tcPr>
            <w:tcW w:w="5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inputs</w:t>
            </w:r>
          </w:p>
        </w:tc>
      </w:tr>
      <w:tr>
        <w:trPr>
          <w:trHeight w:val="157"/>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Date of valuation</w:t>
            </w:r>
          </w:p>
        </w:tc>
        <w:tc>
          <w:tcPr>
            <w:tcW w:w="50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6"/>
              </w:rPr>
              <w:t>Total</w:t>
            </w:r>
          </w:p>
        </w:tc>
        <w:tc>
          <w:tcPr>
            <w:tcW w:w="1100" w:type="dxa"/>
            <w:vAlign w:val="bottom"/>
            <w:gridSpan w:val="2"/>
          </w:tcPr>
          <w:p>
            <w:pPr>
              <w:jc w:val="center"/>
              <w:ind w:left="428"/>
              <w:spacing w:after="0" w:line="157" w:lineRule="exact"/>
              <w:rPr>
                <w:sz w:val="20"/>
                <w:szCs w:val="20"/>
                <w:color w:val="auto"/>
              </w:rPr>
            </w:pPr>
            <w:r>
              <w:rPr>
                <w:rFonts w:ascii="Arial" w:cs="Arial" w:eastAsia="Arial" w:hAnsi="Arial"/>
                <w:sz w:val="14"/>
                <w:szCs w:val="14"/>
                <w:color w:val="auto"/>
              </w:rPr>
              <w:t>(Level 1)</w:t>
            </w:r>
          </w:p>
        </w:tc>
        <w:tc>
          <w:tcPr>
            <w:tcW w:w="50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9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(Level 3)</w:t>
            </w:r>
          </w:p>
        </w:tc>
      </w:tr>
      <w:tr>
        <w:trPr>
          <w:trHeight w:val="183"/>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for which fair values are disclosed</w:t>
            </w:r>
          </w:p>
        </w:tc>
        <w:tc>
          <w:tcPr>
            <w:tcW w:w="1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Convertible loan (Note 18a)</w:t>
            </w:r>
          </w:p>
        </w:tc>
        <w:tc>
          <w:tcPr>
            <w:tcW w:w="1200" w:type="dxa"/>
            <w:vAlign w:val="bottom"/>
          </w:tcPr>
          <w:p>
            <w:pPr>
              <w:ind w:left="40"/>
              <w:spacing w:after="0" w:line="201" w:lineRule="exact"/>
              <w:rPr>
                <w:sz w:val="20"/>
                <w:szCs w:val="20"/>
                <w:color w:val="auto"/>
              </w:rPr>
            </w:pPr>
            <w:r>
              <w:rPr>
                <w:rFonts w:ascii="Arial" w:cs="Arial" w:eastAsia="Arial" w:hAnsi="Arial"/>
                <w:sz w:val="18"/>
                <w:szCs w:val="18"/>
                <w:color w:val="auto"/>
              </w:rPr>
              <w:t>December 31,</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£3,126,526</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left="130"/>
              <w:spacing w:after="0"/>
              <w:rPr>
                <w:sz w:val="20"/>
                <w:szCs w:val="20"/>
                <w:color w:val="auto"/>
              </w:rPr>
            </w:pPr>
            <w:r>
              <w:rPr>
                <w:rFonts w:ascii="Arial" w:cs="Arial" w:eastAsia="Arial" w:hAnsi="Arial"/>
                <w:sz w:val="18"/>
                <w:szCs w:val="18"/>
                <w:color w:val="auto"/>
              </w:rPr>
              <w:t>£3,126,526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 1 and Level 2 during 2016</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2016</w:t>
            </w: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Carrying</w:t>
            </w: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20" w:type="dxa"/>
            <w:vAlign w:val="bottom"/>
            <w:gridSpan w:val="2"/>
          </w:tcPr>
          <w:p>
            <w:pPr>
              <w:jc w:val="center"/>
              <w:ind w:left="1339"/>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14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440" w:type="dxa"/>
            <w:vAlign w:val="bottom"/>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2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shd w:val="clear" w:color="auto" w:fill="CCEEFF"/>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1060" w:right="80" w:hanging="316"/>
        <w:spacing w:after="0" w:line="237"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8" w:lineRule="exact"/>
        <w:rPr>
          <w:rFonts w:ascii="Arial" w:cs="Arial" w:eastAsia="Arial" w:hAnsi="Arial"/>
          <w:sz w:val="18"/>
          <w:szCs w:val="18"/>
          <w:color w:val="auto"/>
        </w:rPr>
      </w:pPr>
    </w:p>
    <w:p>
      <w:pPr>
        <w:ind w:left="1060" w:right="580" w:hanging="316"/>
        <w:spacing w:after="0" w:line="246" w:lineRule="auto"/>
        <w:tabs>
          <w:tab w:leader="none" w:pos="1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Black-Scholes model taking into account appropriate amendments to inputs in respect of volatility and remaining expected life of the warrants, cost of capital, probability of success and interest rates.</w:t>
      </w:r>
    </w:p>
    <w:p>
      <w:pPr>
        <w:spacing w:after="0" w:line="197"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2017 and 2016 are as shown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38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w:t>
            </w:r>
          </w:p>
        </w:tc>
        <w:tc>
          <w:tcPr>
            <w:tcW w:w="640" w:type="dxa"/>
            <w:vAlign w:val="bottom"/>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3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line="160" w:lineRule="exact"/>
              <w:rPr>
                <w:sz w:val="20"/>
                <w:szCs w:val="20"/>
                <w:color w:val="auto"/>
              </w:rPr>
            </w:pPr>
            <w:r>
              <w:rPr>
                <w:rFonts w:ascii="Arial" w:cs="Arial" w:eastAsia="Arial" w:hAnsi="Arial"/>
                <w:sz w:val="18"/>
                <w:szCs w:val="18"/>
                <w:color w:val="auto"/>
              </w:rPr>
              <w:t>DCF</w:t>
            </w:r>
          </w:p>
        </w:tc>
        <w:tc>
          <w:tcPr>
            <w:tcW w:w="120" w:type="dxa"/>
            <w:vAlign w:val="bottom"/>
          </w:tcPr>
          <w:p>
            <w:pPr>
              <w:spacing w:after="0"/>
              <w:rPr>
                <w:sz w:val="13"/>
                <w:szCs w:val="13"/>
                <w:color w:val="auto"/>
              </w:rPr>
            </w:pPr>
          </w:p>
        </w:tc>
        <w:tc>
          <w:tcPr>
            <w:tcW w:w="1140" w:type="dxa"/>
            <w:vAlign w:val="bottom"/>
          </w:tcPr>
          <w:p>
            <w:pPr>
              <w:spacing w:after="0" w:line="160" w:lineRule="exact"/>
              <w:rPr>
                <w:sz w:val="20"/>
                <w:szCs w:val="20"/>
                <w:color w:val="auto"/>
              </w:rPr>
            </w:pPr>
            <w:r>
              <w:rPr>
                <w:rFonts w:ascii="Arial" w:cs="Arial" w:eastAsia="Arial" w:hAnsi="Arial"/>
                <w:sz w:val="18"/>
                <w:szCs w:val="18"/>
                <w:color w:val="auto"/>
              </w:rPr>
              <w:t>WACC</w:t>
            </w:r>
          </w:p>
        </w:tc>
        <w:tc>
          <w:tcPr>
            <w:tcW w:w="120" w:type="dxa"/>
            <w:vAlign w:val="bottom"/>
          </w:tcPr>
          <w:p>
            <w:pPr>
              <w:spacing w:after="0"/>
              <w:rPr>
                <w:sz w:val="13"/>
                <w:szCs w:val="13"/>
                <w:color w:val="auto"/>
              </w:rPr>
            </w:pPr>
          </w:p>
        </w:tc>
        <w:tc>
          <w:tcPr>
            <w:tcW w:w="1240" w:type="dxa"/>
            <w:vAlign w:val="bottom"/>
          </w:tcPr>
          <w:p>
            <w:pPr>
              <w:spacing w:after="0" w:line="160" w:lineRule="exact"/>
              <w:rPr>
                <w:sz w:val="20"/>
                <w:szCs w:val="20"/>
                <w:color w:val="auto"/>
              </w:rPr>
            </w:pPr>
            <w:r>
              <w:rPr>
                <w:rFonts w:ascii="Arial" w:cs="Arial" w:eastAsia="Arial" w:hAnsi="Arial"/>
                <w:sz w:val="18"/>
                <w:szCs w:val="18"/>
                <w:color w:val="auto"/>
              </w:rPr>
              <w:t>2017: 15.3%</w:t>
            </w:r>
          </w:p>
        </w:tc>
        <w:tc>
          <w:tcPr>
            <w:tcW w:w="100" w:type="dxa"/>
            <w:vAlign w:val="bottom"/>
          </w:tcPr>
          <w:p>
            <w:pPr>
              <w:spacing w:after="0"/>
              <w:rPr>
                <w:sz w:val="13"/>
                <w:szCs w:val="13"/>
                <w:color w:val="auto"/>
              </w:rPr>
            </w:pPr>
          </w:p>
        </w:tc>
        <w:tc>
          <w:tcPr>
            <w:tcW w:w="3860" w:type="dxa"/>
            <w:vAlign w:val="bottom"/>
          </w:tcPr>
          <w:p>
            <w:pPr>
              <w:spacing w:after="0" w:line="160" w:lineRule="exact"/>
              <w:rPr>
                <w:sz w:val="20"/>
                <w:szCs w:val="20"/>
                <w:color w:val="auto"/>
              </w:rPr>
            </w:pPr>
            <w:r>
              <w:rPr>
                <w:rFonts w:ascii="Arial" w:cs="Arial" w:eastAsia="Arial" w:hAnsi="Arial"/>
                <w:sz w:val="18"/>
                <w:szCs w:val="18"/>
                <w:color w:val="auto"/>
              </w:rPr>
              <w:t>1% increase / (decrease) would result in a</w:t>
            </w:r>
          </w:p>
        </w:tc>
        <w:tc>
          <w:tcPr>
            <w:tcW w:w="0" w:type="dxa"/>
            <w:vAlign w:val="bottom"/>
          </w:tcPr>
          <w:p>
            <w:pPr>
              <w:spacing w:after="0"/>
              <w:rPr>
                <w:sz w:val="1"/>
                <w:szCs w:val="1"/>
                <w:color w:val="auto"/>
              </w:rPr>
            </w:pPr>
          </w:p>
        </w:tc>
      </w:tr>
      <w:tr>
        <w:trPr>
          <w:trHeight w:val="252"/>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consideration</w:t>
            </w: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 / (increase) in fair value by £30,000.</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Probability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28 –</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of success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85%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in fair value by £600,000.</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Black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Risk free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1.25%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 / (decrease) would result in an</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4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Scholes</w:t>
            </w:r>
          </w:p>
        </w:tc>
        <w:tc>
          <w:tcPr>
            <w:tcW w:w="1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increase / (decrease) of £46,000.</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rate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50%</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of £200,000.</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Remaining</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of 365 days would result</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life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3519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 an increase / (decrease) of £54,000.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ind w:left="200"/>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Payments Due by Period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Up to 1 year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1-3 Years</w:t>
            </w:r>
          </w:p>
        </w:tc>
        <w:tc>
          <w:tcPr>
            <w:tcW w:w="44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3-5 Years</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Over 5 Years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82,600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165,427</w:t>
            </w: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£2,078,815</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2,326,842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3,574,208</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7"/>
              </w:rPr>
              <w:t>17,793,665</w:t>
            </w:r>
          </w:p>
        </w:tc>
        <w:tc>
          <w:tcPr>
            <w:tcW w:w="1360" w:type="dxa"/>
            <w:vAlign w:val="bottom"/>
            <w:gridSpan w:val="2"/>
          </w:tcPr>
          <w:p>
            <w:pPr>
              <w:jc w:val="center"/>
              <w:ind w:left="356"/>
              <w:spacing w:after="0" w:line="202" w:lineRule="exact"/>
              <w:rPr>
                <w:sz w:val="20"/>
                <w:szCs w:val="20"/>
                <w:color w:val="auto"/>
              </w:rPr>
            </w:pPr>
            <w:r>
              <w:rPr>
                <w:rFonts w:ascii="Arial" w:cs="Arial" w:eastAsia="Arial" w:hAnsi="Arial"/>
                <w:sz w:val="18"/>
                <w:szCs w:val="18"/>
                <w:color w:val="auto"/>
              </w:rPr>
              <w:t>£2,982,805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24,350,678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743,858</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535,203</w:t>
            </w: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1,279,061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4,400,666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18,494,295</w:t>
            </w:r>
          </w:p>
        </w:tc>
        <w:tc>
          <w:tcPr>
            <w:tcW w:w="1360" w:type="dxa"/>
            <w:vAlign w:val="bottom"/>
            <w:gridSpan w:val="2"/>
          </w:tcPr>
          <w:p>
            <w:pPr>
              <w:jc w:val="center"/>
              <w:ind w:left="35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5,061,620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27,956,581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F-32</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our contractual obligations at December 31, 2016: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60" w:type="dxa"/>
            <w:vAlign w:val="bottom"/>
            <w:gridSpan w:val="4"/>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9"/>
              </w:rPr>
              <w:t>Up to 1 year</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1-3 Years</w:t>
            </w: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3-5 Years</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Over 5 Years</w:t>
            </w:r>
          </w:p>
        </w:tc>
        <w:tc>
          <w:tcPr>
            <w:tcW w:w="46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£ 138,543</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3,660,559</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£3,799,102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20" w:type="dxa"/>
            <w:vAlign w:val="bottom"/>
          </w:tcPr>
          <w:p>
            <w:pPr>
              <w:spacing w:after="0"/>
              <w:rPr>
                <w:sz w:val="17"/>
                <w:szCs w:val="17"/>
                <w:color w:val="auto"/>
              </w:rPr>
            </w:pPr>
          </w:p>
        </w:tc>
        <w:tc>
          <w:tcPr>
            <w:tcW w:w="80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6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£ 325,920</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651,840</w:t>
            </w:r>
          </w:p>
        </w:tc>
        <w:tc>
          <w:tcPr>
            <w:tcW w:w="1220" w:type="dxa"/>
            <w:vAlign w:val="bottom"/>
            <w:gridSpan w:val="2"/>
            <w:shd w:val="clear" w:color="auto" w:fill="CCEEFF"/>
          </w:tcPr>
          <w:p>
            <w:pPr>
              <w:jc w:val="center"/>
              <w:ind w:left="356"/>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1,180,496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£ 464,463</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4,312,399</w:t>
            </w:r>
          </w:p>
        </w:tc>
        <w:tc>
          <w:tcPr>
            <w:tcW w:w="1220" w:type="dxa"/>
            <w:vAlign w:val="bottom"/>
            <w:gridSpan w:val="2"/>
          </w:tcPr>
          <w:p>
            <w:pPr>
              <w:jc w:val="center"/>
              <w:ind w:left="35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4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4,979,598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We may incur potential payments upon our achievement of clinical, regulatory and commercial milestones, as applicable, or royalty payments that we may be required to make under license agreements we have entered into with various entities pursuant to which we have in-licensed certain intellectual property, including our license agreements with Novartis and AstraZeneca. Due to the uncertainty of the achievement and timing of the events requiring payment under these agreements, the amounts to be paid by us are not fixed or determinable at this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Share-based payments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charge for employee-related share-based payments under IFRS 2 arises across the following plans: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6,185,067</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2,441,671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Share Option Plan</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586,291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LTIP</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298,287</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DBSP</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175,350</w:t>
            </w:r>
          </w:p>
        </w:tc>
        <w:tc>
          <w:tcPr>
            <w:tcW w:w="5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325,649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6,494,018</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3,651,898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 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left="200" w:right="940" w:firstLine="441"/>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 year: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WAEP</w:t>
            </w:r>
          </w:p>
        </w:tc>
        <w:tc>
          <w:tcPr>
            <w:tcW w:w="12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WAEP</w:t>
            </w:r>
          </w:p>
        </w:tc>
      </w:t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1,316,117</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8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5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(74,045)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9,198,655</w:t>
            </w:r>
          </w:p>
        </w:tc>
        <w:tc>
          <w:tcPr>
            <w:tcW w:w="3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9,124,610</w:t>
            </w:r>
          </w:p>
        </w:tc>
        <w:tc>
          <w:tcPr>
            <w:tcW w:w="340" w:type="dxa"/>
            <w:vAlign w:val="bottom"/>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7"/>
                <w:szCs w:val="17"/>
                <w:color w:val="auto"/>
              </w:rPr>
            </w:pPr>
          </w:p>
        </w:tc>
      </w:tr>
      <w:tr>
        <w:trPr>
          <w:trHeight w:val="20"/>
        </w:trPr>
        <w:tc>
          <w:tcPr>
            <w:tcW w:w="72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28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3,115,337</w:t>
            </w: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5,655,676</w:t>
            </w:r>
          </w:p>
        </w:tc>
        <w:tc>
          <w:tcPr>
            <w:tcW w:w="3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7.6 years (2016:</w:t>
      </w:r>
    </w:p>
    <w:p>
      <w:pPr>
        <w:ind w:left="200"/>
        <w:spacing w:after="0"/>
        <w:rPr>
          <w:sz w:val="20"/>
          <w:szCs w:val="20"/>
          <w:color w:val="auto"/>
        </w:rPr>
      </w:pPr>
      <w:r>
        <w:rPr>
          <w:rFonts w:ascii="Arial" w:cs="Arial" w:eastAsia="Arial" w:hAnsi="Arial"/>
          <w:sz w:val="18"/>
          <w:szCs w:val="18"/>
          <w:color w:val="auto"/>
        </w:rPr>
        <w:t>8.3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options granted in 2017. The weighted average fair value of options granted during 2016 was £1.29.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and 2017:</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1.48–2.07</w:t>
            </w:r>
          </w:p>
        </w:tc>
        <w:tc>
          <w:tcPr>
            <w:tcW w:w="84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1.84–2.21</w:t>
            </w:r>
          </w:p>
        </w:tc>
        <w:tc>
          <w:tcPr>
            <w:tcW w:w="84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Black Scholes</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period</w:t>
      </w:r>
    </w:p>
    <w:p>
      <w:pPr>
        <w:spacing w:after="0" w:line="126"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Share Option Plan during the period:</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9"/>
              </w:rPr>
              <w:t>WAEP</w:t>
            </w:r>
          </w:p>
        </w:tc>
        <w:tc>
          <w:tcPr>
            <w:tcW w:w="124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WAEP</w:t>
            </w: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2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246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1,593,188</w:t>
            </w:r>
          </w:p>
        </w:tc>
        <w:tc>
          <w:tcPr>
            <w:tcW w:w="240" w:type="dxa"/>
            <w:vAlign w:val="bottom"/>
          </w:tcPr>
          <w:p>
            <w:pPr>
              <w:spacing w:after="0"/>
              <w:rPr>
                <w:sz w:val="17"/>
                <w:szCs w:val="17"/>
                <w:color w:val="auto"/>
              </w:rPr>
            </w:pPr>
          </w:p>
        </w:tc>
        <w:tc>
          <w:tcPr>
            <w:tcW w:w="640" w:type="dxa"/>
            <w:vAlign w:val="bottom"/>
            <w:gridSpan w:val="2"/>
          </w:tcPr>
          <w:p>
            <w:pPr>
              <w:jc w:val="center"/>
              <w:ind w:left="201"/>
              <w:spacing w:after="0" w:line="202" w:lineRule="exact"/>
              <w:rPr>
                <w:sz w:val="20"/>
                <w:szCs w:val="20"/>
                <w:color w:val="auto"/>
              </w:rPr>
            </w:pPr>
            <w:r>
              <w:rPr>
                <w:rFonts w:ascii="Arial" w:cs="Arial" w:eastAsia="Arial" w:hAnsi="Arial"/>
                <w:sz w:val="18"/>
                <w:szCs w:val="18"/>
                <w:color w:val="auto"/>
              </w:rPr>
              <w:t>3.05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24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0"/>
        </w:trPr>
        <w:tc>
          <w:tcPr>
            <w:tcW w:w="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2460" w:type="dxa"/>
            <w:vAlign w:val="bottom"/>
          </w:tcPr>
          <w:p>
            <w:pPr>
              <w:spacing w:after="0"/>
              <w:rPr>
                <w:sz w:val="18"/>
                <w:szCs w:val="18"/>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(15,000)</w:t>
            </w:r>
          </w:p>
        </w:tc>
        <w:tc>
          <w:tcPr>
            <w:tcW w:w="640" w:type="dxa"/>
            <w:vAlign w:val="bottom"/>
            <w:gridSpan w:val="2"/>
          </w:tcPr>
          <w:p>
            <w:pPr>
              <w:jc w:val="center"/>
              <w:ind w:left="201"/>
              <w:spacing w:after="0" w:line="202" w:lineRule="exact"/>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2460" w:type="dxa"/>
            <w:vAlign w:val="bottom"/>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1,578,188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7"/>
                <w:szCs w:val="17"/>
                <w:color w:val="auto"/>
              </w:rPr>
            </w:pPr>
          </w:p>
        </w:tc>
      </w:tr>
      <w:tr>
        <w:trPr>
          <w:trHeight w:val="20"/>
        </w:trPr>
        <w:tc>
          <w:tcPr>
            <w:tcW w:w="50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2460" w:type="dxa"/>
            <w:vAlign w:val="bottom"/>
          </w:tcPr>
          <w:p>
            <w:pPr>
              <w:spacing w:after="0"/>
              <w:rPr>
                <w:sz w:val="17"/>
                <w:szCs w:val="17"/>
                <w:color w:val="auto"/>
              </w:rPr>
            </w:pP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11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9.4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options granted during the year was £1.85.</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Options outstanding at the end of the year had an exercise price of between £3.03 and £3.23.</w:t>
      </w:r>
    </w:p>
    <w:p>
      <w:pPr>
        <w:spacing w:after="0" w:line="212"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 December 31, 2017:</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40" w:type="dxa"/>
            <w:vAlign w:val="bottom"/>
            <w:gridSpan w:val="2"/>
          </w:tcPr>
          <w:p>
            <w:pPr>
              <w:jc w:val="center"/>
              <w:ind w:left="1088"/>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b w:val="1"/>
                <w:bCs w:val="1"/>
                <w:color w:val="auto"/>
              </w:rPr>
              <w:t>2016</w:t>
            </w:r>
          </w:p>
        </w:tc>
        <w:tc>
          <w:tcPr>
            <w:tcW w:w="2080" w:type="dxa"/>
            <w:vAlign w:val="bottom"/>
            <w:gridSpan w:val="2"/>
          </w:tcPr>
          <w:p>
            <w:pPr>
              <w:jc w:val="center"/>
              <w:ind w:left="754"/>
              <w:spacing w:after="0"/>
              <w:rPr>
                <w:sz w:val="20"/>
                <w:szCs w:val="20"/>
                <w:color w:val="auto"/>
              </w:rPr>
            </w:pPr>
            <w:r>
              <w:rPr>
                <w:rFonts w:ascii="Arial" w:cs="Arial" w:eastAsia="Arial" w:hAnsi="Arial"/>
                <w:sz w:val="14"/>
                <w:szCs w:val="14"/>
                <w:b w:val="1"/>
                <w:bCs w:val="1"/>
                <w:color w:val="auto"/>
              </w:rPr>
              <w:t>2017</w:t>
            </w: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180" w:type="dxa"/>
            <w:vAlign w:val="bottom"/>
          </w:tcPr>
          <w:p>
            <w:pPr>
              <w:spacing w:after="0"/>
              <w:rPr>
                <w:sz w:val="17"/>
                <w:szCs w:val="17"/>
                <w:color w:val="auto"/>
              </w:rPr>
            </w:pPr>
          </w:p>
        </w:tc>
        <w:tc>
          <w:tcPr>
            <w:tcW w:w="96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754"/>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754"/>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180" w:type="dxa"/>
            <w:vAlign w:val="bottom"/>
          </w:tcPr>
          <w:p>
            <w:pPr>
              <w:spacing w:after="0"/>
              <w:rPr>
                <w:sz w:val="17"/>
                <w:szCs w:val="17"/>
                <w:color w:val="auto"/>
              </w:rPr>
            </w:pPr>
          </w:p>
        </w:tc>
        <w:tc>
          <w:tcPr>
            <w:tcW w:w="96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754"/>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774"/>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3"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recognized for employee services received during the year to December 31, 2017 was £298,287 (2016: £133,601).</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(234,162)</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965,496</w:t>
            </w:r>
          </w:p>
        </w:tc>
        <w:tc>
          <w:tcPr>
            <w:tcW w:w="4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1,151,446</w:t>
            </w: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weighted average remaining contractual life for the LTIP options outstanding as at December 31, 2017 was 2.9 years (2016: 3.7 years).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LTIP options granted during the year was £1.99 (2016: £1.21).</w:t>
      </w:r>
    </w:p>
    <w:p>
      <w:pPr>
        <w:spacing w:after="0" w:line="212"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options granted during the years ended December 31:</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LTIP Share Price Element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140" w:type="dxa"/>
            <w:vAlign w:val="bottom"/>
            <w:gridSpan w:val="2"/>
          </w:tcPr>
          <w:p>
            <w:pPr>
              <w:jc w:val="center"/>
              <w:ind w:left="177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8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3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860" w:type="dxa"/>
            <w:vAlign w:val="bottom"/>
          </w:tcPr>
          <w:p>
            <w:pPr>
              <w:spacing w:after="0"/>
              <w:rPr>
                <w:sz w:val="17"/>
                <w:szCs w:val="17"/>
                <w:color w:val="auto"/>
              </w:rPr>
            </w:pPr>
          </w:p>
        </w:tc>
        <w:tc>
          <w:tcPr>
            <w:tcW w:w="16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0.48–0.74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0.17-0.39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8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Monte Carlo</w:t>
            </w:r>
          </w:p>
        </w:tc>
        <w:tc>
          <w:tcPr>
            <w:tcW w:w="13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Monte Carlo</w:t>
            </w: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500" w:type="dxa"/>
            <w:vAlign w:val="bottom"/>
            <w:gridSpan w:val="3"/>
          </w:tcPr>
          <w:p>
            <w:pPr>
              <w:ind w:left="500"/>
              <w:spacing w:after="0"/>
              <w:rPr>
                <w:sz w:val="20"/>
                <w:szCs w:val="20"/>
                <w:color w:val="auto"/>
              </w:rPr>
            </w:pPr>
            <w:r>
              <w:rPr>
                <w:rFonts w:ascii="Arial" w:cs="Arial" w:eastAsia="Arial" w:hAnsi="Arial"/>
                <w:sz w:val="18"/>
                <w:szCs w:val="18"/>
                <w:color w:val="auto"/>
              </w:rPr>
              <w:t>F-36</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LTIP Strategic Element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3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3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Black Scholes</w:t>
            </w:r>
          </w:p>
        </w:tc>
        <w:tc>
          <w:tcPr>
            <w:tcW w:w="1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Under the Company’s Deferred Bonus Share Plan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center"/>
              <w:ind w:left="67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1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2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100,817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2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162,997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weighted average remaining contractual life for the DBSP options outstanding as at December 31, 2017 was 3.6 years (2016: 4 years).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£3.23 (2016: £2.80).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exclusive worldwide, sub-licensable license under AstraZeneca’s intellectual property rights relating to MPH-966,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Under the agreement with Astrazeneca, we may issue up to 1,349,693 ordinary shares which are dependent on achieving certain milestones.</w:t>
      </w:r>
    </w:p>
    <w:p>
      <w:pPr>
        <w:spacing w:after="0" w:line="197"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In respect of milestones that are probable, we have accounted for, but not yet issued, 429,448 ordinary shares which have been measured at fair value, being £3.10, giving a total of £1,331,288.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Commitments and contingencies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minimum rentals payable under non-cancellable operating leases as at December 31, 2017 are as follows: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325,920</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651,840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535,203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three years but not more than five years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202,736</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2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1,180,496</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1,279,061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20" w:firstLine="441"/>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2017 was £293,328 (2016:£293,328).</w:t>
      </w:r>
    </w:p>
    <w:p>
      <w:pPr>
        <w:spacing w:after="0" w:line="203"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Group has entered into a lease for six High Resolution peripheral quantitative computed tomography (HRpQCT) scanners for use in its ongoing clinical studies.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2017.</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issued to Novartis loan notes (the Novartis notes) (which were assigned by Novartis to the Company in exchange for ordinary shares pursuant to the Subscription Agreement) and each of Mereo BioPharma 1 Ltd, 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3"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 $ 5.0 million. In connection with certain development and regulatory milestones, we have agreed to make payments of up to $115.5 million in the aggregate and issue additional ordinary shares to AstraZeneca for licensed products containing MPH-966. In addition, we have agreed to make payments to AstraZeneca based on specified commercial milestones of the product. In the event that we sub-license MPH-966,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15"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Related party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 and 2017.</w:t>
      </w:r>
    </w:p>
    <w:p>
      <w:pPr>
        <w:spacing w:after="0" w:line="212"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19).</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5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9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10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968,219</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4,610,106</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outstanding to be paid to Novartis at December 31, 2017 was £nil (2016: £35,249).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 Standards issued but not yet effective</w:t>
      </w:r>
    </w:p>
    <w:p>
      <w:pPr>
        <w:spacing w:after="0" w:line="126" w:lineRule="exact"/>
        <w:rPr>
          <w:sz w:val="20"/>
          <w:szCs w:val="20"/>
          <w:color w:val="auto"/>
        </w:rPr>
      </w:pPr>
    </w:p>
    <w:p>
      <w:pPr>
        <w:ind w:left="200" w:right="820" w:firstLine="441"/>
        <w:spacing w:after="0" w:line="275" w:lineRule="auto"/>
        <w:rPr>
          <w:sz w:val="20"/>
          <w:szCs w:val="20"/>
          <w:color w:val="auto"/>
        </w:rPr>
      </w:pPr>
      <w:r>
        <w:rPr>
          <w:rFonts w:ascii="Arial" w:cs="Arial" w:eastAsia="Arial" w:hAnsi="Arial"/>
          <w:sz w:val="17"/>
          <w:szCs w:val="17"/>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26"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26"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recognized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59" w:right="4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6"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standards</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material impact on the results of the Group or the presentation of the financial statements:</w:t>
      </w:r>
    </w:p>
    <w:p>
      <w:pPr>
        <w:spacing w:after="0" w:line="102" w:lineRule="exact"/>
        <w:rPr>
          <w:sz w:val="20"/>
          <w:szCs w:val="20"/>
          <w:color w:val="auto"/>
        </w:rPr>
      </w:pPr>
    </w:p>
    <w:p>
      <w:pPr>
        <w:ind w:left="1060" w:right="140" w:hanging="316"/>
        <w:spacing w:after="0" w:line="246"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unrealised losses</w:t>
      </w:r>
    </w:p>
    <w:p>
      <w:pPr>
        <w:spacing w:after="0" w:line="117" w:lineRule="exact"/>
        <w:rPr>
          <w:rFonts w:ascii="Arial" w:cs="Arial" w:eastAsia="Arial" w:hAnsi="Arial"/>
          <w:sz w:val="18"/>
          <w:szCs w:val="18"/>
          <w:color w:val="auto"/>
        </w:rPr>
      </w:pPr>
    </w:p>
    <w:p>
      <w:pPr>
        <w:ind w:left="1060" w:right="780" w:hanging="316"/>
        <w:spacing w:after="0" w:line="246"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102" w:lineRule="exact"/>
        <w:rPr>
          <w:rFonts w:ascii="Arial" w:cs="Arial" w:eastAsia="Arial" w:hAnsi="Arial"/>
          <w:sz w:val="18"/>
          <w:szCs w:val="18"/>
          <w:color w:val="auto"/>
        </w:rPr>
      </w:pPr>
    </w:p>
    <w:p>
      <w:pPr>
        <w:ind w:left="1060" w:right="120" w:hanging="316"/>
        <w:spacing w:after="0" w:line="246"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amortisation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80"/>
          </w:cols>
          <w:pgMar w:left="240" w:top="460" w:right="47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219"/>
          </w:cols>
          <w:pgMar w:left="240" w:top="459" w:right="1440"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comprehensive loss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2017</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(21,406,625)</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(10,864,310)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(5,040,586)</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(7,101,760)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(26,447,211)</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(17,966,070)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268,913</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(69,470)</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(1,587,150)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(1,040,139)</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49,305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(27,287,907)</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(19,352,448)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4,545,613</w:t>
            </w:r>
          </w:p>
        </w:tc>
        <w:tc>
          <w:tcPr>
            <w:tcW w:w="4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2,364,904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(22,742,294)</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(16,987,544)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period, net of tax and attributable to the equity holders of</w:t>
            </w: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(22,742,294)</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(16,987,544)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3" w:lineRule="exact"/>
              <w:rPr>
                <w:sz w:val="20"/>
                <w:szCs w:val="20"/>
                <w:color w:val="auto"/>
              </w:rPr>
            </w:pPr>
            <w:r>
              <w:rPr>
                <w:rFonts w:ascii="Arial" w:cs="Arial" w:eastAsia="Arial" w:hAnsi="Arial"/>
                <w:sz w:val="18"/>
                <w:szCs w:val="18"/>
                <w:color w:val="auto"/>
              </w:rPr>
              <w:t>the parent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b w:val="1"/>
                <w:bCs w:val="1"/>
                <w:color w:val="auto"/>
              </w:rPr>
              <w:t>(0.34)</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59" w:right="41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balance sheet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at December 31, 2017, and June 30,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560" w:type="dxa"/>
            <w:vAlign w:val="bottom"/>
            <w:gridSpan w:val="2"/>
          </w:tcPr>
          <w:p>
            <w:pPr>
              <w:ind w:left="2160"/>
              <w:spacing w:after="0"/>
              <w:rPr>
                <w:sz w:val="20"/>
                <w:szCs w:val="20"/>
                <w:color w:val="auto"/>
              </w:rPr>
            </w:pPr>
            <w:r>
              <w:rPr>
                <w:rFonts w:ascii="Arial" w:cs="Arial" w:eastAsia="Arial" w:hAnsi="Arial"/>
                <w:sz w:val="14"/>
                <w:szCs w:val="14"/>
                <w:b w:val="1"/>
                <w:bCs w:val="1"/>
                <w:color w:val="auto"/>
                <w:w w:val="97"/>
              </w:rPr>
              <w:t>Notes</w:t>
            </w:r>
          </w:p>
        </w:tc>
        <w:tc>
          <w:tcPr>
            <w:tcW w:w="16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151,996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6</w:t>
            </w: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4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32,690,229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33,158,590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32,842,225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1,970,781</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1,225,744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10,516,989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584,821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34,412,363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49,239,917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82,082,142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118,226,956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16,359,169</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(79,315,920)</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(96,179,599)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62,483,490</w:t>
            </w:r>
          </w:p>
        </w:tc>
        <w:tc>
          <w:tcPr>
            <w:tcW w:w="4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47,149,389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9</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4,075,386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3,993,058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7</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18,812,511</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15,260,753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560" w:type="dxa"/>
            <w:vAlign w:val="bottom"/>
            <w:gridSpan w:val="2"/>
            <w:shd w:val="clear" w:color="auto" w:fill="CCEEFF"/>
          </w:tcPr>
          <w:p>
            <w:pPr>
              <w:jc w:val="center"/>
              <w:ind w:left="2152"/>
              <w:spacing w:after="0" w:line="202" w:lineRule="exact"/>
              <w:rPr>
                <w:sz w:val="20"/>
                <w:szCs w:val="20"/>
                <w:color w:val="auto"/>
              </w:rPr>
            </w:pPr>
            <w:r>
              <w:rPr>
                <w:rFonts w:ascii="Arial" w:cs="Arial" w:eastAsia="Arial" w:hAnsi="Arial"/>
                <w:sz w:val="18"/>
                <w:szCs w:val="18"/>
                <w:color w:val="auto"/>
                <w:w w:val="99"/>
              </w:rPr>
              <w:t>10</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1,534,964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20,788,775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3,024,026</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4,983,626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4,379,774</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3,222,983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9</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274,000</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7</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1,939,806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5,644,369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14,143,978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33,851,987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34,932,753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96,335,477</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82,082,142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2017</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 2018</w:t>
            </w:r>
          </w:p>
        </w:tc>
      </w:t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(27,287,907)</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(19,352,448)</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impairment of property, plant and equipment, net of disposals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17,469</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20,196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1,999,009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1,386,862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1,040,139</w:t>
            </w:r>
          </w:p>
        </w:tc>
        <w:tc>
          <w:tcPr>
            <w:tcW w:w="34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(49,305)</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643,580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29,672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(268,913)</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(151, 467)</w:t>
            </w: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(359,897)</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69,470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89,707</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900,000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186,963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188,480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(754,370)</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720, 819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 increase in trade and other payables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8,720,857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1,137,082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(10,489,395)</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(15,031,336)</w:t>
            </w: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(11,863)</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(19,917)</w:t>
            </w: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(4,500,000)</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Interest received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268,913</w:t>
            </w: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125,838</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in)/provided by investing activities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(4,242,950)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107,005</w:t>
            </w:r>
          </w:p>
        </w:tc>
        <w:tc>
          <w:tcPr>
            <w:tcW w:w="140" w:type="dxa"/>
            <w:vAlign w:val="bottom"/>
            <w:shd w:val="clear" w:color="auto" w:fill="CCEEFF"/>
          </w:tcPr>
          <w:p>
            <w:pPr>
              <w:spacing w:after="0"/>
              <w:rPr>
                <w:sz w:val="17"/>
                <w:szCs w:val="17"/>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15,000,000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150,228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(729,632)</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(7,511)</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(900,000)</w:t>
            </w: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14,270,368</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(757,283)</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(461,977)</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(15,681,614)</w:t>
            </w: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(1,040,139)</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49,305</w:t>
            </w:r>
          </w:p>
        </w:tc>
        <w:tc>
          <w:tcPr>
            <w:tcW w:w="140" w:type="dxa"/>
            <w:vAlign w:val="bottom"/>
            <w:shd w:val="clear" w:color="auto" w:fill="CCEEFF"/>
          </w:tcPr>
          <w:p>
            <w:pPr>
              <w:spacing w:after="0"/>
              <w:rPr>
                <w:sz w:val="17"/>
                <w:szCs w:val="17"/>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52,075,455</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34,412,363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59" w:right="41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changes in equity</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 capital</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premium</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reserves</w:t>
            </w: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reserves £</w:t>
            </w:r>
          </w:p>
        </w:tc>
        <w:tc>
          <w:tcPr>
            <w:tcW w:w="12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193,022</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99,975,399</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12,667,562</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(40,579,241)</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79,256,742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period</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(22,742,294)</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(22,742,294)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share options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1,733,093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1,733,093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Share-based payments – LTIPS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137,370</w:t>
            </w:r>
          </w:p>
        </w:tc>
        <w:tc>
          <w:tcPr>
            <w:tcW w:w="220" w:type="dxa"/>
            <w:vAlign w:val="bottom"/>
          </w:tcPr>
          <w:p>
            <w:pPr>
              <w:spacing w:after="0"/>
              <w:rPr>
                <w:sz w:val="17"/>
                <w:szCs w:val="17"/>
                <w:color w:val="auto"/>
              </w:rPr>
            </w:pP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137,370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128,546</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128,546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Issue of share capital on April 4, 2017 (Note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8)</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15,125</w:t>
            </w:r>
          </w:p>
        </w:tc>
        <w:tc>
          <w:tcPr>
            <w:tcW w:w="1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14,984,875</w:t>
            </w:r>
          </w:p>
        </w:tc>
        <w:tc>
          <w:tcPr>
            <w:tcW w:w="220" w:type="dxa"/>
            <w:vAlign w:val="bottom"/>
          </w:tcPr>
          <w:p>
            <w:pPr>
              <w:spacing w:after="0"/>
              <w:rPr>
                <w:sz w:val="17"/>
                <w:szCs w:val="17"/>
                <w:color w:val="auto"/>
              </w:rPr>
            </w:pPr>
          </w:p>
        </w:tc>
        <w:tc>
          <w:tcPr>
            <w:tcW w:w="12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15,000,000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conversion of loan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(Note 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1,899</w:t>
            </w:r>
          </w:p>
        </w:tc>
        <w:tc>
          <w:tcPr>
            <w:tcW w:w="1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1,396,654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1,398,553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Issuance of share capital for Novartis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1,766</w:t>
            </w:r>
          </w:p>
        </w:tc>
        <w:tc>
          <w:tcPr>
            <w:tcW w:w="1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1,081,133</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element of convertible loan</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Conversion of convertible loan</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62,375</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62,375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capital (Note 8)</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(729,632)</w:t>
            </w: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At June 30,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211,812</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116,708,429</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13,374,992</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7,000,000</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(63,259,160)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74,036,073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At December 31, 2017</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213,285</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118,226,956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16,359,169</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b w:val="1"/>
                <w:bCs w:val="1"/>
                <w:color w:val="auto"/>
              </w:rPr>
              <w:t>(79,315,920)</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62,483,490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period</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(16,987,544)</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(16,987,544)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IFRS 9 restatement (Note 3.1)</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123,865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Share-based payments – share options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1,136,916</w:t>
            </w:r>
          </w:p>
        </w:tc>
        <w:tc>
          <w:tcPr>
            <w:tcW w:w="220" w:type="dxa"/>
            <w:vAlign w:val="bottom"/>
          </w:tcPr>
          <w:p>
            <w:pPr>
              <w:spacing w:after="0"/>
              <w:rPr>
                <w:sz w:val="17"/>
                <w:szCs w:val="17"/>
                <w:color w:val="auto"/>
              </w:rPr>
            </w:pP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1,136,916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159,669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90,277</w:t>
            </w:r>
          </w:p>
        </w:tc>
        <w:tc>
          <w:tcPr>
            <w:tcW w:w="220" w:type="dxa"/>
            <w:vAlign w:val="bottom"/>
          </w:tcPr>
          <w:p>
            <w:pPr>
              <w:spacing w:after="0"/>
              <w:rPr>
                <w:sz w:val="17"/>
                <w:szCs w:val="17"/>
                <w:color w:val="auto"/>
              </w:rPr>
            </w:pP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90,277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June 1, 2018</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150,077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150,227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capital (Note 8)</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(7,511)</w:t>
            </w:r>
          </w:p>
        </w:tc>
        <w:tc>
          <w:tcPr>
            <w:tcW w:w="12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(96,179,599)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47,149,389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The interim condensed consolidated financial statements of Mereo BioPharma Group plc and its subsidiaries (collectively, the “Group”) for the six months ended June 30, 2018 were authorised for issue in accordance with a resolution of the Directors on August 8, 2018. Mereo BioPharma Group plc (the “Company” or the “parent”) is a public limited company incorporated and domiciled in the United Kingdom and registered in England, and whose shares are publicly traded on the Alternative Investment Market of the London Stock Exchange. The registered office is located at Fourth Floor, 1 Cavendish Place, London W1G 0QF.</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Basis of preparation</w:t>
      </w:r>
    </w:p>
    <w:p>
      <w:pPr>
        <w:spacing w:after="0" w:line="126" w:lineRule="exact"/>
        <w:rPr>
          <w:sz w:val="20"/>
          <w:szCs w:val="20"/>
          <w:color w:val="auto"/>
        </w:rPr>
      </w:pPr>
    </w:p>
    <w:p>
      <w:pPr>
        <w:ind w:left="200" w:right="560" w:firstLine="441"/>
        <w:spacing w:after="0" w:line="246" w:lineRule="auto"/>
        <w:rPr>
          <w:sz w:val="20"/>
          <w:szCs w:val="20"/>
          <w:color w:val="auto"/>
        </w:rPr>
      </w:pPr>
      <w:r>
        <w:rPr>
          <w:rFonts w:ascii="Arial" w:cs="Arial" w:eastAsia="Arial" w:hAnsi="Arial"/>
          <w:sz w:val="18"/>
          <w:szCs w:val="18"/>
          <w:color w:val="auto"/>
        </w:rPr>
        <w:t xml:space="preserve">The interim condensed consolidated financial statements for the six month periods ended June 30, 2017 and 2018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w:t>
      </w:r>
    </w:p>
    <w:p>
      <w:pPr>
        <w:spacing w:after="0" w:line="197"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annual financial statements, and should be read in conjunction with the Group’s annual financial statements as at December 31, 2017.</w:t>
      </w:r>
    </w:p>
    <w:p>
      <w:pPr>
        <w:spacing w:after="0" w:line="197"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2017, except for the new accounting polices described in note 3 below. The financial statements are presented in pound sterling (“Sterling”).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policies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policies have been adopted since the start of the period: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3.1 IFRS 9 Financial Instruments</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the current period the Group has applied IFRS 9 Financial Instruments (as revised in July 2014) and the related consequential amendments to other IFRSs.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amortised cost. The only impact on the group is in relation to the non-substantial modification of the Convertible loan notes, as detailed below. The Group has applied IFRS 9 in full without restating comparatives with an initial date of application of 1 January 2018.</w:t>
      </w:r>
    </w:p>
    <w:p>
      <w:pPr>
        <w:spacing w:after="0" w:line="205"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7a, was adjusted to recognise the modification gain in the retained earnings as of the date of initial application of IFRS 9 (1 January 2018).</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240" w:top="459" w:right="45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bearing loans and borrowings – Convertible loan notes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7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At January 1,</w:t>
            </w:r>
          </w:p>
        </w:tc>
        <w:tc>
          <w:tcPr>
            <w:tcW w:w="8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2018 calculated under IAS 39</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At January 1,</w:t>
            </w:r>
          </w:p>
        </w:tc>
        <w:tc>
          <w:tcPr>
            <w:tcW w:w="8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2018 under IFRS 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1,853,528</w:t>
            </w:r>
          </w:p>
        </w:tc>
        <w:tc>
          <w:tcPr>
            <w:tcW w:w="160" w:type="dxa"/>
            <w:vAlign w:val="bottom"/>
            <w:shd w:val="clear" w:color="auto" w:fill="CCEEFF"/>
          </w:tcPr>
          <w:p>
            <w:pPr>
              <w:spacing w:after="0"/>
              <w:rPr>
                <w:sz w:val="17"/>
                <w:szCs w:val="17"/>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3.2 IFRS 15 Revenue from Contracts with Customers</w:t>
      </w:r>
    </w:p>
    <w:p>
      <w:pPr>
        <w:spacing w:after="0" w:line="126"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Operating loss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3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Employee benefits expense</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3,919,530</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5,292,088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Externally contracted research and development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9,380,704</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19,763,554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and professional fees including patent costs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836,301</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402,234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Current and prior year costs written off in respect of postponed listing on NASDAQ</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2,215,611</w:t>
            </w:r>
          </w:p>
        </w:tc>
        <w:tc>
          <w:tcPr>
            <w:tcW w:w="260" w:type="dxa"/>
            <w:vAlign w:val="bottom"/>
          </w:tcPr>
          <w:p>
            <w:pPr>
              <w:spacing w:after="0"/>
              <w:rPr>
                <w:sz w:val="17"/>
                <w:szCs w:val="17"/>
                <w:color w:val="auto"/>
              </w:rPr>
            </w:pPr>
          </w:p>
        </w:tc>
        <w:tc>
          <w:tcPr>
            <w:tcW w:w="11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expense</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146,664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146,664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20,196</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17,469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1,447,064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825,202</w:t>
            </w:r>
          </w:p>
        </w:tc>
        <w:tc>
          <w:tcPr>
            <w:tcW w:w="80" w:type="dxa"/>
            <w:vAlign w:val="bottom"/>
            <w:shd w:val="clear" w:color="auto" w:fill="CCEEFF"/>
          </w:tcPr>
          <w:p>
            <w:pPr>
              <w:spacing w:after="0"/>
              <w:rPr>
                <w:sz w:val="17"/>
                <w:szCs w:val="17"/>
                <w:color w:val="auto"/>
              </w:rPr>
            </w:pPr>
          </w:p>
        </w:tc>
      </w:tr>
      <w:tr>
        <w:trPr>
          <w:trHeight w:val="21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loss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17,966,070</w:t>
            </w: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26,447,211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Loss per share</w:t>
      </w:r>
    </w:p>
    <w:p>
      <w:pPr>
        <w:spacing w:after="0" w:line="126" w:lineRule="exact"/>
        <w:rPr>
          <w:sz w:val="20"/>
          <w:szCs w:val="20"/>
          <w:color w:val="auto"/>
        </w:rPr>
      </w:pPr>
    </w:p>
    <w:p>
      <w:pPr>
        <w:ind w:left="200" w:right="640" w:firstLine="441"/>
        <w:spacing w:after="0" w:line="246" w:lineRule="auto"/>
        <w:rPr>
          <w:sz w:val="20"/>
          <w:szCs w:val="20"/>
          <w:color w:val="auto"/>
        </w:rPr>
      </w:pPr>
      <w:r>
        <w:rPr>
          <w:rFonts w:ascii="Arial" w:cs="Arial" w:eastAsia="Arial" w:hAnsi="Arial"/>
          <w:sz w:val="18"/>
          <w:szCs w:val="18"/>
          <w:color w:val="auto"/>
        </w:rPr>
        <w:t>Basic loss per share is calculated by dividing the loss attributable for the period to ordinary equity holders of the parent by the weighted average number of ordinary shares outstanding during the period.</w:t>
      </w:r>
    </w:p>
    <w:p>
      <w:pPr>
        <w:spacing w:after="0" w:line="197"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As net losses from continuing operations were recorded in the period, the dilutive potential shares are anti-dilutive for the diluted loss per share calculation.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6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color w:val="auto"/>
              </w:rPr>
              <w:t>June 30, 2017</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3"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Weighted</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62"/>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Group</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Loss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shares</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2"/>
        </w:trPr>
        <w:tc>
          <w:tcPr>
            <w:tcW w:w="4740" w:type="dxa"/>
            <w:vAlign w:val="bottom"/>
            <w:gridSpan w:val="3"/>
            <w:vMerge w:val="continue"/>
          </w:tcPr>
          <w:p>
            <w:pPr>
              <w:spacing w:after="0"/>
              <w:rPr>
                <w:sz w:val="14"/>
                <w:szCs w:val="14"/>
                <w:color w:val="auto"/>
              </w:rPr>
            </w:pPr>
          </w:p>
        </w:tc>
        <w:tc>
          <w:tcPr>
            <w:tcW w:w="1060" w:type="dxa"/>
            <w:vAlign w:val="bottom"/>
          </w:tcPr>
          <w:p>
            <w:pPr>
              <w:jc w:val="right"/>
              <w:ind w:right="42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number</w:t>
            </w:r>
          </w:p>
        </w:tc>
        <w:tc>
          <w:tcPr>
            <w:tcW w:w="5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(16,987,544)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71,103,042</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(0.24)</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(22,742,294)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67,218,820</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(0.34)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F-48</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Intangible assets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December 31, 2017 and June 30, 2018</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33,005,229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 2017</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Revision to estimated value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 2017</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33,005,229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June 30, 2018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32,690,229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Group’s strategy is to acquire clinical-stage development programs for the treatment of specialty and rare diseases from large pharmaceutical companies.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AstraZeneca AB (AstraZeneca). MPH-966 is being developed for the treatment of severe alpha-1 antitrypsin deficiency, at a cost of £7,192,288:</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74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 in October 2017</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2,280,000</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2,280,000</w:t>
            </w:r>
          </w:p>
        </w:tc>
        <w:tc>
          <w:tcPr>
            <w:tcW w:w="6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Equity issued</w:t>
            </w: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1,520,000</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1,520,000</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equity consideration</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1,331,288</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1,331,288</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Present value of provision for deferred cash consideration</w:t>
            </w: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1,746,000</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2,061,000</w:t>
            </w:r>
          </w:p>
        </w:tc>
      </w:tr>
      <w:tr>
        <w:trPr>
          <w:trHeight w:val="27"/>
        </w:trPr>
        <w:tc>
          <w:tcPr>
            <w:tcW w:w="6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6,877,288</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7,192,288</w:t>
            </w:r>
          </w:p>
        </w:tc>
      </w:tr>
      <w:tr>
        <w:trPr>
          <w:trHeight w:val="20"/>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present value of the provision for deferred cash consideration was reviewed at June 30, 2018 (see note 9). The decrease in present value due to changes in timelines and probability of contractual milestones being achieved was £315,000 and is recognized as a reduction of the intangible asset in line with our accounting policies.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Interest bearing loans and borrowings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8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68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loan notes—see Note 7a</w:t>
            </w:r>
          </w:p>
        </w:tc>
        <w:tc>
          <w:tcPr>
            <w:tcW w:w="2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1,943,235</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Bank loan -see Note 7b</w:t>
            </w:r>
          </w:p>
        </w:tc>
        <w:tc>
          <w:tcPr>
            <w:tcW w:w="2580" w:type="dxa"/>
            <w:vAlign w:val="bottom"/>
          </w:tcPr>
          <w:p>
            <w:pPr>
              <w:spacing w:after="0"/>
              <w:rPr>
                <w:sz w:val="17"/>
                <w:szCs w:val="17"/>
                <w:color w:val="auto"/>
              </w:rPr>
            </w:pPr>
          </w:p>
        </w:tc>
        <w:tc>
          <w:tcPr>
            <w:tcW w:w="178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18,961,887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18,774,924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25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20,905,122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25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5,644,369</w:t>
            </w:r>
          </w:p>
        </w:tc>
        <w:tc>
          <w:tcPr>
            <w:tcW w:w="68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1,939,806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436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15,260,753</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60" w:type="dxa"/>
            <w:vAlign w:val="bottom"/>
            <w:gridSpan w:val="3"/>
          </w:tcPr>
          <w:p>
            <w:pPr>
              <w:jc w:val="right"/>
              <w:ind w:right="3240"/>
              <w:spacing w:after="0"/>
              <w:rPr>
                <w:sz w:val="20"/>
                <w:szCs w:val="20"/>
                <w:color w:val="auto"/>
              </w:rPr>
            </w:pPr>
            <w:r>
              <w:rPr>
                <w:rFonts w:ascii="Arial" w:cs="Arial" w:eastAsia="Arial" w:hAnsi="Arial"/>
                <w:sz w:val="18"/>
                <w:szCs w:val="18"/>
                <w:color w:val="auto"/>
              </w:rPr>
              <w:t>F-49</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-934085</wp:posOffset>
            </wp:positionV>
            <wp:extent cx="260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-668020</wp:posOffset>
            </wp:positionV>
            <wp:extent cx="260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-522605</wp:posOffset>
            </wp:positionV>
            <wp:extent cx="260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-505460</wp:posOffset>
            </wp:positionV>
            <wp:extent cx="260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060"/>
          </w:cols>
          <w:pgMar w:left="240" w:top="460" w:right="59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7a. Convertible loan note</w:t>
      </w:r>
    </w:p>
    <w:p>
      <w:pPr>
        <w:spacing w:after="0" w:line="126"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On April 26, 2017 Novartis converted £1,398,553 of loan Notes (“Novartis Notes”) into 632,829 ordinary shares at the fixed conversion price of £2.21 per share. This has been recorded as a £1,187,974 reduction in interest bearing loans and borrowings, a reduction in other capital reserves of £208,680 and a reduction in accumulated losses of £62,375. Under the terms of the Notes, Novartis also received 588,532 bonus shares. Novartis holds £2,065,011 principal value of Notes at June 30, 2018 representing 934,394 ordinary shares if converted, together with 864,988 potential bonus shares, together these represent 2.5% of the current share capital of the Company as at June 30, 2018.</w:t>
      </w:r>
    </w:p>
    <w:p>
      <w:pPr>
        <w:spacing w:after="0" w:line="205"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In August 2017, in connection with the new loan agreements (see Note 7b),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 value of the debt component of the Notes at the date of issue was calculated as £ 2,946,761. The cash flows attached to the Note up to the Maturity Date were calculated and discounted at an appropriate venture debt rate of 10%. The carrying amount at June 30, 2018 is £1,943,235 (June 30, 2017: £1,943,748). The carrying amount at December 31, 2017 was £1,977,393. The Group has applied IFRS 9 Financial Instruments in full without restating comparatives with an initial date of application of January 1, 2018 (see Note 3.1).</w:t>
      </w:r>
    </w:p>
    <w:p>
      <w:pPr>
        <w:spacing w:after="0" w:line="202"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The value of the equity component of the Notes at June 30, 2018 is £308,123 (June 30, 2017: £308,123). The value of the equity component of the Notes at December 31, 2017 was calculated as £308,123.</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7b. Bank loan</w:t>
      </w:r>
    </w:p>
    <w:p>
      <w:pPr>
        <w:spacing w:after="0" w:line="126"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On August 7, 2017, the Group entered into a loan agreement with Silicon Valley Bank and Kreos Capital V (UK) Limited, which provides for total borrowings of £20.0 million and the issue of warrants over shares in the Company (see Note 10). £10.0 million was drawn down on each of August 21, 2017 (Tranche 1) and December 29, 2017 (Tranche 2) for general working capital purposes. The Group is obligated to make interest-only payments on the loan amount until September 30, 2018, and thereafter the Group is obligated to pay interest and principal in 30 equal monthly instalments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59" w:right="45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203"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202"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The total carrying value of the loan at June 30, 2018 was £ 18,961,888. £5,644,369 is a current liability and £ 13,317,519 is a non-current liability. A total of £186,963 of non-cash interest has been charged to the statement of comprehensive loss in the period. The total carrying value of the loan at December 31, 2017 was £18,774,924.</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Issued capital and reserves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7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134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7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Ordinary share capital</w:t>
            </w:r>
          </w:p>
        </w:tc>
        <w:tc>
          <w:tcPr>
            <w:tcW w:w="19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Balance at beginning of year/period</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193,022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Issuances in the period</w:t>
            </w:r>
          </w:p>
        </w:tc>
        <w:tc>
          <w:tcPr>
            <w:tcW w:w="19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w:t>
            </w:r>
          </w:p>
        </w:tc>
        <w:tc>
          <w:tcPr>
            <w:tcW w:w="3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20,263</w:t>
            </w:r>
          </w:p>
        </w:tc>
        <w:tc>
          <w:tcPr>
            <w:tcW w:w="80" w:type="dxa"/>
            <w:vAlign w:val="bottom"/>
            <w:shd w:val="clear" w:color="auto" w:fill="CCEEFF"/>
          </w:tcPr>
          <w:p>
            <w:pPr>
              <w:spacing w:after="0"/>
              <w:rPr>
                <w:sz w:val="17"/>
                <w:szCs w:val="17"/>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Nominal share capital at end of year/period</w:t>
            </w:r>
          </w:p>
        </w:tc>
        <w:tc>
          <w:tcPr>
            <w:tcW w:w="1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213,435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213,285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Ordinary shares issued and fully paid</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At December 31, 2017</w:t>
            </w: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71,094,974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financing round</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50,076</w:t>
            </w:r>
          </w:p>
        </w:tc>
        <w:tc>
          <w:tcPr>
            <w:tcW w:w="80" w:type="dxa"/>
            <w:vAlign w:val="bottom"/>
            <w:shd w:val="clear" w:color="auto" w:fill="CCEEFF"/>
          </w:tcPr>
          <w:p>
            <w:pPr>
              <w:spacing w:after="0"/>
              <w:rPr>
                <w:sz w:val="17"/>
                <w:szCs w:val="17"/>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At June 30, 2018</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71,145,050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Nominal value at December 31, 2017 and June 30, 2018 (£)</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0.003</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b w:val="1"/>
                <w:bCs w:val="1"/>
                <w:color w:val="auto"/>
              </w:rPr>
              <w:t>Issued capital at June 30, 2018 (£)</w:t>
            </w: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2018, the following alterations to the Company’s share capital have been made:</w:t>
      </w:r>
    </w:p>
    <w:p>
      <w:pPr>
        <w:spacing w:after="0" w:line="117" w:lineRule="exact"/>
        <w:rPr>
          <w:sz w:val="20"/>
          <w:szCs w:val="20"/>
          <w:color w:val="auto"/>
        </w:rPr>
      </w:pPr>
    </w:p>
    <w:p>
      <w:pPr>
        <w:ind w:left="1060" w:right="60" w:hanging="316"/>
        <w:spacing w:after="0" w:line="246" w:lineRule="auto"/>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Under a placement dated May 29, 2018, issue and allotment of 50,076 ordinary shares of £0.003 in nominal value in the capital of the Company on June 1, 2018 at a price of £3.00 per share.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5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5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6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118,226,956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placing for cash</w:t>
            </w:r>
          </w:p>
        </w:tc>
        <w:tc>
          <w:tcPr>
            <w:tcW w:w="6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150,077</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5320" w:type="dxa"/>
            <w:vAlign w:val="bottom"/>
          </w:tcPr>
          <w:p>
            <w:pPr>
              <w:spacing w:after="0"/>
              <w:rPr>
                <w:sz w:val="18"/>
                <w:szCs w:val="18"/>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(7,511)</w:t>
            </w: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5320" w:type="dxa"/>
            <w:vAlign w:val="bottom"/>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660" w:type="dxa"/>
            <w:vAlign w:val="bottom"/>
            <w:gridSpan w:val="3"/>
          </w:tcPr>
          <w:p>
            <w:pPr>
              <w:jc w:val="right"/>
              <w:ind w:right="5340"/>
              <w:spacing w:after="0"/>
              <w:rPr>
                <w:sz w:val="20"/>
                <w:szCs w:val="20"/>
                <w:color w:val="auto"/>
              </w:rPr>
            </w:pPr>
            <w:r>
              <w:rPr>
                <w:rFonts w:ascii="Arial" w:cs="Arial" w:eastAsia="Arial" w:hAnsi="Arial"/>
                <w:sz w:val="18"/>
                <w:szCs w:val="18"/>
                <w:color w:val="auto"/>
              </w:rPr>
              <w:t>F-51</w:t>
            </w:r>
          </w:p>
        </w:tc>
      </w:tr>
    </w:tbl>
    <w:p>
      <w:pPr>
        <w:sectPr>
          <w:pgSz w:w="11900" w:h="16838" w:orient="portrait"/>
          <w:cols w:equalWidth="0" w:num="1">
            <w:col w:w="11240"/>
          </w:cols>
          <w:pgMar w:left="240" w:top="459" w:right="41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Shares to</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Share-based</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be issued £</w:t>
            </w:r>
          </w:p>
        </w:tc>
        <w:tc>
          <w:tcPr>
            <w:tcW w:w="28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rPr>
              <w:t>payments £</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loan £</w:t>
            </w:r>
          </w:p>
        </w:tc>
        <w:tc>
          <w:tcPr>
            <w:tcW w:w="280" w:type="dxa"/>
            <w:vAlign w:val="bottom"/>
          </w:tcPr>
          <w:p>
            <w:pPr>
              <w:spacing w:after="0"/>
              <w:rPr>
                <w:sz w:val="15"/>
                <w:szCs w:val="15"/>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2017</w:t>
            </w:r>
          </w:p>
        </w:tc>
        <w:tc>
          <w:tcPr>
            <w:tcW w:w="90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7"/>
              </w:rPr>
              <w:t>1,591,578</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14,459,469</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308,122</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16,359,169</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period</w:t>
            </w:r>
          </w:p>
        </w:tc>
        <w:tc>
          <w:tcPr>
            <w:tcW w:w="9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1,386,862</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1,386,862</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w w:val="97"/>
              </w:rPr>
              <w:t>1,591,578</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15,846,331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308,122</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left="200" w:right="680" w:firstLine="441"/>
        <w:spacing w:after="0" w:line="246" w:lineRule="auto"/>
        <w:rPr>
          <w:sz w:val="20"/>
          <w:szCs w:val="20"/>
          <w:color w:val="auto"/>
        </w:rPr>
      </w:pPr>
      <w:r>
        <w:rPr>
          <w:rFonts w:ascii="Arial" w:cs="Arial" w:eastAsia="Arial" w:hAnsi="Arial"/>
          <w:sz w:val="18"/>
          <w:szCs w:val="18"/>
          <w:color w:val="auto"/>
        </w:rPr>
        <w:t>The Group has a share option scheme under which options to subscribe for the Group’s shares have been granted to certain Executives, Non-Executive Directors and employees.</w:t>
      </w:r>
    </w:p>
    <w:p>
      <w:pPr>
        <w:spacing w:after="0" w:line="197"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Period to June 30, 2018</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charge for the six months to June 30, 2018 in respect of all share option schemes was 1,386,862 (June 30, 2017:</w:t>
      </w:r>
    </w:p>
    <w:p>
      <w:pPr>
        <w:ind w:left="200"/>
        <w:spacing w:after="0"/>
        <w:rPr>
          <w:sz w:val="20"/>
          <w:szCs w:val="20"/>
          <w:color w:val="auto"/>
        </w:rPr>
      </w:pPr>
      <w:r>
        <w:rPr>
          <w:rFonts w:ascii="Arial" w:cs="Arial" w:eastAsia="Arial" w:hAnsi="Arial"/>
          <w:sz w:val="18"/>
          <w:szCs w:val="18"/>
          <w:color w:val="auto"/>
        </w:rPr>
        <w:t>£1,999,099).</w:t>
      </w:r>
    </w:p>
    <w:p>
      <w:pPr>
        <w:spacing w:after="0" w:line="21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On April 26, 2018, the Company granted 100,817 options under the Deferred Bonus Share Plan to certain directors and certain other persons discharging managerial responsibility. The weighted average fair value of options granted was £3.23. The exercise price is £nil.</w:t>
      </w:r>
    </w:p>
    <w:p>
      <w:pPr>
        <w:spacing w:after="0" w:line="197"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On May 2, 2018 the Company granted 303,000 options to certain employees under the Mereo BioPharma Group plc share Option Plan. The weighted average fair value of options granted was £2.38. The exercise price is £3.25.</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to be issued</w:t>
      </w:r>
    </w:p>
    <w:p>
      <w:pPr>
        <w:spacing w:after="0" w:line="126"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At January 1, 2017, £2,674,477 representing a maximum of 1,453,520 shares at £ 1.84 were remaining to be issued to Novartis pro rata to their percentage shareholding as and when the Company issues further ordinary shares.</w:t>
      </w:r>
    </w:p>
    <w:p>
      <w:pPr>
        <w:spacing w:after="0" w:line="197"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component of convertible loan instrument</w:t>
      </w:r>
    </w:p>
    <w:p>
      <w:pPr>
        <w:spacing w:after="0" w:line="126" w:lineRule="exact"/>
        <w:rPr>
          <w:sz w:val="20"/>
          <w:szCs w:val="20"/>
          <w:color w:val="auto"/>
        </w:rPr>
      </w:pPr>
    </w:p>
    <w:p>
      <w:pPr>
        <w:ind w:left="200" w:right="300" w:firstLine="441"/>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June 30, 2018 is £308,122 (June 30, 2017: £308,122). The value of the equity component (cost of the conversion option) as at December 31, 2017 was £308,122.</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Provisions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2,318,058</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1,968,000</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4,286,058</w:t>
            </w:r>
          </w:p>
        </w:tc>
        <w:tc>
          <w:tcPr>
            <w:tcW w:w="3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80" w:type="dxa"/>
            <w:vAlign w:val="bottom"/>
            <w:shd w:val="clear" w:color="auto" w:fill="CCEEFF"/>
          </w:tcPr>
          <w:p>
            <w:pPr>
              <w:spacing w:after="0"/>
              <w:rPr>
                <w:sz w:val="17"/>
                <w:szCs w:val="17"/>
                <w:color w:val="auto"/>
              </w:rPr>
            </w:pPr>
          </w:p>
        </w:tc>
      </w:tr>
      <w:tr>
        <w:trPr>
          <w:trHeight w:val="20"/>
        </w:trPr>
        <w:tc>
          <w:tcPr>
            <w:tcW w:w="29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293,000</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3,993,058</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80" w:type="dxa"/>
            <w:vAlign w:val="bottom"/>
            <w:shd w:val="clear" w:color="auto" w:fill="CCEEFF"/>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82"/>
        </w:trPr>
        <w:tc>
          <w:tcPr>
            <w:tcW w:w="8700" w:type="dxa"/>
            <w:vAlign w:val="bottom"/>
            <w:gridSpan w:val="3"/>
          </w:tcPr>
          <w:p>
            <w:pPr>
              <w:spacing w:after="0"/>
              <w:rPr>
                <w:sz w:val="20"/>
                <w:szCs w:val="20"/>
                <w:color w:val="auto"/>
              </w:rPr>
            </w:pPr>
            <w:r>
              <w:rPr>
                <w:rFonts w:ascii="Arial" w:cs="Arial" w:eastAsia="Arial" w:hAnsi="Arial"/>
                <w:sz w:val="14"/>
                <w:szCs w:val="14"/>
                <w:color w:val="auto"/>
              </w:rPr>
              <w:t>Social security contributions on share 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58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2,288,386</w:t>
            </w:r>
          </w:p>
        </w:tc>
        <w:tc>
          <w:tcPr>
            <w:tcW w:w="3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1,172,420</w:t>
            </w:r>
          </w:p>
        </w:tc>
        <w:tc>
          <w:tcPr>
            <w:tcW w:w="80" w:type="dxa"/>
            <w:vAlign w:val="bottom"/>
            <w:tcBorders>
              <w:top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29,672</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1,115,966</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2,318,058</w:t>
            </w:r>
          </w:p>
        </w:tc>
        <w:tc>
          <w:tcPr>
            <w:tcW w:w="3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8700" w:type="dxa"/>
            <w:vAlign w:val="bottom"/>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00" w:type="dxa"/>
            <w:vAlign w:val="bottom"/>
          </w:tcPr>
          <w:p>
            <w:pPr>
              <w:jc w:val="right"/>
              <w:ind w:right="18"/>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2,318,058</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2,288,386</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00" w:type="dxa"/>
            <w:vAlign w:val="bottom"/>
            <w:gridSpan w:val="3"/>
          </w:tcPr>
          <w:p>
            <w:pPr>
              <w:spacing w:after="0"/>
              <w:rPr>
                <w:sz w:val="20"/>
                <w:szCs w:val="20"/>
                <w:color w:val="auto"/>
              </w:rPr>
            </w:pPr>
            <w:r>
              <w:rPr>
                <w:rFonts w:ascii="Arial" w:cs="Arial" w:eastAsia="Arial" w:hAnsi="Arial"/>
                <w:sz w:val="14"/>
                <w:szCs w:val="14"/>
                <w:color w:val="auto"/>
              </w:rPr>
              <w:t>Provision for deferred cash consideration</w:t>
            </w: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60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2,061,000</w:t>
            </w: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2,061,000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222,000</w:t>
            </w: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 probabilities of contractual</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(315,000)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milestones being achieved (see Note 6)</w:t>
            </w:r>
          </w:p>
        </w:tc>
        <w:tc>
          <w:tcPr>
            <w:tcW w:w="1260" w:type="dxa"/>
            <w:vAlign w:val="bottom"/>
            <w:gridSpan w:val="2"/>
            <w:vMerge w:val="continue"/>
          </w:tcPr>
          <w:p>
            <w:pPr>
              <w:spacing w:after="0"/>
              <w:rPr>
                <w:sz w:val="18"/>
                <w:szCs w:val="18"/>
                <w:color w:val="auto"/>
              </w:rPr>
            </w:pPr>
          </w:p>
        </w:tc>
        <w:tc>
          <w:tcPr>
            <w:tcW w:w="10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1,968,000</w:t>
            </w:r>
          </w:p>
        </w:tc>
        <w:tc>
          <w:tcPr>
            <w:tcW w:w="34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2,061,000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293,000</w:t>
            </w: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1,675,000</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1,787,000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Warrant liability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year/period</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1,346,484</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188,480</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1,534,964</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40" w:firstLine="441"/>
        <w:spacing w:after="0" w:line="239" w:lineRule="auto"/>
        <w:rPr>
          <w:sz w:val="20"/>
          <w:szCs w:val="20"/>
          <w:color w:val="auto"/>
        </w:rPr>
      </w:pPr>
      <w:r>
        <w:rPr>
          <w:rFonts w:ascii="Arial" w:cs="Arial" w:eastAsia="Arial" w:hAnsi="Arial"/>
          <w:sz w:val="18"/>
          <w:szCs w:val="18"/>
          <w:color w:val="auto"/>
        </w:rPr>
        <w:t>As part of the bank loan facility (see Note 7b),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The total of 696,490 warrants is equivalent to 0.98% of ordinary share capital at June 30, 2018.</w:t>
      </w:r>
    </w:p>
    <w:p>
      <w:pPr>
        <w:spacing w:after="0" w:line="202"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(unaudited)</w:t>
            </w: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67</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w:t>
            </w:r>
          </w:p>
        </w:tc>
        <w:tc>
          <w:tcPr>
            <w:tcW w:w="28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Black Scholes</w:t>
            </w:r>
          </w:p>
        </w:tc>
        <w:tc>
          <w:tcPr>
            <w:tcW w:w="1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The fair value of the warrants at grant was £1,292,011. At June 30, 2018 it was £1,534,964 and at December 31, 2017 it was £1,346,484.</w:t>
      </w:r>
    </w:p>
    <w:p>
      <w:pPr>
        <w:spacing w:after="0" w:line="197" w:lineRule="exact"/>
        <w:rPr>
          <w:sz w:val="20"/>
          <w:szCs w:val="20"/>
          <w:color w:val="auto"/>
        </w:rPr>
      </w:pPr>
    </w:p>
    <w:p>
      <w:pPr>
        <w:ind w:left="200" w:right="8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Novartis holds 13,767,841 shares in the Company at June 30, 2018 (June 30, 2017 and December 31, 2017: 13,767,841). Novartis holds £2,065,011 principal value of Notes at June 30, 2018 (June 30, 2017 and December 31, 2017: £2,065,011). On 3 June 2016, the Group issued 3,463,563 £1 unsecured convertible loan notes (“Notes”) to Novartis and received £3,463,563 from Novartis in consideration (note 7a).</w:t>
      </w:r>
    </w:p>
    <w:p>
      <w:pPr>
        <w:spacing w:after="0" w:line="202"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On the 26 April 2017 Novartis converted £1,398,552 of the Notes into 632,829 ordinary shares at the fixed conversion price of £2.21 per share. Under the terms of the Notes, Novartis also received 588,532 ordinary shares.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60" w:right="41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Events after the reporting period</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On July 23, 2018 the Company issued 10,000 ordinary shares of £0.003 each in the capital of the Company, pursuant to an exercise of employee share options.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early August 2018, the Group received the FY 2017 R&amp;D tax credit of £8.2m.</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60"/>
          </w:cols>
          <w:pgMar w:left="240" w:top="459" w:right="49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 REORGANIZATION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among:</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BIOPHARMA GROUP PLC,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public limited company incorporated under the laws of England and Wales;</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US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MERGERCO ONE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 and</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ONCOMED 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Dated as of December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229235</wp:posOffset>
            </wp:positionV>
            <wp:extent cx="14662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91"/>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6"/>
        </w:trPr>
        <w:tc>
          <w:tcPr>
            <w:tcW w:w="8440" w:type="dxa"/>
            <w:vAlign w:val="bottom"/>
            <w:gridSpan w:val="32"/>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Section 1.   </w:t>
            </w:r>
            <w:hyperlink w:anchor="page421">
              <w:r>
                <w:rPr>
                  <w:rFonts w:ascii="Arial" w:cs="Arial" w:eastAsia="Arial" w:hAnsi="Arial"/>
                  <w:sz w:val="18"/>
                  <w:szCs w:val="18"/>
                  <w:color w:val="0000EE"/>
                </w:rPr>
                <w:t>Description of Transaction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A-8</w:t>
            </w: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1.1</w:t>
            </w:r>
          </w:p>
        </w:tc>
        <w:tc>
          <w:tcPr>
            <w:tcW w:w="20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21">
              <w:r>
                <w:rPr>
                  <w:rFonts w:ascii="Arial" w:cs="Arial" w:eastAsia="Arial" w:hAnsi="Arial"/>
                  <w:sz w:val="18"/>
                  <w:szCs w:val="18"/>
                  <w:color w:val="0000EE"/>
                </w:rPr>
                <w:t>The Merger.</w:t>
              </w:r>
            </w:hyperlink>
          </w:p>
        </w:tc>
        <w:tc>
          <w:tcPr>
            <w:tcW w:w="5260" w:type="dxa"/>
            <w:vAlign w:val="bottom"/>
            <w:gridSpan w:val="17"/>
          </w:tcPr>
          <w:p>
            <w:pPr>
              <w:spacing w:after="0"/>
              <w:rPr>
                <w:sz w:val="15"/>
                <w:szCs w:val="15"/>
                <w:color w:val="auto"/>
              </w:rPr>
            </w:pPr>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1.2</w:t>
            </w:r>
          </w:p>
        </w:tc>
        <w:tc>
          <w:tcPr>
            <w:tcW w:w="7340" w:type="dxa"/>
            <w:vAlign w:val="bottom"/>
            <w:gridSpan w:val="31"/>
          </w:tcPr>
          <w:p>
            <w:pPr>
              <w:spacing w:after="0" w:line="182" w:lineRule="exact"/>
              <w:rPr>
                <w:rFonts w:ascii="Arial" w:cs="Arial" w:eastAsia="Arial" w:hAnsi="Arial"/>
                <w:sz w:val="18"/>
                <w:szCs w:val="18"/>
                <w:color w:val="0000EE"/>
              </w:rPr>
            </w:pPr>
            <w:hyperlink w:anchor="page421">
              <w:r>
                <w:rPr>
                  <w:rFonts w:ascii="Arial" w:cs="Arial" w:eastAsia="Arial" w:hAnsi="Arial"/>
                  <w:sz w:val="18"/>
                  <w:szCs w:val="18"/>
                  <w:color w:val="0000EE"/>
                </w:rPr>
                <w:t>Effects of the Merger</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1.3</w:t>
            </w:r>
          </w:p>
        </w:tc>
        <w:tc>
          <w:tcPr>
            <w:tcW w:w="7340" w:type="dxa"/>
            <w:vAlign w:val="bottom"/>
            <w:gridSpan w:val="31"/>
          </w:tcPr>
          <w:p>
            <w:pPr>
              <w:spacing w:after="0" w:line="182" w:lineRule="exact"/>
              <w:rPr>
                <w:rFonts w:ascii="Arial" w:cs="Arial" w:eastAsia="Arial" w:hAnsi="Arial"/>
                <w:sz w:val="18"/>
                <w:szCs w:val="18"/>
                <w:color w:val="0000EE"/>
              </w:rPr>
            </w:pPr>
            <w:hyperlink w:anchor="page421">
              <w:r>
                <w:rPr>
                  <w:rFonts w:ascii="Arial" w:cs="Arial" w:eastAsia="Arial" w:hAnsi="Arial"/>
                  <w:sz w:val="18"/>
                  <w:szCs w:val="18"/>
                  <w:color w:val="0000EE"/>
                </w:rPr>
                <w:t>Closing; Effective Time</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1.4</w:t>
            </w:r>
          </w:p>
        </w:tc>
        <w:tc>
          <w:tcPr>
            <w:tcW w:w="49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21">
              <w:r>
                <w:rPr>
                  <w:rFonts w:ascii="Arial" w:cs="Arial" w:eastAsia="Arial" w:hAnsi="Arial"/>
                  <w:sz w:val="18"/>
                  <w:szCs w:val="18"/>
                  <w:color w:val="0000EE"/>
                  <w:w w:val="99"/>
                </w:rPr>
                <w:t>Certificate of Incorporation and Bylaws; Directors and Officers</w:t>
              </w:r>
            </w:hyperlink>
          </w:p>
        </w:tc>
        <w:tc>
          <w:tcPr>
            <w:tcW w:w="2420" w:type="dxa"/>
            <w:vAlign w:val="bottom"/>
          </w:tcPr>
          <w:p>
            <w:pPr>
              <w:spacing w:after="0"/>
              <w:rPr>
                <w:sz w:val="15"/>
                <w:szCs w:val="15"/>
                <w:color w:val="auto"/>
              </w:rPr>
            </w:pPr>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1.5</w:t>
            </w:r>
          </w:p>
        </w:tc>
        <w:tc>
          <w:tcPr>
            <w:tcW w:w="7340" w:type="dxa"/>
            <w:vAlign w:val="bottom"/>
            <w:gridSpan w:val="31"/>
          </w:tcPr>
          <w:p>
            <w:pPr>
              <w:spacing w:after="0" w:line="182" w:lineRule="exact"/>
              <w:rPr>
                <w:rFonts w:ascii="Arial" w:cs="Arial" w:eastAsia="Arial" w:hAnsi="Arial"/>
                <w:sz w:val="18"/>
                <w:szCs w:val="18"/>
                <w:color w:val="0000EE"/>
              </w:rPr>
            </w:pPr>
            <w:hyperlink w:anchor="page422">
              <w:r>
                <w:rPr>
                  <w:rFonts w:ascii="Arial" w:cs="Arial" w:eastAsia="Arial" w:hAnsi="Arial"/>
                  <w:sz w:val="18"/>
                  <w:szCs w:val="18"/>
                  <w:color w:val="0000EE"/>
                </w:rPr>
                <w:t>Conversion of Shares</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3">
              <w:r>
                <w:rPr>
                  <w:rFonts w:ascii="Arial" w:cs="Arial" w:eastAsia="Arial" w:hAnsi="Arial"/>
                  <w:sz w:val="18"/>
                  <w:szCs w:val="18"/>
                  <w:color w:val="0000EE"/>
                </w:rPr>
                <w:t>Closing of the Company’s Transfer Books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3">
              <w:r>
                <w:rPr>
                  <w:rFonts w:ascii="Arial" w:cs="Arial" w:eastAsia="Arial" w:hAnsi="Arial"/>
                  <w:sz w:val="18"/>
                  <w:szCs w:val="18"/>
                  <w:color w:val="0000EE"/>
                </w:rPr>
                <w:t>Calculation of Net Cash</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4">
              <w:r>
                <w:rPr>
                  <w:rFonts w:ascii="Arial" w:cs="Arial" w:eastAsia="Arial" w:hAnsi="Arial"/>
                  <w:sz w:val="18"/>
                  <w:szCs w:val="18"/>
                  <w:color w:val="0000EE"/>
                </w:rPr>
                <w:t>Surrender of Certificates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6">
              <w:r>
                <w:rPr>
                  <w:rFonts w:ascii="Arial" w:cs="Arial" w:eastAsia="Arial" w:hAnsi="Arial"/>
                  <w:sz w:val="18"/>
                  <w:szCs w:val="18"/>
                  <w:color w:val="0000EE"/>
                </w:rPr>
                <w:t>Appraisal Rights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1.10</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6">
              <w:r>
                <w:rPr>
                  <w:rFonts w:ascii="Arial" w:cs="Arial" w:eastAsia="Arial" w:hAnsi="Arial"/>
                  <w:sz w:val="18"/>
                  <w:szCs w:val="18"/>
                  <w:color w:val="0000EE"/>
                </w:rPr>
                <w:t>Further Action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Representations and Warranties of the Company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Due Organization; Subsidiaries.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Organizational Documents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Authority; Binding Nature of Agreement</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Vote Required</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Non-Contravention; Consents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Capitalization.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9">
              <w:r>
                <w:rPr>
                  <w:rFonts w:ascii="Arial" w:cs="Arial" w:eastAsia="Arial" w:hAnsi="Arial"/>
                  <w:sz w:val="18"/>
                  <w:szCs w:val="18"/>
                  <w:color w:val="0000EE"/>
                </w:rPr>
                <w:t>SEC Filings; Financial Statements.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1">
              <w:r>
                <w:rPr>
                  <w:rFonts w:ascii="Arial" w:cs="Arial" w:eastAsia="Arial" w:hAnsi="Arial"/>
                  <w:sz w:val="18"/>
                  <w:szCs w:val="18"/>
                  <w:color w:val="0000EE"/>
                </w:rPr>
                <w:t>Absence of Changes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1">
              <w:r>
                <w:rPr>
                  <w:rFonts w:ascii="Arial" w:cs="Arial" w:eastAsia="Arial" w:hAnsi="Arial"/>
                  <w:sz w:val="18"/>
                  <w:szCs w:val="18"/>
                  <w:color w:val="0000EE"/>
                </w:rPr>
                <w:t>Absence of Undisclosed Liabilities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2.10</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2">
              <w:r>
                <w:rPr>
                  <w:rFonts w:ascii="Arial" w:cs="Arial" w:eastAsia="Arial" w:hAnsi="Arial"/>
                  <w:sz w:val="18"/>
                  <w:szCs w:val="18"/>
                  <w:color w:val="0000EE"/>
                </w:rPr>
                <w:t>Title to Assets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2">
              <w:r>
                <w:rPr>
                  <w:rFonts w:ascii="Arial" w:cs="Arial" w:eastAsia="Arial" w:hAnsi="Arial"/>
                  <w:sz w:val="18"/>
                  <w:szCs w:val="18"/>
                  <w:color w:val="0000EE"/>
                </w:rPr>
                <w:t>Real Property; Leasehold</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2">
              <w:r>
                <w:rPr>
                  <w:rFonts w:ascii="Arial" w:cs="Arial" w:eastAsia="Arial" w:hAnsi="Arial"/>
                  <w:sz w:val="18"/>
                  <w:szCs w:val="18"/>
                  <w:color w:val="0000EE"/>
                </w:rPr>
                <w:t>Intellectual Property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3">
              <w:r>
                <w:rPr>
                  <w:rFonts w:ascii="Arial" w:cs="Arial" w:eastAsia="Arial" w:hAnsi="Arial"/>
                  <w:sz w:val="18"/>
                  <w:szCs w:val="18"/>
                  <w:color w:val="0000EE"/>
                </w:rPr>
                <w:t>Agreements, Contracts and Commitments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5">
              <w:r>
                <w:rPr>
                  <w:rFonts w:ascii="Arial" w:cs="Arial" w:eastAsia="Arial" w:hAnsi="Arial"/>
                  <w:sz w:val="18"/>
                  <w:szCs w:val="18"/>
                  <w:color w:val="0000EE"/>
                </w:rPr>
                <w:t>Compliance; Permits; Restrictions.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2.15</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6">
              <w:r>
                <w:rPr>
                  <w:rFonts w:ascii="Arial" w:cs="Arial" w:eastAsia="Arial" w:hAnsi="Arial"/>
                  <w:sz w:val="18"/>
                  <w:szCs w:val="18"/>
                  <w:color w:val="0000EE"/>
                </w:rPr>
                <w:t>Legal Proceedings; Orders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7">
              <w:r>
                <w:rPr>
                  <w:rFonts w:ascii="Arial" w:cs="Arial" w:eastAsia="Arial" w:hAnsi="Arial"/>
                  <w:sz w:val="18"/>
                  <w:szCs w:val="18"/>
                  <w:color w:val="0000EE"/>
                </w:rPr>
                <w:t>Tax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7">
              <w:r>
                <w:rPr>
                  <w:rFonts w:ascii="Arial" w:cs="Arial" w:eastAsia="Arial" w:hAnsi="Arial"/>
                  <w:sz w:val="18"/>
                  <w:szCs w:val="18"/>
                  <w:color w:val="0000EE"/>
                </w:rPr>
                <w:t>Employee and Labor Matters; Benefit Plans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0">
              <w:r>
                <w:rPr>
                  <w:rFonts w:ascii="Arial" w:cs="Arial" w:eastAsia="Arial" w:hAnsi="Arial"/>
                  <w:sz w:val="18"/>
                  <w:szCs w:val="18"/>
                  <w:color w:val="0000EE"/>
                </w:rPr>
                <w:t>Environmental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1">
              <w:r>
                <w:rPr>
                  <w:rFonts w:ascii="Arial" w:cs="Arial" w:eastAsia="Arial" w:hAnsi="Arial"/>
                  <w:sz w:val="18"/>
                  <w:szCs w:val="18"/>
                  <w:color w:val="0000EE"/>
                </w:rPr>
                <w:t>Insurance</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2.20</w:t>
            </w:r>
          </w:p>
        </w:tc>
        <w:tc>
          <w:tcPr>
            <w:tcW w:w="7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1">
              <w:r>
                <w:rPr>
                  <w:rFonts w:ascii="Arial" w:cs="Arial" w:eastAsia="Arial" w:hAnsi="Arial"/>
                  <w:sz w:val="18"/>
                  <w:szCs w:val="18"/>
                  <w:color w:val="0000EE"/>
                </w:rPr>
                <w:t>No Financial Advisors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1">
              <w:r>
                <w:rPr>
                  <w:rFonts w:ascii="Arial" w:cs="Arial" w:eastAsia="Arial" w:hAnsi="Arial"/>
                  <w:sz w:val="18"/>
                  <w:szCs w:val="18"/>
                  <w:color w:val="0000EE"/>
                </w:rPr>
                <w:t>Related Party Transactions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1">
              <w:r>
                <w:rPr>
                  <w:rFonts w:ascii="Arial" w:cs="Arial" w:eastAsia="Arial" w:hAnsi="Arial"/>
                  <w:sz w:val="18"/>
                  <w:szCs w:val="18"/>
                  <w:color w:val="0000EE"/>
                </w:rPr>
                <w:t>No Other Representations or Warranties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Representations and Warranties of Milan and Merger Sub</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Due Organization; Subsidiaries.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Organizational Documents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Authority; Binding Nature of Agreement</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1140" w:type="dxa"/>
            <w:vAlign w:val="bottom"/>
            <w:tcBorders>
              <w:bottom w:val="single" w:sz="8" w:color="0000EE"/>
            </w:tcBorders>
            <w:gridSpan w:val="4"/>
          </w:tcPr>
          <w:p>
            <w:pPr>
              <w:spacing w:after="0" w:line="176" w:lineRule="exact"/>
              <w:rPr>
                <w:rFonts w:ascii="Arial" w:cs="Arial" w:eastAsia="Arial" w:hAnsi="Arial"/>
                <w:sz w:val="18"/>
                <w:szCs w:val="18"/>
                <w:color w:val="0000EE"/>
                <w:w w:val="97"/>
              </w:rPr>
            </w:pPr>
            <w:hyperlink w:anchor="page443">
              <w:r>
                <w:rPr>
                  <w:rFonts w:ascii="Arial" w:cs="Arial" w:eastAsia="Arial" w:hAnsi="Arial"/>
                  <w:sz w:val="18"/>
                  <w:szCs w:val="18"/>
                  <w:color w:val="0000EE"/>
                  <w:w w:val="97"/>
                </w:rPr>
                <w:t>Vote Required</w:t>
              </w:r>
            </w:hyperlink>
          </w:p>
        </w:tc>
        <w:tc>
          <w:tcPr>
            <w:tcW w:w="6200" w:type="dxa"/>
            <w:vAlign w:val="bottom"/>
            <w:gridSpan w:val="27"/>
          </w:tcPr>
          <w:p>
            <w:pPr>
              <w:spacing w:after="0"/>
              <w:rPr>
                <w:sz w:val="15"/>
                <w:szCs w:val="15"/>
                <w:color w:val="auto"/>
              </w:rPr>
            </w:pPr>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bl>
    <w:p>
      <w:pPr>
        <w:sectPr>
          <w:pgSz w:w="11900" w:h="16838" w:orient="portrait"/>
          <w:cols w:equalWidth="0" w:num="1">
            <w:col w:w="11180"/>
          </w:cols>
          <w:pgMar w:left="240" w:top="459" w:right="479" w:bottom="0" w:gutter="0" w:footer="0" w:header="0"/>
        </w:sectPr>
      </w:pPr>
    </w:p>
    <w:bookmarkStart w:id="413" w:name="page414"/>
    <w:bookmarkEnd w:id="4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3.5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3">
              <w:r>
                <w:rPr>
                  <w:rFonts w:ascii="Arial" w:cs="Arial" w:eastAsia="Arial" w:hAnsi="Arial"/>
                  <w:sz w:val="18"/>
                  <w:szCs w:val="18"/>
                  <w:color w:val="0000EE"/>
                </w:rPr>
                <w:t>Non-Contravention; Consents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3.6</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4">
              <w:r>
                <w:rPr>
                  <w:rFonts w:ascii="Arial" w:cs="Arial" w:eastAsia="Arial" w:hAnsi="Arial"/>
                  <w:sz w:val="18"/>
                  <w:szCs w:val="18"/>
                  <w:color w:val="0000EE"/>
                </w:rPr>
                <w:t>Capitalization</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3.7</w:t>
            </w:r>
          </w:p>
        </w:tc>
        <w:tc>
          <w:tcPr>
            <w:tcW w:w="10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5">
              <w:r>
                <w:rPr>
                  <w:rFonts w:ascii="Arial" w:cs="Arial" w:eastAsia="Arial" w:hAnsi="Arial"/>
                  <w:sz w:val="18"/>
                  <w:szCs w:val="18"/>
                  <w:color w:val="0000EE"/>
                </w:rPr>
                <w:t>Regulatory Filings; Financial Statements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3.8</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6">
              <w:r>
                <w:rPr>
                  <w:rFonts w:ascii="Arial" w:cs="Arial" w:eastAsia="Arial" w:hAnsi="Arial"/>
                  <w:sz w:val="18"/>
                  <w:szCs w:val="18"/>
                  <w:color w:val="0000EE"/>
                </w:rPr>
                <w:t>Absence of Changes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3.9</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6">
              <w:r>
                <w:rPr>
                  <w:rFonts w:ascii="Arial" w:cs="Arial" w:eastAsia="Arial" w:hAnsi="Arial"/>
                  <w:sz w:val="18"/>
                  <w:szCs w:val="18"/>
                  <w:color w:val="0000EE"/>
                </w:rPr>
                <w:t>Absence of Undisclosed Liabilities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3.10</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6">
              <w:r>
                <w:rPr>
                  <w:rFonts w:ascii="Arial" w:cs="Arial" w:eastAsia="Arial" w:hAnsi="Arial"/>
                  <w:sz w:val="18"/>
                  <w:szCs w:val="18"/>
                  <w:color w:val="0000EE"/>
                </w:rPr>
                <w:t>Title to Assets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6">
              <w:r>
                <w:rPr>
                  <w:rFonts w:ascii="Arial" w:cs="Arial" w:eastAsia="Arial" w:hAnsi="Arial"/>
                  <w:sz w:val="18"/>
                  <w:szCs w:val="18"/>
                  <w:color w:val="0000EE"/>
                </w:rPr>
                <w:t>Real Property; Leasehold</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7">
              <w:r>
                <w:rPr>
                  <w:rFonts w:ascii="Arial" w:cs="Arial" w:eastAsia="Arial" w:hAnsi="Arial"/>
                  <w:sz w:val="18"/>
                  <w:szCs w:val="18"/>
                  <w:color w:val="0000EE"/>
                </w:rPr>
                <w:t>Intellectual Property</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3.13</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8">
              <w:r>
                <w:rPr>
                  <w:rFonts w:ascii="Arial" w:cs="Arial" w:eastAsia="Arial" w:hAnsi="Arial"/>
                  <w:sz w:val="18"/>
                  <w:szCs w:val="18"/>
                  <w:color w:val="0000EE"/>
                </w:rPr>
                <w:t>Agreements, Contracts and Commitments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r>
      <w:tr>
        <w:trPr>
          <w:trHeight w:val="372"/>
        </w:trPr>
        <w:tc>
          <w:tcPr>
            <w:tcW w:w="7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60" w:type="dxa"/>
            <w:vAlign w:val="bottom"/>
          </w:tcPr>
          <w:p>
            <w:pPr>
              <w:jc w:val="right"/>
              <w:ind w:right="5230"/>
              <w:spacing w:after="0"/>
              <w:rPr>
                <w:sz w:val="20"/>
                <w:szCs w:val="20"/>
                <w:color w:val="auto"/>
              </w:rPr>
            </w:pPr>
            <w:r>
              <w:rPr>
                <w:rFonts w:ascii="Arial" w:cs="Arial" w:eastAsia="Arial" w:hAnsi="Arial"/>
                <w:sz w:val="18"/>
                <w:szCs w:val="18"/>
                <w:color w:val="auto"/>
              </w:rPr>
              <w:t>A-2</w:t>
            </w:r>
          </w:p>
        </w:tc>
      </w:tr>
    </w:tbl>
    <w:p>
      <w:pPr>
        <w:sectPr>
          <w:pgSz w:w="11900" w:h="16838" w:orient="portrait"/>
          <w:cols w:equalWidth="0" w:num="1">
            <w:col w:w="10620"/>
          </w:cols>
          <w:pgMar w:left="800" w:top="134" w:right="47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3"/>
        </w:trPr>
        <w:tc>
          <w:tcPr>
            <w:tcW w:w="1100" w:type="dxa"/>
            <w:vAlign w:val="bottom"/>
          </w:tcPr>
          <w:p>
            <w:pPr>
              <w:ind w:left="360"/>
              <w:spacing w:after="0" w:line="202" w:lineRule="exact"/>
              <w:rPr>
                <w:sz w:val="20"/>
                <w:szCs w:val="20"/>
                <w:color w:val="auto"/>
              </w:rPr>
            </w:pPr>
            <w:r>
              <w:rPr>
                <w:rFonts w:ascii="Arial" w:cs="Arial" w:eastAsia="Arial" w:hAnsi="Arial"/>
                <w:sz w:val="18"/>
                <w:szCs w:val="18"/>
                <w:color w:val="auto"/>
              </w:rPr>
              <w:t>3.14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49">
              <w:r>
                <w:rPr>
                  <w:rFonts w:ascii="Arial" w:cs="Arial" w:eastAsia="Arial" w:hAnsi="Arial"/>
                  <w:sz w:val="18"/>
                  <w:szCs w:val="18"/>
                  <w:color w:val="0000EE"/>
                </w:rPr>
                <w:t>Compliance; Permits; Restrictions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0">
              <w:r>
                <w:rPr>
                  <w:rFonts w:ascii="Arial" w:cs="Arial" w:eastAsia="Arial" w:hAnsi="Arial"/>
                  <w:sz w:val="18"/>
                  <w:szCs w:val="18"/>
                  <w:color w:val="0000EE"/>
                </w:rPr>
                <w:t>Legal Proceedings; Orders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0">
              <w:r>
                <w:rPr>
                  <w:rFonts w:ascii="Arial" w:cs="Arial" w:eastAsia="Arial" w:hAnsi="Arial"/>
                  <w:sz w:val="18"/>
                  <w:szCs w:val="18"/>
                  <w:color w:val="0000EE"/>
                </w:rPr>
                <w:t>Tax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1">
              <w:r>
                <w:rPr>
                  <w:rFonts w:ascii="Arial" w:cs="Arial" w:eastAsia="Arial" w:hAnsi="Arial"/>
                  <w:sz w:val="18"/>
                  <w:szCs w:val="18"/>
                  <w:color w:val="0000EE"/>
                </w:rPr>
                <w:t>Employee and Labor Matters; Benefit Plans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3.18</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3">
              <w:r>
                <w:rPr>
                  <w:rFonts w:ascii="Arial" w:cs="Arial" w:eastAsia="Arial" w:hAnsi="Arial"/>
                  <w:sz w:val="18"/>
                  <w:szCs w:val="18"/>
                  <w:color w:val="0000EE"/>
                </w:rPr>
                <w:t>Environmental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3.19</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3">
              <w:r>
                <w:rPr>
                  <w:rFonts w:ascii="Arial" w:cs="Arial" w:eastAsia="Arial" w:hAnsi="Arial"/>
                  <w:sz w:val="18"/>
                  <w:szCs w:val="18"/>
                  <w:color w:val="0000EE"/>
                </w:rPr>
                <w:t>Insurance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3.20</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3">
              <w:r>
                <w:rPr>
                  <w:rFonts w:ascii="Arial" w:cs="Arial" w:eastAsia="Arial" w:hAnsi="Arial"/>
                  <w:sz w:val="18"/>
                  <w:szCs w:val="18"/>
                  <w:color w:val="0000EE"/>
                </w:rPr>
                <w:t>No Financial Advisors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3">
              <w:r>
                <w:rPr>
                  <w:rFonts w:ascii="Arial" w:cs="Arial" w:eastAsia="Arial" w:hAnsi="Arial"/>
                  <w:sz w:val="18"/>
                  <w:szCs w:val="18"/>
                  <w:color w:val="0000EE"/>
                </w:rPr>
                <w:t>Related Party Transactions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Valid Allotment and Issuance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3220" w:type="dxa"/>
            <w:vAlign w:val="bottom"/>
            <w:tcBorders>
              <w:bottom w:val="single" w:sz="8" w:color="0000EE"/>
            </w:tcBorders>
            <w:gridSpan w:val="31"/>
          </w:tcPr>
          <w:p>
            <w:pPr>
              <w:spacing w:after="0" w:line="176" w:lineRule="exact"/>
              <w:rPr>
                <w:rFonts w:ascii="Arial" w:cs="Arial" w:eastAsia="Arial" w:hAnsi="Arial"/>
                <w:sz w:val="18"/>
                <w:szCs w:val="18"/>
                <w:color w:val="0000EE"/>
                <w:w w:val="99"/>
              </w:rPr>
            </w:pPr>
            <w:hyperlink w:anchor="page454">
              <w:r>
                <w:rPr>
                  <w:rFonts w:ascii="Arial" w:cs="Arial" w:eastAsia="Arial" w:hAnsi="Arial"/>
                  <w:sz w:val="18"/>
                  <w:szCs w:val="18"/>
                  <w:color w:val="0000EE"/>
                  <w:w w:val="99"/>
                </w:rPr>
                <w:t>No Other Representations or Warranties</w:t>
              </w:r>
            </w:hyperlink>
          </w:p>
        </w:tc>
        <w:tc>
          <w:tcPr>
            <w:tcW w:w="3520" w:type="dxa"/>
            <w:vAlign w:val="bottom"/>
            <w:gridSpan w:val="4"/>
          </w:tcPr>
          <w:p>
            <w:pPr>
              <w:spacing w:after="0"/>
              <w:rPr>
                <w:sz w:val="15"/>
                <w:szCs w:val="15"/>
                <w:color w:val="auto"/>
              </w:rPr>
            </w:pPr>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317"/>
        </w:trPr>
        <w:tc>
          <w:tcPr>
            <w:tcW w:w="7840" w:type="dxa"/>
            <w:vAlign w:val="bottom"/>
            <w:gridSpan w:val="36"/>
          </w:tcPr>
          <w:p>
            <w:pPr>
              <w:spacing w:after="0"/>
              <w:rPr>
                <w:sz w:val="20"/>
                <w:szCs w:val="20"/>
                <w:color w:val="auto"/>
              </w:rPr>
            </w:pPr>
            <w:r>
              <w:rPr>
                <w:rFonts w:ascii="Arial" w:cs="Arial" w:eastAsia="Arial" w:hAnsi="Arial"/>
                <w:sz w:val="18"/>
                <w:szCs w:val="18"/>
                <w:color w:val="auto"/>
              </w:rPr>
              <w:t>Section 4.</w:t>
            </w: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Certain Covenants of the Parties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Operation of Milan’s Business.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5">
              <w:r>
                <w:rPr>
                  <w:rFonts w:ascii="Arial" w:cs="Arial" w:eastAsia="Arial" w:hAnsi="Arial"/>
                  <w:sz w:val="18"/>
                  <w:szCs w:val="18"/>
                  <w:color w:val="0000EE"/>
                </w:rPr>
                <w:t>Operation of the Company’s Business.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6">
              <w:r>
                <w:rPr>
                  <w:rFonts w:ascii="Arial" w:cs="Arial" w:eastAsia="Arial" w:hAnsi="Arial"/>
                  <w:sz w:val="18"/>
                  <w:szCs w:val="18"/>
                  <w:color w:val="0000EE"/>
                </w:rPr>
                <w:t>Access and Investigation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7">
              <w:r>
                <w:rPr>
                  <w:rFonts w:ascii="Arial" w:cs="Arial" w:eastAsia="Arial" w:hAnsi="Arial"/>
                  <w:sz w:val="18"/>
                  <w:szCs w:val="18"/>
                  <w:color w:val="0000EE"/>
                </w:rPr>
                <w:t>No Solicitation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8">
              <w:r>
                <w:rPr>
                  <w:rFonts w:ascii="Arial" w:cs="Arial" w:eastAsia="Arial" w:hAnsi="Arial"/>
                  <w:sz w:val="18"/>
                  <w:szCs w:val="18"/>
                  <w:color w:val="0000EE"/>
                </w:rPr>
                <w:t>Notification of Certain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2360" w:type="dxa"/>
            <w:vAlign w:val="bottom"/>
            <w:tcBorders>
              <w:top w:val="single" w:sz="8" w:color="0000EE"/>
            </w:tcBorders>
            <w:gridSpan w:val="19"/>
          </w:tcPr>
          <w:p>
            <w:pPr>
              <w:spacing w:after="0"/>
              <w:rPr>
                <w:sz w:val="24"/>
                <w:szCs w:val="24"/>
                <w:color w:val="auto"/>
              </w:rPr>
            </w:pPr>
          </w:p>
        </w:tc>
        <w:tc>
          <w:tcPr>
            <w:tcW w:w="4380" w:type="dxa"/>
            <w:vAlign w:val="bottom"/>
            <w:gridSpan w:val="16"/>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8">
              <w:r>
                <w:rPr>
                  <w:rFonts w:ascii="Arial" w:cs="Arial" w:eastAsia="Arial" w:hAnsi="Arial"/>
                  <w:sz w:val="18"/>
                  <w:szCs w:val="18"/>
                  <w:color w:val="0000EE"/>
                </w:rPr>
                <w:t>Additional Agreements of the Parties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8">
              <w:r>
                <w:rPr>
                  <w:rFonts w:ascii="Arial" w:cs="Arial" w:eastAsia="Arial" w:hAnsi="Arial"/>
                  <w:sz w:val="18"/>
                  <w:szCs w:val="18"/>
                  <w:color w:val="0000EE"/>
                </w:rPr>
                <w:t>Registration Statement; Proxy Statement</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0">
              <w:r>
                <w:rPr>
                  <w:rFonts w:ascii="Arial" w:cs="Arial" w:eastAsia="Arial" w:hAnsi="Arial"/>
                  <w:sz w:val="18"/>
                  <w:szCs w:val="18"/>
                  <w:color w:val="0000EE"/>
                </w:rPr>
                <w:t>Company Stockholder Meeting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1">
              <w:r>
                <w:rPr>
                  <w:rFonts w:ascii="Arial" w:cs="Arial" w:eastAsia="Arial" w:hAnsi="Arial"/>
                  <w:sz w:val="18"/>
                  <w:szCs w:val="18"/>
                  <w:color w:val="0000EE"/>
                </w:rPr>
                <w:t>Milan Shareholder Meeting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3">
              <w:r>
                <w:rPr>
                  <w:rFonts w:ascii="Arial" w:cs="Arial" w:eastAsia="Arial" w:hAnsi="Arial"/>
                  <w:sz w:val="18"/>
                  <w:szCs w:val="18"/>
                  <w:color w:val="0000EE"/>
                </w:rPr>
                <w:t>Regulatory Approvals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3">
              <w:r>
                <w:rPr>
                  <w:rFonts w:ascii="Arial" w:cs="Arial" w:eastAsia="Arial" w:hAnsi="Arial"/>
                  <w:sz w:val="18"/>
                  <w:szCs w:val="18"/>
                  <w:color w:val="0000EE"/>
                </w:rPr>
                <w:t>Company Equity Awards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4">
              <w:r>
                <w:rPr>
                  <w:rFonts w:ascii="Arial" w:cs="Arial" w:eastAsia="Arial" w:hAnsi="Arial"/>
                  <w:sz w:val="18"/>
                  <w:szCs w:val="18"/>
                  <w:color w:val="0000EE"/>
                </w:rPr>
                <w:t>Employee Benefits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4">
              <w:r>
                <w:rPr>
                  <w:rFonts w:ascii="Arial" w:cs="Arial" w:eastAsia="Arial" w:hAnsi="Arial"/>
                  <w:sz w:val="18"/>
                  <w:szCs w:val="18"/>
                  <w:color w:val="0000EE"/>
                </w:rPr>
                <w:t>Employee Stock Purchase Plan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5.8</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4">
              <w:r>
                <w:rPr>
                  <w:rFonts w:ascii="Arial" w:cs="Arial" w:eastAsia="Arial" w:hAnsi="Arial"/>
                  <w:sz w:val="18"/>
                  <w:szCs w:val="18"/>
                  <w:color w:val="0000EE"/>
                </w:rPr>
                <w:t>Indemnification of Officers and Directors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5.9</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5">
              <w:r>
                <w:rPr>
                  <w:rFonts w:ascii="Arial" w:cs="Arial" w:eastAsia="Arial" w:hAnsi="Arial"/>
                  <w:sz w:val="18"/>
                  <w:szCs w:val="18"/>
                  <w:color w:val="0000EE"/>
                </w:rPr>
                <w:t>Additional Agreements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5.10</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6">
              <w:r>
                <w:rPr>
                  <w:rFonts w:ascii="Arial" w:cs="Arial" w:eastAsia="Arial" w:hAnsi="Arial"/>
                  <w:sz w:val="18"/>
                  <w:szCs w:val="18"/>
                  <w:color w:val="0000EE"/>
                </w:rPr>
                <w:t>Disclosure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6">
              <w:r>
                <w:rPr>
                  <w:rFonts w:ascii="Arial" w:cs="Arial" w:eastAsia="Arial" w:hAnsi="Arial"/>
                  <w:sz w:val="18"/>
                  <w:szCs w:val="18"/>
                  <w:color w:val="0000EE"/>
                </w:rPr>
                <w:t>Listing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5.12</w:t>
            </w:r>
          </w:p>
        </w:tc>
        <w:tc>
          <w:tcPr>
            <w:tcW w:w="5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6">
              <w:r>
                <w:rPr>
                  <w:rFonts w:ascii="Arial" w:cs="Arial" w:eastAsia="Arial" w:hAnsi="Arial"/>
                  <w:sz w:val="18"/>
                  <w:szCs w:val="18"/>
                  <w:color w:val="0000EE"/>
                </w:rPr>
                <w:t>Legends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6">
              <w:r>
                <w:rPr>
                  <w:rFonts w:ascii="Arial" w:cs="Arial" w:eastAsia="Arial" w:hAnsi="Arial"/>
                  <w:sz w:val="18"/>
                  <w:szCs w:val="18"/>
                  <w:color w:val="0000EE"/>
                </w:rPr>
                <w:t>Directors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Net Cash and Management Accounts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Section 16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CVR and Deposit Agreements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980" w:type="dxa"/>
            <w:vAlign w:val="bottom"/>
            <w:tcBorders>
              <w:bottom w:val="single" w:sz="8" w:color="0000EE"/>
            </w:tcBorders>
            <w:gridSpan w:val="7"/>
          </w:tcPr>
          <w:p>
            <w:pPr>
              <w:spacing w:after="0" w:line="176" w:lineRule="exact"/>
              <w:rPr>
                <w:rFonts w:ascii="Arial" w:cs="Arial" w:eastAsia="Arial" w:hAnsi="Arial"/>
                <w:sz w:val="18"/>
                <w:szCs w:val="18"/>
                <w:color w:val="0000EE"/>
                <w:w w:val="97"/>
              </w:rPr>
            </w:pPr>
            <w:hyperlink w:anchor="page467">
              <w:r>
                <w:rPr>
                  <w:rFonts w:ascii="Arial" w:cs="Arial" w:eastAsia="Arial" w:hAnsi="Arial"/>
                  <w:sz w:val="18"/>
                  <w:szCs w:val="18"/>
                  <w:color w:val="0000EE"/>
                  <w:w w:val="97"/>
                </w:rPr>
                <w:t>Cooperation</w:t>
              </w:r>
            </w:hyperlink>
          </w:p>
        </w:tc>
        <w:tc>
          <w:tcPr>
            <w:tcW w:w="5760" w:type="dxa"/>
            <w:vAlign w:val="bottom"/>
            <w:gridSpan w:val="28"/>
          </w:tcPr>
          <w:p>
            <w:pPr>
              <w:spacing w:after="0"/>
              <w:rPr>
                <w:sz w:val="15"/>
                <w:szCs w:val="15"/>
                <w:color w:val="auto"/>
              </w:rPr>
            </w:pPr>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317"/>
        </w:trPr>
        <w:tc>
          <w:tcPr>
            <w:tcW w:w="7840" w:type="dxa"/>
            <w:vAlign w:val="bottom"/>
            <w:gridSpan w:val="36"/>
          </w:tcPr>
          <w:p>
            <w:pPr>
              <w:spacing w:after="0"/>
              <w:rPr>
                <w:sz w:val="20"/>
                <w:szCs w:val="20"/>
                <w:color w:val="auto"/>
              </w:rPr>
            </w:pPr>
            <w:r>
              <w:rPr>
                <w:rFonts w:ascii="Arial" w:cs="Arial" w:eastAsia="Arial" w:hAnsi="Arial"/>
                <w:sz w:val="18"/>
                <w:szCs w:val="18"/>
                <w:color w:val="auto"/>
              </w:rPr>
              <w:t>Section 6.</w:t>
            </w: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Conditions Precedent to Obligations of Each Party</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Effectiveness of Registration Statement</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No Restraints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ectPr>
          <w:pgSz w:w="11900" w:h="16838" w:orient="portrait"/>
          <w:cols w:equalWidth="0" w:num="1">
            <w:col w:w="11180"/>
          </w:cols>
          <w:pgMar w:left="240" w:top="460" w:right="479" w:bottom="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Equityholder Approval</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520" w:type="dxa"/>
            <w:vAlign w:val="bottom"/>
            <w:tcBorders>
              <w:bottom w:val="single" w:sz="8" w:color="0000EE"/>
            </w:tcBorders>
          </w:tcPr>
          <w:p>
            <w:pPr>
              <w:spacing w:after="0" w:line="176" w:lineRule="exact"/>
              <w:rPr>
                <w:rFonts w:ascii="Arial" w:cs="Arial" w:eastAsia="Arial" w:hAnsi="Arial"/>
                <w:sz w:val="18"/>
                <w:szCs w:val="18"/>
                <w:color w:val="0000EE"/>
                <w:w w:val="96"/>
              </w:rPr>
            </w:pPr>
            <w:hyperlink w:anchor="page468">
              <w:r>
                <w:rPr>
                  <w:rFonts w:ascii="Arial" w:cs="Arial" w:eastAsia="Arial" w:hAnsi="Arial"/>
                  <w:sz w:val="18"/>
                  <w:szCs w:val="18"/>
                  <w:color w:val="0000EE"/>
                  <w:w w:val="96"/>
                </w:rPr>
                <w:t>Listing</w:t>
              </w:r>
            </w:hyperlink>
          </w:p>
        </w:tc>
        <w:tc>
          <w:tcPr>
            <w:tcW w:w="7180" w:type="dxa"/>
            <w:vAlign w:val="bottom"/>
            <w:gridSpan w:val="10"/>
          </w:tcPr>
          <w:p>
            <w:pPr>
              <w:spacing w:after="0"/>
              <w:rPr>
                <w:sz w:val="15"/>
                <w:szCs w:val="15"/>
                <w:color w:val="auto"/>
              </w:rPr>
            </w:pPr>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317"/>
        </w:trPr>
        <w:tc>
          <w:tcPr>
            <w:tcW w:w="8800" w:type="dxa"/>
            <w:vAlign w:val="bottom"/>
            <w:gridSpan w:val="12"/>
          </w:tcPr>
          <w:p>
            <w:pPr>
              <w:spacing w:after="0"/>
              <w:rPr>
                <w:sz w:val="20"/>
                <w:szCs w:val="20"/>
                <w:color w:val="auto"/>
              </w:rPr>
            </w:pPr>
            <w:r>
              <w:rPr>
                <w:rFonts w:ascii="Arial" w:cs="Arial" w:eastAsia="Arial" w:hAnsi="Arial"/>
                <w:sz w:val="18"/>
                <w:szCs w:val="18"/>
                <w:color w:val="auto"/>
              </w:rPr>
              <w:t>Section 7.</w:t>
            </w: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Additional Conditions Precedent to Obligations of Milan and Merger Sub</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7.1</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Accuracy of Representations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Performance of Covenants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Closing Certificate</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FIRPTA Certificate</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No Company Material Adverse Effect</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Net Cash</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740" w:type="dxa"/>
            <w:vAlign w:val="bottom"/>
            <w:tcBorders>
              <w:top w:val="single" w:sz="8" w:color="0000EE"/>
            </w:tcBorders>
            <w:gridSpan w:val="2"/>
          </w:tcPr>
          <w:p>
            <w:pPr>
              <w:spacing w:after="0"/>
              <w:rPr>
                <w:sz w:val="24"/>
                <w:szCs w:val="24"/>
                <w:color w:val="auto"/>
              </w:rPr>
            </w:pPr>
          </w:p>
        </w:tc>
        <w:tc>
          <w:tcPr>
            <w:tcW w:w="696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Additional Conditions Precedent to Obligations of the Company</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Accuracy of Representations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72"/>
        </w:trPr>
        <w:tc>
          <w:tcPr>
            <w:tcW w:w="1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gridSpan w:val="3"/>
          </w:tcPr>
          <w:p>
            <w:pPr>
              <w:ind w:left="1320"/>
              <w:spacing w:after="0"/>
              <w:rPr>
                <w:sz w:val="20"/>
                <w:szCs w:val="20"/>
                <w:color w:val="auto"/>
              </w:rPr>
            </w:pPr>
            <w:r>
              <w:rPr>
                <w:rFonts w:ascii="Arial" w:cs="Arial" w:eastAsia="Arial" w:hAnsi="Arial"/>
                <w:sz w:val="18"/>
                <w:szCs w:val="18"/>
                <w:color w:val="auto"/>
              </w:rPr>
              <w:t>A-3</w:t>
            </w:r>
          </w:p>
        </w:tc>
        <w:tc>
          <w:tcPr>
            <w:tcW w:w="2180" w:type="dxa"/>
            <w:vAlign w:val="bottom"/>
          </w:tcPr>
          <w:p>
            <w:pPr>
              <w:spacing w:after="0"/>
              <w:rPr>
                <w:sz w:val="24"/>
                <w:szCs w:val="24"/>
                <w:color w:val="auto"/>
              </w:rPr>
            </w:pPr>
          </w:p>
        </w:tc>
      </w:tr>
    </w:tbl>
    <w:p>
      <w:pPr>
        <w:sectPr>
          <w:pgSz w:w="11900" w:h="16838" w:orient="portrait"/>
          <w:cols w:equalWidth="0" w:num="1">
            <w:col w:w="10980"/>
          </w:cols>
          <w:pgMar w:left="440" w:top="134" w:right="47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3"/>
        </w:trPr>
        <w:tc>
          <w:tcPr>
            <w:tcW w:w="1320" w:type="dxa"/>
            <w:vAlign w:val="bottom"/>
          </w:tcPr>
          <w:p>
            <w:pPr>
              <w:ind w:left="360"/>
              <w:spacing w:after="0" w:line="202" w:lineRule="exact"/>
              <w:rPr>
                <w:sz w:val="20"/>
                <w:szCs w:val="20"/>
                <w:color w:val="auto"/>
              </w:rPr>
            </w:pPr>
            <w:r>
              <w:rPr>
                <w:rFonts w:ascii="Arial" w:cs="Arial" w:eastAsia="Arial" w:hAnsi="Arial"/>
                <w:sz w:val="18"/>
                <w:szCs w:val="18"/>
                <w:color w:val="auto"/>
              </w:rPr>
              <w:t>8.2</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740" w:type="dxa"/>
            <w:vAlign w:val="bottom"/>
          </w:tcPr>
          <w:p>
            <w:pPr>
              <w:jc w:val="right"/>
              <w:spacing w:after="0" w:line="202" w:lineRule="exact"/>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Performance of Covenants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8.3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Documents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8.4</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No Milan Material Adverse Effect</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Section 9.</w:t>
            </w:r>
          </w:p>
        </w:tc>
        <w:tc>
          <w:tcPr>
            <w:tcW w:w="2620" w:type="dxa"/>
            <w:vAlign w:val="bottom"/>
            <w:tcBorders>
              <w:top w:val="single" w:sz="8" w:color="0000EE"/>
            </w:tcBorders>
            <w:gridSpan w:val="15"/>
          </w:tcPr>
          <w:p>
            <w:pPr>
              <w:spacing w:after="0"/>
              <w:rPr>
                <w:sz w:val="24"/>
                <w:szCs w:val="24"/>
                <w:color w:val="auto"/>
              </w:rPr>
            </w:pPr>
          </w:p>
        </w:tc>
        <w:tc>
          <w:tcPr>
            <w:tcW w:w="4300" w:type="dxa"/>
            <w:vAlign w:val="bottom"/>
            <w:gridSpan w:val="4"/>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1">
              <w:r>
                <w:rPr>
                  <w:rFonts w:ascii="Arial" w:cs="Arial" w:eastAsia="Arial" w:hAnsi="Arial"/>
                  <w:sz w:val="18"/>
                  <w:szCs w:val="18"/>
                  <w:color w:val="0000EE"/>
                </w:rPr>
                <w:t>Effect of 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1">
              <w:r>
                <w:rPr>
                  <w:rFonts w:ascii="Arial" w:cs="Arial" w:eastAsia="Arial" w:hAnsi="Arial"/>
                  <w:sz w:val="18"/>
                  <w:szCs w:val="18"/>
                  <w:color w:val="0000EE"/>
                </w:rPr>
                <w:t>Expenses; Termination Fees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Section 10.</w:t>
            </w:r>
          </w:p>
        </w:tc>
        <w:tc>
          <w:tcPr>
            <w:tcW w:w="2260" w:type="dxa"/>
            <w:vAlign w:val="bottom"/>
            <w:tcBorders>
              <w:top w:val="single" w:sz="8" w:color="0000EE"/>
            </w:tcBorders>
            <w:gridSpan w:val="14"/>
          </w:tcPr>
          <w:p>
            <w:pPr>
              <w:spacing w:after="0"/>
              <w:rPr>
                <w:sz w:val="24"/>
                <w:szCs w:val="24"/>
                <w:color w:val="auto"/>
              </w:rPr>
            </w:pPr>
          </w:p>
        </w:tc>
        <w:tc>
          <w:tcPr>
            <w:tcW w:w="466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3">
              <w:r>
                <w:rPr>
                  <w:rFonts w:ascii="Arial" w:cs="Arial" w:eastAsia="Arial" w:hAnsi="Arial"/>
                  <w:sz w:val="18"/>
                  <w:szCs w:val="18"/>
                  <w:color w:val="0000EE"/>
                </w:rPr>
                <w:t>Miscellaneous Provisions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3">
              <w:r>
                <w:rPr>
                  <w:rFonts w:ascii="Arial" w:cs="Arial" w:eastAsia="Arial" w:hAnsi="Arial"/>
                  <w:sz w:val="18"/>
                  <w:szCs w:val="18"/>
                  <w:color w:val="0000EE"/>
                </w:rPr>
                <w:t>Non-Survival of Representations and Warranties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3">
              <w:r>
                <w:rPr>
                  <w:rFonts w:ascii="Arial" w:cs="Arial" w:eastAsia="Arial" w:hAnsi="Arial"/>
                  <w:sz w:val="18"/>
                  <w:szCs w:val="18"/>
                  <w:color w:val="0000EE"/>
                </w:rPr>
                <w:t>Amendment</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Waiver</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Entire Agreement; Counterparts; Exchanges by Facsimile</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10.5</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Applicable Law; Jurisdiction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10.6</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Attorneys’ Fees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10.7</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Assignability</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10.8</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Notices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10.9</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Cooperation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10.10</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Severability</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Other Remedies; Specific Performance</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No Third Party Beneficiaries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Construction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372"/>
        </w:trPr>
        <w:tc>
          <w:tcPr>
            <w:tcW w:w="13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A-4</w:t>
            </w:r>
          </w:p>
        </w:tc>
        <w:tc>
          <w:tcPr>
            <w:tcW w:w="27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17" w:name="page418"/>
    <w:bookmarkEnd w:id="4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19"/>
        </w:trPr>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3680" w:type="dxa"/>
            <w:vAlign w:val="bottom"/>
          </w:tcPr>
          <w:p>
            <w:pPr>
              <w:spacing w:after="0"/>
              <w:rPr>
                <w:sz w:val="24"/>
                <w:szCs w:val="24"/>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A</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Definitions</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B</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w w:val="99"/>
              </w:rPr>
              <w:t>Form of Contingent Value Rights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C</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Company D&amp;O Support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D</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Milan D&amp;O Support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E</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Certificate of Merger</w:t>
            </w:r>
          </w:p>
        </w:tc>
      </w:tr>
      <w:tr>
        <w:trPr>
          <w:trHeight w:val="217"/>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Exhibit F</w:t>
            </w:r>
          </w:p>
        </w:tc>
        <w:tc>
          <w:tcPr>
            <w:tcW w:w="3680" w:type="dxa"/>
            <w:vAlign w:val="bottom"/>
          </w:tcPr>
          <w:p>
            <w:pPr>
              <w:ind w:left="140"/>
              <w:spacing w:after="0"/>
              <w:rPr>
                <w:sz w:val="20"/>
                <w:szCs w:val="20"/>
                <w:color w:val="auto"/>
              </w:rPr>
            </w:pPr>
            <w:r>
              <w:rPr>
                <w:rFonts w:ascii="Arial" w:cs="Arial" w:eastAsia="Arial" w:hAnsi="Arial"/>
                <w:sz w:val="18"/>
                <w:szCs w:val="18"/>
                <w:color w:val="auto"/>
              </w:rPr>
              <w:t>Sample Net Cash Calculation</w:t>
            </w:r>
          </w:p>
        </w:tc>
      </w:tr>
    </w:tbl>
    <w:p>
      <w:pPr>
        <w:spacing w:after="0" w:line="13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445" w:right="1440"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December 5,</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2018, by and among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PLC</w:t>
      </w:r>
      <w:r>
        <w:rPr>
          <w:rFonts w:ascii="Arial" w:cs="Arial" w:eastAsia="Arial" w:hAnsi="Arial"/>
          <w:sz w:val="18"/>
          <w:szCs w:val="18"/>
          <w:b w:val="1"/>
          <w:bCs w:val="1"/>
          <w:color w:val="auto"/>
        </w:rPr>
        <w:t>,</w:t>
      </w:r>
      <w:r>
        <w:rPr>
          <w:rFonts w:ascii="Arial" w:cs="Arial" w:eastAsia="Arial" w:hAnsi="Arial"/>
          <w:sz w:val="18"/>
          <w:szCs w:val="18"/>
          <w:color w:val="auto"/>
        </w:rPr>
        <w:t xml:space="preserve"> a public limited company incorporated under the laws of England and Wales</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US H</w:t>
      </w:r>
      <w:r>
        <w:rPr>
          <w:rFonts w:ascii="Arial" w:cs="Arial" w:eastAsia="Arial" w:hAnsi="Arial"/>
          <w:sz w:val="15"/>
          <w:szCs w:val="15"/>
          <w:b w:val="1"/>
          <w:bCs w:val="1"/>
          <w:color w:val="auto"/>
        </w:rPr>
        <w:t>OLDINGS</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Milan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C</w:t>
      </w:r>
      <w:r>
        <w:rPr>
          <w:rFonts w:ascii="Arial" w:cs="Arial" w:eastAsia="Arial" w:hAnsi="Arial"/>
          <w:sz w:val="15"/>
          <w:szCs w:val="15"/>
          <w:b w:val="1"/>
          <w:bCs w:val="1"/>
          <w:color w:val="auto"/>
        </w:rPr>
        <w:t>O</w:t>
      </w:r>
      <w:r>
        <w:rPr>
          <w:rFonts w:ascii="Arial" w:cs="Arial" w:eastAsia="Arial" w:hAnsi="Arial"/>
          <w:sz w:val="18"/>
          <w:szCs w:val="18"/>
          <w:color w:val="auto"/>
        </w:rPr>
        <w:t xml:space="preserve"> </w:t>
      </w:r>
      <w:r>
        <w:rPr>
          <w:rFonts w:ascii="Arial" w:cs="Arial" w:eastAsia="Arial" w:hAnsi="Arial"/>
          <w:sz w:val="18"/>
          <w:szCs w:val="18"/>
          <w:b w:val="1"/>
          <w:bCs w:val="1"/>
          <w:color w:val="auto"/>
        </w:rPr>
        <w:t>O</w:t>
      </w:r>
      <w:r>
        <w:rPr>
          <w:rFonts w:ascii="Arial" w:cs="Arial" w:eastAsia="Arial" w:hAnsi="Arial"/>
          <w:sz w:val="15"/>
          <w:szCs w:val="15"/>
          <w:b w:val="1"/>
          <w:bCs w:val="1"/>
          <w:color w:val="auto"/>
        </w:rPr>
        <w:t>NE</w:t>
      </w:r>
    </w:p>
    <w:p>
      <w:pPr>
        <w:ind w:left="200"/>
        <w:spacing w:after="0" w:line="235"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HoldCo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NCO</w:t>
      </w:r>
      <w:r>
        <w:rPr>
          <w:rFonts w:ascii="Arial" w:cs="Arial" w:eastAsia="Arial" w:hAnsi="Arial"/>
          <w:sz w:val="18"/>
          <w:szCs w:val="18"/>
          <w:b w:val="1"/>
          <w:bCs w:val="1"/>
          <w:color w:val="auto"/>
        </w:rPr>
        <w:t>M</w:t>
      </w:r>
      <w:r>
        <w:rPr>
          <w:rFonts w:ascii="Arial" w:cs="Arial" w:eastAsia="Arial" w:hAnsi="Arial"/>
          <w:sz w:val="15"/>
          <w:szCs w:val="15"/>
          <w:b w:val="1"/>
          <w:bCs w:val="1"/>
          <w:color w:val="auto"/>
        </w:rPr>
        <w: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1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 Milan and the Company intend to effect a merger of Merger Sub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wholly-owned subsidiary of HoldCo, and indirect wholly-owned subsidiary of Milan.</w:t>
      </w:r>
    </w:p>
    <w:p>
      <w:pPr>
        <w:spacing w:after="0" w:line="19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B. The Milan Board has (i) determined that the Contemplated Transactions are fair to, advisable and in the best interests of Milan and its shareholders, (ii) approved and declared advisable this Agreement and the Contemplated Transactions, including (a) the allotment and issuance by Milan of Milan Ordinary Shares, to be held by or on behalf of the Depositary; (b) the issuance by the Depositary of American Depositary Shares, each representing five such Milan Ordinary Shares (each, a “</w:t>
      </w:r>
      <w:r>
        <w:rPr>
          <w:rFonts w:ascii="Arial" w:cs="Arial" w:eastAsia="Arial" w:hAnsi="Arial"/>
          <w:sz w:val="18"/>
          <w:szCs w:val="18"/>
          <w:b w:val="1"/>
          <w:bCs w:val="1"/>
          <w:i w:val="1"/>
          <w:iCs w:val="1"/>
          <w:color w:val="auto"/>
        </w:rPr>
        <w:t>Milan Depositary Share</w:t>
      </w:r>
      <w:r>
        <w:rPr>
          <w:rFonts w:ascii="Arial" w:cs="Arial" w:eastAsia="Arial" w:hAnsi="Arial"/>
          <w:sz w:val="18"/>
          <w:szCs w:val="18"/>
          <w:color w:val="auto"/>
        </w:rPr>
        <w:t>”); and (c) the grant of contingent value rights (each, a “</w:t>
      </w:r>
      <w:r>
        <w:rPr>
          <w:rFonts w:ascii="Arial" w:cs="Arial" w:eastAsia="Arial" w:hAnsi="Arial"/>
          <w:sz w:val="18"/>
          <w:szCs w:val="18"/>
          <w:b w:val="1"/>
          <w:bCs w:val="1"/>
          <w:i w:val="1"/>
          <w:iCs w:val="1"/>
          <w:color w:val="auto"/>
        </w:rPr>
        <w:t>Milan CVR</w:t>
      </w:r>
      <w:r>
        <w:rPr>
          <w:rFonts w:ascii="Arial" w:cs="Arial" w:eastAsia="Arial" w:hAnsi="Arial"/>
          <w:sz w:val="18"/>
          <w:szCs w:val="18"/>
          <w:color w:val="auto"/>
        </w:rPr>
        <w:t xml:space="preserve">”), each representing the right to receive contingent payments upon the achievement of certain milestones set forth in, and subject to and in accordance with the terms and conditions of, the Contingent Value Rights Agreement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CVR Agreement</w:t>
      </w:r>
      <w:r>
        <w:rPr>
          <w:rFonts w:ascii="Arial" w:cs="Arial" w:eastAsia="Arial" w:hAnsi="Arial"/>
          <w:sz w:val="18"/>
          <w:szCs w:val="18"/>
          <w:color w:val="auto"/>
        </w:rPr>
        <w:t>”), to the stockholders of the Company pursuant to the terms of this Agreement and (iii) should the approval of Milan’s shareholders be required by applicable Law, determined to recommend, upon the terms and subject to the conditions set forth in this Agreement, that the shareholders of Milan vote to approve this Agreement and the Contemplated Transactions, including: (x) the allotment and issuance by Milan of Milan Ordinary Shares; (y) the issuance by the Depositary of Milan Depositary Shares; and (z) the grant of Milan CVRs to the stockholders of the Company pursuant to the terms of this Agreement.</w:t>
      </w:r>
    </w:p>
    <w:p>
      <w:pPr>
        <w:spacing w:after="0" w:line="206" w:lineRule="exact"/>
        <w:rPr>
          <w:sz w:val="20"/>
          <w:szCs w:val="20"/>
          <w:color w:val="auto"/>
        </w:rPr>
      </w:pPr>
    </w:p>
    <w:p>
      <w:pPr>
        <w:ind w:left="200" w:right="580" w:firstLine="441"/>
        <w:spacing w:after="0" w:line="234" w:lineRule="auto"/>
        <w:rPr>
          <w:sz w:val="20"/>
          <w:szCs w:val="20"/>
          <w:color w:val="auto"/>
        </w:rPr>
      </w:pPr>
      <w:r>
        <w:rPr>
          <w:rFonts w:ascii="Arial" w:cs="Arial" w:eastAsia="Arial" w:hAnsi="Arial"/>
          <w:sz w:val="18"/>
          <w:szCs w:val="18"/>
          <w:color w:val="auto"/>
        </w:rPr>
        <w:t>C. The HoldCo Board has (i) determined that the Contemplated Transactions are fair to, advisable, and in the best interests of HoldCo and its sole stockholder, (ii) approved and declared advisable this Agreement and the Contemplated Transactions and</w:t>
      </w:r>
    </w:p>
    <w:p>
      <w:pPr>
        <w:spacing w:after="0" w:line="2" w:lineRule="exact"/>
        <w:rPr>
          <w:sz w:val="20"/>
          <w:szCs w:val="20"/>
          <w:color w:val="auto"/>
        </w:rPr>
      </w:pPr>
    </w:p>
    <w:p>
      <w:pPr>
        <w:ind w:left="200" w:right="160" w:firstLine="4"/>
        <w:spacing w:after="0" w:line="239" w:lineRule="auto"/>
        <w:tabs>
          <w:tab w:leader="none" w:pos="49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w:t>
      </w:r>
    </w:p>
    <w:p>
      <w:pPr>
        <w:spacing w:after="0" w:line="201" w:lineRule="exact"/>
        <w:rPr>
          <w:rFonts w:ascii="Arial" w:cs="Arial" w:eastAsia="Arial" w:hAnsi="Arial"/>
          <w:sz w:val="18"/>
          <w:szCs w:val="18"/>
          <w:color w:val="auto"/>
        </w:rPr>
      </w:pPr>
    </w:p>
    <w:p>
      <w:pPr>
        <w:ind w:left="200" w:right="240" w:firstLine="444"/>
        <w:spacing w:after="0" w:line="234" w:lineRule="auto"/>
        <w:tabs>
          <w:tab w:leader="none" w:pos="87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w:t>
      </w:r>
    </w:p>
    <w:p>
      <w:pPr>
        <w:spacing w:after="0" w:line="1" w:lineRule="exact"/>
        <w:rPr>
          <w:rFonts w:ascii="Arial" w:cs="Arial" w:eastAsia="Arial" w:hAnsi="Arial"/>
          <w:sz w:val="18"/>
          <w:szCs w:val="18"/>
          <w:color w:val="auto"/>
        </w:rPr>
      </w:pPr>
    </w:p>
    <w:p>
      <w:pPr>
        <w:ind w:left="200" w:right="360" w:firstLine="4"/>
        <w:spacing w:after="0" w:line="246" w:lineRule="auto"/>
        <w:tabs>
          <w:tab w:leader="none" w:pos="4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Merger Sub vote to adopt this Agreement and thereby approve the Contemplated Transactions.</w:t>
      </w:r>
    </w:p>
    <w:p>
      <w:pPr>
        <w:spacing w:after="0" w:line="196" w:lineRule="exact"/>
        <w:rPr>
          <w:rFonts w:ascii="Arial" w:cs="Arial" w:eastAsia="Arial" w:hAnsi="Arial"/>
          <w:sz w:val="18"/>
          <w:szCs w:val="18"/>
          <w:color w:val="auto"/>
        </w:rPr>
      </w:pPr>
    </w:p>
    <w:p>
      <w:pPr>
        <w:ind w:left="200" w:right="160" w:firstLine="444"/>
        <w:spacing w:after="0" w:line="234" w:lineRule="auto"/>
        <w:tabs>
          <w:tab w:leader="none" w:pos="86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stockholders, (ii) approved and declared advisable this Agreement and the Contemplated Transactions and</w:t>
      </w:r>
    </w:p>
    <w:p>
      <w:pPr>
        <w:spacing w:after="0" w:line="1" w:lineRule="exact"/>
        <w:rPr>
          <w:rFonts w:ascii="Arial" w:cs="Arial" w:eastAsia="Arial" w:hAnsi="Arial"/>
          <w:sz w:val="18"/>
          <w:szCs w:val="18"/>
          <w:color w:val="auto"/>
        </w:rPr>
      </w:pPr>
    </w:p>
    <w:p>
      <w:pPr>
        <w:ind w:left="200" w:right="580" w:firstLine="4"/>
        <w:spacing w:after="0" w:line="246" w:lineRule="auto"/>
        <w:tabs>
          <w:tab w:leader="none" w:pos="4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stockholders of the Company vote to adopt this Agreement and thereby approve the Contemplated Transactions.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60" w:right="43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441"/>
        <w:spacing w:after="0" w:line="248" w:lineRule="auto"/>
        <w:rPr>
          <w:sz w:val="20"/>
          <w:szCs w:val="20"/>
          <w:color w:val="auto"/>
        </w:rPr>
      </w:pPr>
      <w:r>
        <w:rPr>
          <w:rFonts w:ascii="Arial" w:cs="Arial" w:eastAsia="Arial" w:hAnsi="Arial"/>
          <w:sz w:val="17"/>
          <w:szCs w:val="17"/>
          <w:color w:val="auto"/>
        </w:rPr>
        <w:t xml:space="preserve">F. Concurrently with the execution and delivery of this Agreement and as a condition and inducement to Milan’s willingness to enter into this Agreement, the officers and directors of the Company listed on Section A of the Company Disclosure Schedule (solely in their capacity as stockholders of the Company) are executing support agreements in favor of Milan in substantially the form attached hereto as </w:t>
      </w:r>
      <w:r>
        <w:rPr>
          <w:rFonts w:ascii="Arial" w:cs="Arial" w:eastAsia="Arial" w:hAnsi="Arial"/>
          <w:sz w:val="17"/>
          <w:szCs w:val="17"/>
          <w:b w:val="1"/>
          <w:bCs w:val="1"/>
          <w:color w:val="auto"/>
        </w:rPr>
        <w:t xml:space="preserve">Exhibit C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 D&amp;O Support Agreements</w:t>
      </w:r>
      <w:r>
        <w:rPr>
          <w:rFonts w:ascii="Arial" w:cs="Arial" w:eastAsia="Arial" w:hAnsi="Arial"/>
          <w:sz w:val="17"/>
          <w:szCs w:val="17"/>
          <w:color w:val="auto"/>
        </w:rPr>
        <w:t>”), and the stockholders listed on Section A of the Company Disclosure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are also executing support agreements in favor of Milan (the “</w:t>
      </w:r>
      <w:r>
        <w:rPr>
          <w:rFonts w:ascii="Arial" w:cs="Arial" w:eastAsia="Arial" w:hAnsi="Arial"/>
          <w:sz w:val="17"/>
          <w:szCs w:val="17"/>
          <w:b w:val="1"/>
          <w:bCs w:val="1"/>
          <w:i w:val="1"/>
          <w:iCs w:val="1"/>
          <w:color w:val="auto"/>
        </w:rPr>
        <w:t>Stockholder Support Agreements</w:t>
      </w:r>
      <w:r>
        <w:rPr>
          <w:rFonts w:ascii="Arial" w:cs="Arial" w:eastAsia="Arial" w:hAnsi="Arial"/>
          <w:sz w:val="17"/>
          <w:szCs w:val="17"/>
          <w:color w:val="auto"/>
        </w:rPr>
        <w:t>” and, together with the Company D&amp;O Support Agreements, the “</w:t>
      </w:r>
      <w:r>
        <w:rPr>
          <w:rFonts w:ascii="Arial" w:cs="Arial" w:eastAsia="Arial" w:hAnsi="Arial"/>
          <w:sz w:val="17"/>
          <w:szCs w:val="17"/>
          <w:b w:val="1"/>
          <w:bCs w:val="1"/>
          <w:i w:val="1"/>
          <w:iCs w:val="1"/>
          <w:color w:val="auto"/>
        </w:rPr>
        <w:t>Company Stockholder Support Agreements</w:t>
      </w:r>
      <w:r>
        <w:rPr>
          <w:rFonts w:ascii="Arial" w:cs="Arial" w:eastAsia="Arial" w:hAnsi="Arial"/>
          <w:sz w:val="17"/>
          <w:szCs w:val="17"/>
          <w:color w:val="auto"/>
        </w:rPr>
        <w:t>”), pursuant to which such Persons have, subject to the terms and conditions set forth therein, agreed to vote all of their shares of Company Capital Stock (i) in favor of the adoption of this Agreement and thereby approve the Contemplated Transactions, (ii) in favor of any resolutions directly or indirectly put by the Company to its shareholders to give effect to the Contemplated Transactions, including, but not limited to, the Required Company Stockholder Vote, and</w:t>
      </w:r>
    </w:p>
    <w:p>
      <w:pPr>
        <w:spacing w:after="0" w:line="5" w:lineRule="exact"/>
        <w:rPr>
          <w:sz w:val="20"/>
          <w:szCs w:val="20"/>
          <w:color w:val="auto"/>
        </w:rPr>
      </w:pPr>
    </w:p>
    <w:p>
      <w:pPr>
        <w:ind w:left="500" w:hanging="296"/>
        <w:spacing w:after="0"/>
        <w:tabs>
          <w:tab w:leader="none" w:pos="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against any competing proposals.</w:t>
      </w:r>
    </w:p>
    <w:p>
      <w:pPr>
        <w:spacing w:after="0" w:line="211" w:lineRule="exact"/>
        <w:rPr>
          <w:rFonts w:ascii="Arial" w:cs="Arial" w:eastAsia="Arial" w:hAnsi="Arial"/>
          <w:sz w:val="18"/>
          <w:szCs w:val="18"/>
          <w:color w:val="auto"/>
        </w:rPr>
      </w:pPr>
    </w:p>
    <w:p>
      <w:pPr>
        <w:ind w:left="200" w:firstLine="444"/>
        <w:spacing w:after="0" w:line="236" w:lineRule="auto"/>
        <w:tabs>
          <w:tab w:leader="none" w:pos="88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directors of Milan listed on Section A of the Milan Disclosure Schedule (solely in their capacity as shareholders of Milan) are executing support agreements in favor of the Company in substantially the form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Milan D&amp;O Support Agreements</w:t>
      </w:r>
      <w:r>
        <w:rPr>
          <w:rFonts w:ascii="Arial" w:cs="Arial" w:eastAsia="Arial" w:hAnsi="Arial"/>
          <w:sz w:val="18"/>
          <w:szCs w:val="18"/>
          <w:color w:val="auto"/>
        </w:rPr>
        <w:t>”), and the shareholders listed on Section A of the Milan Disclosure Schedule are also executing support agreements in favor of Milan (the “</w:t>
      </w:r>
      <w:r>
        <w:rPr>
          <w:rFonts w:ascii="Arial" w:cs="Arial" w:eastAsia="Arial" w:hAnsi="Arial"/>
          <w:sz w:val="18"/>
          <w:szCs w:val="18"/>
          <w:b w:val="1"/>
          <w:bCs w:val="1"/>
          <w:i w:val="1"/>
          <w:iCs w:val="1"/>
          <w:color w:val="auto"/>
        </w:rPr>
        <w:t>Shareholder Support Agreements</w:t>
      </w:r>
      <w:r>
        <w:rPr>
          <w:rFonts w:ascii="Arial" w:cs="Arial" w:eastAsia="Arial" w:hAnsi="Arial"/>
          <w:sz w:val="18"/>
          <w:szCs w:val="18"/>
          <w:color w:val="auto"/>
        </w:rPr>
        <w:t>” and, together with the Milan D&amp;O Support Agreements, the “</w:t>
      </w:r>
      <w:r>
        <w:rPr>
          <w:rFonts w:ascii="Arial" w:cs="Arial" w:eastAsia="Arial" w:hAnsi="Arial"/>
          <w:sz w:val="18"/>
          <w:szCs w:val="18"/>
          <w:b w:val="1"/>
          <w:bCs w:val="1"/>
          <w:i w:val="1"/>
          <w:iCs w:val="1"/>
          <w:color w:val="auto"/>
        </w:rPr>
        <w:t>Milan Shareholder Support Agreements</w:t>
      </w:r>
      <w:r>
        <w:rPr>
          <w:rFonts w:ascii="Arial" w:cs="Arial" w:eastAsia="Arial" w:hAnsi="Arial"/>
          <w:sz w:val="18"/>
          <w:szCs w:val="18"/>
          <w:color w:val="auto"/>
        </w:rPr>
        <w:t>”), pursuant to which such Persons have, subject to the terms and conditions set forth therein, agreed to vote all of their Milan Ordinary Shares (i) in favor of the adoption of this Agreement and thereby approve the Contemplated Transactions, (ii) in favor of any resolutions directly or indirectly put by Milan to its shareholders to give effect to the Contemplated Transactions, including, but not limited to, the Required Milan Shareholder Vote, and (iii) against any competing proposals.</w:t>
      </w:r>
    </w:p>
    <w:p>
      <w:pPr>
        <w:spacing w:after="0" w:line="207" w:lineRule="exact"/>
        <w:rPr>
          <w:rFonts w:ascii="Arial" w:cs="Arial" w:eastAsia="Arial" w:hAnsi="Arial"/>
          <w:sz w:val="18"/>
          <w:szCs w:val="18"/>
          <w:color w:val="auto"/>
        </w:rPr>
      </w:pPr>
    </w:p>
    <w:p>
      <w:pPr>
        <w:ind w:left="200" w:right="80" w:firstLine="444"/>
        <w:spacing w:after="0"/>
        <w:tabs>
          <w:tab w:leader="none" w:pos="87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or in any Milan Shareholder Support Agreement or Company Stockholder Support Agreement shall operate, or be deemed to operate, to prevent any Person from accepting an offer to which the UK City Code applies or agreeing to accept any such offer.</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40"/>
          </w:cols>
          <w:pgMar w:left="240" w:top="460" w:right="51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34"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Parties, intending to be legally bound and in consideration of the mutual representations, warranties, covenants and agreements contained herein, agree as follows: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w:t>
      </w:r>
    </w:p>
    <w:p>
      <w:pPr>
        <w:spacing w:after="0" w:line="21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1.1 The Merger</w:t>
      </w:r>
      <w:r>
        <w:rPr>
          <w:rFonts w:ascii="Arial" w:cs="Arial" w:eastAsia="Arial" w:hAnsi="Arial"/>
          <w:sz w:val="18"/>
          <w:szCs w:val="18"/>
          <w:color w:val="auto"/>
        </w:rPr>
        <w:t>. Upon the terms and subject to the conditions set forth in this Agreement, at the Effective Time, Merger Sub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merged with and into the Company, and the separate existence of Merger Sub shall cease. The Company will continue as the surviving corporation in the 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69"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b w:val="1"/>
          <w:bCs w:val="1"/>
          <w:color w:val="auto"/>
        </w:rPr>
        <w:t>1.2 Effects of the Merger</w:t>
      </w:r>
      <w:r>
        <w:rPr>
          <w:rFonts w:ascii="Arial" w:cs="Arial" w:eastAsia="Arial" w:hAnsi="Arial"/>
          <w:sz w:val="18"/>
          <w:szCs w:val="18"/>
          <w:color w:val="auto"/>
        </w:rPr>
        <w:t>. The Merger shall have the effects set forth in this Agreement and in the applicable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DGCL. As a result of the Merger, the Company will become a wholly-owned subsidiary of HoldCo and indirect wholly-owned subsidiary of Milan.</w:t>
      </w:r>
    </w:p>
    <w:p>
      <w:pPr>
        <w:spacing w:after="0" w:line="169"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b w:val="1"/>
          <w:bCs w:val="1"/>
          <w:color w:val="auto"/>
        </w:rPr>
        <w:t>1.3 Closing; Effective Time</w:t>
      </w:r>
      <w:r>
        <w:rPr>
          <w:rFonts w:ascii="Arial" w:cs="Arial" w:eastAsia="Arial" w:hAnsi="Arial"/>
          <w:sz w:val="18"/>
          <w:szCs w:val="18"/>
          <w:color w:val="auto"/>
        </w:rPr>
        <w:t>. Unless this Agreement is earlier terminated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satisfaction or waiver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the consummation of the Merger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at the offices of Latham &amp; Watkins LLP, 140 Scott Drive, Menlo Park, California 94025, as promptly as practicable (but in no event later than the second Business Day following the satisfaction or waiver of the last to be satisfied or waived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other than those conditions that by their nature are to be satisfied at the Closing, but subject to the satisfaction or waiver of each of such conditions), or at such other time, date and place as Milan and the Company may mutually agree in writing. The date on which the Closing actually takes place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At the Closing, the Parties shall cause the Merger to be consummated by executing and filing with the Secretary of State of the State of Delaware a certificate of merger with respect to the Merger, satisfying the applicable requirements of the DGCL and in the form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Certificate of Merger</w:t>
      </w:r>
      <w:r>
        <w:rPr>
          <w:rFonts w:ascii="Arial" w:cs="Arial" w:eastAsia="Arial" w:hAnsi="Arial"/>
          <w:sz w:val="18"/>
          <w:szCs w:val="18"/>
          <w:color w:val="auto"/>
        </w:rPr>
        <w:t>”). The Merger shall become effective at the time of the filing of such Certificate of Merger with the Secretary of State of the State of Delaware or at such later time as may be specified in such Certificate of Merger with the consent of Milan and the Company (the time as of which the Merger becomes effective being referred to as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1.4 Certificate of Incorporation and Bylaws; Directors and Officers</w:t>
      </w:r>
      <w:r>
        <w:rPr>
          <w:rFonts w:ascii="Arial" w:cs="Arial" w:eastAsia="Arial" w:hAnsi="Arial"/>
          <w:sz w:val="18"/>
          <w:szCs w:val="18"/>
          <w:color w:val="auto"/>
        </w:rPr>
        <w:t>. At the Effective Time:</w:t>
      </w:r>
    </w:p>
    <w:p>
      <w:pPr>
        <w:spacing w:after="0" w:line="126" w:lineRule="exact"/>
        <w:rPr>
          <w:sz w:val="20"/>
          <w:szCs w:val="20"/>
          <w:color w:val="auto"/>
        </w:rPr>
      </w:pPr>
    </w:p>
    <w:p>
      <w:pPr>
        <w:ind w:left="200" w:right="20" w:firstLine="885"/>
        <w:spacing w:after="0" w:line="246" w:lineRule="auto"/>
        <w:tabs>
          <w:tab w:leader="none" w:pos="13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88" w:lineRule="exact"/>
        <w:rPr>
          <w:rFonts w:ascii="Arial" w:cs="Arial" w:eastAsia="Arial" w:hAnsi="Arial"/>
          <w:sz w:val="18"/>
          <w:szCs w:val="18"/>
          <w:color w:val="auto"/>
        </w:rPr>
      </w:pPr>
    </w:p>
    <w:p>
      <w:pPr>
        <w:ind w:left="200" w:right="200" w:firstLine="885"/>
        <w:spacing w:after="0" w:line="246" w:lineRule="auto"/>
        <w:tabs>
          <w:tab w:leader="none" w:pos="13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4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directors and officers of Milan, each to hold office in accordance with the articles of association of Milan, shall be as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and</w:t>
      </w:r>
    </w:p>
    <w:p>
      <w:pPr>
        <w:spacing w:after="0" w:line="88" w:lineRule="exact"/>
        <w:rPr>
          <w:rFonts w:ascii="Arial" w:cs="Arial" w:eastAsia="Arial" w:hAnsi="Arial"/>
          <w:sz w:val="18"/>
          <w:szCs w:val="18"/>
          <w:color w:val="auto"/>
        </w:rPr>
      </w:pPr>
    </w:p>
    <w:p>
      <w:pPr>
        <w:ind w:left="200" w:right="80" w:firstLine="885"/>
        <w:spacing w:after="0"/>
        <w:tabs>
          <w:tab w:leader="none" w:pos="13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Milan as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00"/>
          </w:cols>
          <w:pgMar w:left="240" w:top="459" w:right="45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1.5 Conversion of Shares</w:t>
      </w:r>
      <w:r>
        <w:rPr>
          <w:rFonts w:ascii="Arial" w:cs="Arial" w:eastAsia="Arial" w:hAnsi="Arial"/>
          <w:sz w:val="18"/>
          <w:szCs w:val="18"/>
          <w:color w:val="auto"/>
        </w:rPr>
        <w:t>.</w:t>
      </w:r>
    </w:p>
    <w:p>
      <w:pPr>
        <w:spacing w:after="0" w:line="126" w:lineRule="exact"/>
        <w:rPr>
          <w:sz w:val="20"/>
          <w:szCs w:val="20"/>
          <w:color w:val="auto"/>
        </w:rPr>
      </w:pPr>
    </w:p>
    <w:p>
      <w:pPr>
        <w:ind w:left="200" w:right="200" w:firstLine="885"/>
        <w:spacing w:after="0" w:line="246" w:lineRule="auto"/>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Milan, HoldCo, Merger Sub, the Company or any equityholder of the Company or Milan:</w:t>
      </w:r>
    </w:p>
    <w:p>
      <w:pPr>
        <w:spacing w:after="0" w:line="88" w:lineRule="exact"/>
        <w:rPr>
          <w:rFonts w:ascii="Arial" w:cs="Arial" w:eastAsia="Arial" w:hAnsi="Arial"/>
          <w:sz w:val="18"/>
          <w:szCs w:val="18"/>
          <w:color w:val="auto"/>
        </w:rPr>
      </w:pPr>
    </w:p>
    <w:p>
      <w:pPr>
        <w:ind w:left="200" w:firstLine="1436"/>
        <w:spacing w:after="0" w:line="246" w:lineRule="auto"/>
        <w:tabs>
          <w:tab w:leader="none" w:pos="184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88" w:lineRule="exact"/>
        <w:rPr>
          <w:rFonts w:ascii="Arial" w:cs="Arial" w:eastAsia="Arial" w:hAnsi="Arial"/>
          <w:sz w:val="18"/>
          <w:szCs w:val="18"/>
          <w:color w:val="auto"/>
        </w:rPr>
      </w:pPr>
    </w:p>
    <w:p>
      <w:pPr>
        <w:ind w:left="200" w:right="60" w:firstLine="1436"/>
        <w:spacing w:after="0" w:line="235" w:lineRule="auto"/>
        <w:tabs>
          <w:tab w:leader="none" w:pos="188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each share of Company Capital Stock outstanding immediately prior to the Effective Time (excluding shares to be canceled pursuant to </w:t>
      </w:r>
      <w:r>
        <w:rPr>
          <w:rFonts w:ascii="Arial" w:cs="Arial" w:eastAsia="Arial" w:hAnsi="Arial"/>
          <w:sz w:val="18"/>
          <w:szCs w:val="18"/>
          <w:u w:val="single" w:color="auto"/>
          <w:color w:val="auto"/>
        </w:rPr>
        <w:t>Section 1.5(a)(i)</w:t>
      </w:r>
      <w:r>
        <w:rPr>
          <w:rFonts w:ascii="Arial" w:cs="Arial" w:eastAsia="Arial" w:hAnsi="Arial"/>
          <w:sz w:val="18"/>
          <w:szCs w:val="18"/>
          <w:color w:val="auto"/>
        </w:rPr>
        <w:t xml:space="preserve"> and excluding Dissenting Shares) shall be converted (and shall cease to exist) solely into the right to receive (A) Milan Depositary Shares, representing a number of Milan Ordinary Shares equal to the Exchange Ratio (the “</w:t>
      </w:r>
      <w:r>
        <w:rPr>
          <w:rFonts w:ascii="Arial" w:cs="Arial" w:eastAsia="Arial" w:hAnsi="Arial"/>
          <w:sz w:val="18"/>
          <w:szCs w:val="18"/>
          <w:b w:val="1"/>
          <w:bCs w:val="1"/>
          <w:i w:val="1"/>
          <w:iCs w:val="1"/>
          <w:color w:val="auto"/>
        </w:rPr>
        <w:t>Share Consideration</w:t>
      </w:r>
      <w:r>
        <w:rPr>
          <w:rFonts w:ascii="Arial" w:cs="Arial" w:eastAsia="Arial" w:hAnsi="Arial"/>
          <w:sz w:val="18"/>
          <w:szCs w:val="18"/>
          <w:color w:val="auto"/>
        </w:rPr>
        <w:t>”), and (B) one Milan CVR (together with the Share Consideration, the “</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anything to the contrary in this Agreement or the CVR Agreement, the number of Milan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 allotted and issued by Milan to the Depositary (and the corresponding number of Milan Depositary Shares to be issued by the Depositary) as Merger Consideration or pursuant to the CVR Agreement shall not, in the aggregate, exceed sixty-six point sixty-seven percent (66.67%) of the Milan Outstanding Shares (the “</w:t>
      </w:r>
      <w:r>
        <w:rPr>
          <w:rFonts w:ascii="Arial" w:cs="Arial" w:eastAsia="Arial" w:hAnsi="Arial"/>
          <w:sz w:val="18"/>
          <w:szCs w:val="18"/>
          <w:b w:val="1"/>
          <w:bCs w:val="1"/>
          <w:i w:val="1"/>
          <w:iCs w:val="1"/>
          <w:color w:val="auto"/>
        </w:rPr>
        <w:t>Share Consideration Cap</w:t>
      </w:r>
      <w:r>
        <w:rPr>
          <w:rFonts w:ascii="Arial" w:cs="Arial" w:eastAsia="Arial" w:hAnsi="Arial"/>
          <w:sz w:val="18"/>
          <w:szCs w:val="18"/>
          <w:color w:val="auto"/>
        </w:rPr>
        <w:t>”), and (i) if the aggregate number of Milan Ordinary Shares underlying the Milan Depositary Shares to be issued at Closing would otherwise exceed the Share Consideration Cap, the Exchange Ratio shall be appropriately adjusted so that the Share Consideration Cap is not exceeded and (ii) if, at any time following the Closing, the aggregate number of Milan Depositary Shares to be issued pursuant to the CVR Agreement would require the allotment and issuance of an aggregate number of Milan Ordinary Shares (underlying such Milan Depositary Shares) that, together with the aggregate number of Milan Ordinary Shares underlying the Milan Depositary Shares issued at Closing pursuant to this Agreement (collectively, the “</w:t>
      </w:r>
      <w:r>
        <w:rPr>
          <w:rFonts w:ascii="Arial" w:cs="Arial" w:eastAsia="Arial" w:hAnsi="Arial"/>
          <w:sz w:val="18"/>
          <w:szCs w:val="18"/>
          <w:b w:val="1"/>
          <w:bCs w:val="1"/>
          <w:i w:val="1"/>
          <w:iCs w:val="1"/>
          <w:color w:val="auto"/>
        </w:rPr>
        <w:t>Total Share Consideration</w:t>
      </w:r>
      <w:r>
        <w:rPr>
          <w:rFonts w:ascii="Arial" w:cs="Arial" w:eastAsia="Arial" w:hAnsi="Arial"/>
          <w:sz w:val="18"/>
          <w:szCs w:val="18"/>
          <w:color w:val="auto"/>
        </w:rPr>
        <w:t>”), would otherwise exceed the Share Consideration Cap, then the number of Milan Depositary Shares to be issued pursuant to the CVR Agreement shall be appropriately reduced so that the Total Share Consideration does not exceed the Share Consideration Cap. For the avoidance of doubt, the Share Consideration Cap shall have no effect on any contingent cash payment which is or becomes payable pursuant to the CVR Agreement.</w:t>
      </w:r>
    </w:p>
    <w:p>
      <w:pPr>
        <w:spacing w:after="0" w:line="106" w:lineRule="exact"/>
        <w:rPr>
          <w:rFonts w:ascii="Arial" w:cs="Arial" w:eastAsia="Arial" w:hAnsi="Arial"/>
          <w:sz w:val="18"/>
          <w:szCs w:val="18"/>
          <w:color w:val="auto"/>
        </w:rPr>
      </w:pPr>
    </w:p>
    <w:p>
      <w:pPr>
        <w:ind w:left="200" w:right="40" w:firstLine="885"/>
        <w:spacing w:after="0" w:line="238" w:lineRule="auto"/>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No fractional Milan Depositary Shares or Milan CVRs shall be issued in connection with the Merger, and no certificates or scrip for any such fractional Milan Depositary Shares or Milan CVRs shall be issued. Any fractional Milan Depositary Shares or Milan CVRs resulting from the application of the Exchange Ratio as described in </w:t>
      </w:r>
      <w:r>
        <w:rPr>
          <w:rFonts w:ascii="Arial" w:cs="Arial" w:eastAsia="Arial" w:hAnsi="Arial"/>
          <w:sz w:val="18"/>
          <w:szCs w:val="18"/>
          <w:u w:val="single" w:color="auto"/>
          <w:color w:val="auto"/>
        </w:rPr>
        <w:t>Section 1.5(a)(ii)</w:t>
      </w:r>
      <w:r>
        <w:rPr>
          <w:rFonts w:ascii="Arial" w:cs="Arial" w:eastAsia="Arial" w:hAnsi="Arial"/>
          <w:sz w:val="18"/>
          <w:szCs w:val="18"/>
          <w:color w:val="auto"/>
        </w:rPr>
        <w:t xml:space="preserve"> or the settlement of Company Options as described in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shall be rounded down to the nearest whole Milan Depositary Share or Milan CVR, as applicable, with no cash being paid for any fractional Milan Depositary Shares or Milan CVRs eliminated by such rounding.</w:t>
      </w:r>
    </w:p>
    <w:p>
      <w:pPr>
        <w:spacing w:after="0" w:line="94" w:lineRule="exact"/>
        <w:rPr>
          <w:rFonts w:ascii="Arial" w:cs="Arial" w:eastAsia="Arial" w:hAnsi="Arial"/>
          <w:sz w:val="18"/>
          <w:szCs w:val="18"/>
          <w:color w:val="auto"/>
        </w:rPr>
      </w:pPr>
    </w:p>
    <w:p>
      <w:pPr>
        <w:ind w:left="200" w:right="360" w:firstLine="885"/>
        <w:spacing w:after="0" w:line="246" w:lineRule="auto"/>
        <w:tabs>
          <w:tab w:leader="none" w:pos="134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All Company Options and Company RSUs outstanding immediately prior to the Effective Time under the Company Plan shall be treated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20" w:firstLine="885"/>
        <w:spacing w:after="0" w:line="239" w:lineRule="auto"/>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w:t>
      </w:r>
    </w:p>
    <w:p>
      <w:pPr>
        <w:spacing w:after="0" w:line="93" w:lineRule="exact"/>
        <w:rPr>
          <w:rFonts w:ascii="Arial" w:cs="Arial" w:eastAsia="Arial" w:hAnsi="Arial"/>
          <w:sz w:val="18"/>
          <w:szCs w:val="18"/>
          <w:color w:val="auto"/>
        </w:rPr>
      </w:pPr>
    </w:p>
    <w:p>
      <w:pPr>
        <w:ind w:left="200" w:right="100" w:firstLine="885"/>
        <w:spacing w:after="0"/>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between the date of this Agreement and the Effective Time, the outstanding shares of Company Capital Stock or Milan Ordinary Shares underlying the Milan Depositary Shares shall have been changed into, or exchanged for, a different number of shares or a different class, by reason of any stock dividend, subdivision, reclassification, recapitalization, split, combination or exchange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00"/>
          </w:cols>
          <w:pgMar w:left="24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 xml:space="preserve">shares or other like change, the Exchange Ratio shall, to the extent necessary, be equitably adjusted to reflect such change to the extent necessary to provide the holders of Company Capital Stock, Company Options, Company RSUs and Milan Depositary Shares with the same economic effect as contemplated by this Agreement prior to such stock dividend, subdivision, reclassification, recapitalization, split, combination or exchange of shares or other like 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herein will be construed to permit the Company or Milan to take any action with respect to Company Capital Stock, Milan Ordinary Shares or Milan Depositary Shares, respectively, that is prohibited or not expressly permitted by the terms of this Agreement.</w:t>
      </w:r>
    </w:p>
    <w:p>
      <w:pPr>
        <w:spacing w:after="0" w:line="18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1.6 Closing of the Company’s Transfer Books</w:t>
      </w:r>
      <w:r>
        <w:rPr>
          <w:rFonts w:ascii="Arial" w:cs="Arial" w:eastAsia="Arial" w:hAnsi="Arial"/>
          <w:sz w:val="18"/>
          <w:szCs w:val="18"/>
          <w:color w:val="auto"/>
        </w:rPr>
        <w:t>. At the Effective Time: (a) all shares of Company Capital Stock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prior to the Effective Time shall be treated in accordance with </w:t>
      </w:r>
      <w:r>
        <w:rPr>
          <w:rFonts w:ascii="Arial" w:cs="Arial" w:eastAsia="Arial" w:hAnsi="Arial"/>
          <w:sz w:val="18"/>
          <w:szCs w:val="18"/>
          <w:u w:val="single" w:color="auto"/>
          <w:color w:val="auto"/>
        </w:rPr>
        <w:t>Section 1.5(a)</w:t>
      </w:r>
      <w:r>
        <w:rPr>
          <w:rFonts w:ascii="Arial" w:cs="Arial" w:eastAsia="Arial" w:hAnsi="Arial"/>
          <w:sz w:val="18"/>
          <w:szCs w:val="18"/>
          <w:color w:val="auto"/>
        </w:rPr>
        <w:t>, and all holders of certificates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Arial" w:cs="Arial" w:eastAsia="Arial" w:hAnsi="Arial"/>
          <w:sz w:val="18"/>
          <w:szCs w:val="18"/>
          <w:b w:val="1"/>
          <w:bCs w:val="1"/>
          <w:i w:val="1"/>
          <w:iCs w:val="1"/>
          <w:color w:val="auto"/>
        </w:rPr>
        <w:t>Company Stock Certificate</w:t>
      </w:r>
      <w:r>
        <w:rPr>
          <w:rFonts w:ascii="Arial" w:cs="Arial" w:eastAsia="Arial" w:hAnsi="Arial"/>
          <w:sz w:val="18"/>
          <w:szCs w:val="18"/>
          <w:color w:val="auto"/>
        </w:rPr>
        <w:t xml:space="preserve">”) is presented to the Exchange Agent or to the Surviving Corporation, such Company Stock Certificate shall be canceled and shall be exchanged as provided in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1.7 Calculation of Net Cash</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5" w:lineRule="auto"/>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 more than ten (10) nor less than five (5) calendar days prior to the anticipated date for Closing (as mutually agreed in good faith by Milan and the Company) (the “</w:t>
      </w:r>
      <w:r>
        <w:rPr>
          <w:rFonts w:ascii="Arial" w:cs="Arial" w:eastAsia="Arial" w:hAnsi="Arial"/>
          <w:sz w:val="18"/>
          <w:szCs w:val="18"/>
          <w:b w:val="1"/>
          <w:bCs w:val="1"/>
          <w:i w:val="1"/>
          <w:iCs w:val="1"/>
          <w:color w:val="auto"/>
        </w:rPr>
        <w:t>Anticipated Closing Date</w:t>
      </w:r>
      <w:r>
        <w:rPr>
          <w:rFonts w:ascii="Arial" w:cs="Arial" w:eastAsia="Arial" w:hAnsi="Arial"/>
          <w:sz w:val="18"/>
          <w:szCs w:val="18"/>
          <w:color w:val="auto"/>
        </w:rPr>
        <w:t>”), the Company will deliver to Milan a schedule (the “</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setting forth, in reasonable detail, the Company’s good faith estimated calculation of Net Cash (the “</w:t>
      </w:r>
      <w:r>
        <w:rPr>
          <w:rFonts w:ascii="Arial" w:cs="Arial" w:eastAsia="Arial" w:hAnsi="Arial"/>
          <w:sz w:val="18"/>
          <w:szCs w:val="18"/>
          <w:b w:val="1"/>
          <w:bCs w:val="1"/>
          <w:i w:val="1"/>
          <w:iCs w:val="1"/>
          <w:color w:val="auto"/>
        </w:rPr>
        <w:t>Net Cash Calculation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date of delivery of such schedule, the “</w:t>
      </w:r>
      <w:r>
        <w:rPr>
          <w:rFonts w:ascii="Arial" w:cs="Arial" w:eastAsia="Arial" w:hAnsi="Arial"/>
          <w:sz w:val="18"/>
          <w:szCs w:val="18"/>
          <w:b w:val="1"/>
          <w:bCs w:val="1"/>
          <w:i w:val="1"/>
          <w:iCs w:val="1"/>
          <w:color w:val="auto"/>
        </w:rPr>
        <w:t>Delivery Date</w:t>
      </w:r>
      <w:r>
        <w:rPr>
          <w:rFonts w:ascii="Arial" w:cs="Arial" w:eastAsia="Arial" w:hAnsi="Arial"/>
          <w:sz w:val="18"/>
          <w:szCs w:val="18"/>
          <w:color w:val="auto"/>
        </w:rPr>
        <w:t>”) as of 8:00 p.m. (New York City Time) on the last Business Day prior to the Anticipated Closing Date (the “</w:t>
      </w:r>
      <w:r>
        <w:rPr>
          <w:rFonts w:ascii="Arial" w:cs="Arial" w:eastAsia="Arial" w:hAnsi="Arial"/>
          <w:sz w:val="18"/>
          <w:szCs w:val="18"/>
          <w:b w:val="1"/>
          <w:bCs w:val="1"/>
          <w:i w:val="1"/>
          <w:iCs w:val="1"/>
          <w:color w:val="auto"/>
        </w:rPr>
        <w:t>Cash Determination Time</w:t>
      </w:r>
      <w:r>
        <w:rPr>
          <w:rFonts w:ascii="Arial" w:cs="Arial" w:eastAsia="Arial" w:hAnsi="Arial"/>
          <w:sz w:val="18"/>
          <w:szCs w:val="18"/>
          <w:color w:val="auto"/>
        </w:rPr>
        <w:t>”), prepared and certified by the Company’s chief executive officer and chief financial officer (or if there is no chief financial officer at such time, the principal financial and accounting officer for the Company). The Company shall promptly and fully make available to Milan, (i)(A) a copy of the accounting system detailed nominal ledger code balances as of the last practical date prior to the Delivery Date (which date shall be not earlier than (1) the last day of the calendar month ending immediately prior to the Delivery Date and (2) the date that is five (5) days prior to the Delivery Date), and (B) an extended trial balance detailing a reconciliation between the nominal ledger balances and the Net Cash Schedule, together with all work papers and back-up materials used or useful in preparing the Net Cash Schedule, including (1) third party certified copies of all cash, cash equivalents and investment balances, identified by the institution where such cash, cash equivalents and investment balances are held, (2) schedules of all accruals and prepayments, together with calculations and supporting documentary evidence therefor, (3) a detailed aged receivables report, (4) working papers and documentary evidence for each other nominal code included within the Net Cash Schedule, and (5) as reasonably requested by Milan, all other work papers and back-up materials used or useful in preparing the Net Cash Schedule, (ii) a detailed bridge (the “</w:t>
      </w:r>
      <w:r>
        <w:rPr>
          <w:rFonts w:ascii="Arial" w:cs="Arial" w:eastAsia="Arial" w:hAnsi="Arial"/>
          <w:sz w:val="18"/>
          <w:szCs w:val="18"/>
          <w:b w:val="1"/>
          <w:bCs w:val="1"/>
          <w:i w:val="1"/>
          <w:iCs w:val="1"/>
          <w:color w:val="auto"/>
        </w:rPr>
        <w:t>Net Cash Bridge</w:t>
      </w:r>
      <w:r>
        <w:rPr>
          <w:rFonts w:ascii="Arial" w:cs="Arial" w:eastAsia="Arial" w:hAnsi="Arial"/>
          <w:sz w:val="18"/>
          <w:szCs w:val="18"/>
          <w:color w:val="auto"/>
        </w:rPr>
        <w:t>”) reconciling, in daily increments, each of the elements of the Net Cash Calculation as of the Delivery Date with the Net Cash Calculation as of the Cash Determination Time, including a schedule describing in reasonable detail all material assumptions and other inputs underlying such bridge, and (iii) if requested by Milan, the Company’s accountants and counsel at reasonable times and upon reasonable notice.</w:t>
      </w:r>
    </w:p>
    <w:p>
      <w:pPr>
        <w:spacing w:after="0" w:line="84" w:lineRule="exact"/>
        <w:rPr>
          <w:rFonts w:ascii="Arial" w:cs="Arial" w:eastAsia="Arial" w:hAnsi="Arial"/>
          <w:sz w:val="18"/>
          <w:szCs w:val="18"/>
          <w:color w:val="auto"/>
        </w:rPr>
      </w:pPr>
    </w:p>
    <w:p>
      <w:pPr>
        <w:ind w:left="200" w:right="140" w:firstLine="885"/>
        <w:spacing w:after="0" w:line="271" w:lineRule="auto"/>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Within three (3) calendar days after the Delivery Date (the last day of such period,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Milan shall have the right to dispute any part of the Net Cash Calculation by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color w:val="auto"/>
        </w:rPr>
        <w:t>delivering a written notice to that effect to the Company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and to the extent known the nature and amounts of any proposed revisions to the Net Cash Calculation.</w:t>
      </w:r>
    </w:p>
    <w:p>
      <w:pPr>
        <w:spacing w:after="0" w:line="68" w:lineRule="exact"/>
        <w:rPr>
          <w:sz w:val="20"/>
          <w:szCs w:val="20"/>
          <w:color w:val="auto"/>
        </w:rPr>
      </w:pPr>
    </w:p>
    <w:p>
      <w:pPr>
        <w:ind w:left="200" w:right="80" w:firstLine="885"/>
        <w:spacing w:after="0" w:line="238" w:lineRule="auto"/>
        <w:tabs>
          <w:tab w:leader="none" w:pos="134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Milan notifies the Company in writing that it has no objections to the Net Cash Calculation or, if prior to 8:00 p.m. (New York City Time) on the Response Date, Milan has failed to deliver a Dispute Notice as provided in </w:t>
      </w:r>
      <w:r>
        <w:rPr>
          <w:rFonts w:ascii="Arial" w:cs="Arial" w:eastAsia="Arial" w:hAnsi="Arial"/>
          <w:sz w:val="18"/>
          <w:szCs w:val="18"/>
          <w:u w:val="single" w:color="auto"/>
          <w:color w:val="auto"/>
        </w:rPr>
        <w:t>Section 1.7(b)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(the “</w:t>
      </w:r>
      <w:r>
        <w:rPr>
          <w:rFonts w:ascii="Arial" w:cs="Arial" w:eastAsia="Arial" w:hAnsi="Arial"/>
          <w:sz w:val="18"/>
          <w:szCs w:val="18"/>
          <w:b w:val="1"/>
          <w:bCs w:val="1"/>
          <w:i w:val="1"/>
          <w:iCs w:val="1"/>
          <w:color w:val="auto"/>
        </w:rPr>
        <w:t>Final Net Cash</w:t>
      </w:r>
      <w:r>
        <w:rPr>
          <w:rFonts w:ascii="Arial" w:cs="Arial" w:eastAsia="Arial" w:hAnsi="Arial"/>
          <w:sz w:val="18"/>
          <w:szCs w:val="18"/>
          <w:color w:val="auto"/>
        </w:rPr>
        <w:t>”) for purposes of this Agreement.</w:t>
      </w:r>
    </w:p>
    <w:p>
      <w:pPr>
        <w:spacing w:after="0" w:line="94" w:lineRule="exact"/>
        <w:rPr>
          <w:rFonts w:ascii="Arial" w:cs="Arial" w:eastAsia="Arial" w:hAnsi="Arial"/>
          <w:sz w:val="18"/>
          <w:szCs w:val="18"/>
          <w:color w:val="auto"/>
        </w:rPr>
      </w:pPr>
    </w:p>
    <w:p>
      <w:pPr>
        <w:ind w:left="200" w:right="20" w:firstLine="885"/>
        <w:spacing w:after="0" w:line="238" w:lineRule="auto"/>
        <w:tabs>
          <w:tab w:leader="none" w:pos="13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Milan delivers a Dispute Notice on or prior to 5:00 p.m. (New York City Time) on the Response Date, then Representatives of the Company and Milan shall promptly, and in no event later than one (1) calendar day after the Response Date, meet and attempt in good faith to resolve the disputed item(s) and negotiate an agreed-upon determination of Net Cash, which agreed upon Net Cash amount shall be deemed to have been finally determined for purposes of this Agreement and to represent the Final Net Cash for purposes of this Agreement.</w:t>
      </w:r>
    </w:p>
    <w:p>
      <w:pPr>
        <w:spacing w:after="0" w:line="94" w:lineRule="exact"/>
        <w:rPr>
          <w:rFonts w:ascii="Arial" w:cs="Arial" w:eastAsia="Arial" w:hAnsi="Arial"/>
          <w:sz w:val="18"/>
          <w:szCs w:val="18"/>
          <w:color w:val="auto"/>
        </w:rPr>
      </w:pPr>
    </w:p>
    <w:p>
      <w:pPr>
        <w:ind w:left="200" w:firstLine="885"/>
        <w:spacing w:after="0" w:line="235" w:lineRule="auto"/>
        <w:tabs>
          <w:tab w:leader="none" w:pos="13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If Representatives of the Company and Milan are unable to negotiate an agreed-upon determination of Final Net Cash pursuant to </w:t>
      </w:r>
      <w:r>
        <w:rPr>
          <w:rFonts w:ascii="Arial" w:cs="Arial" w:eastAsia="Arial" w:hAnsi="Arial"/>
          <w:sz w:val="18"/>
          <w:szCs w:val="18"/>
          <w:u w:val="single" w:color="auto"/>
          <w:color w:val="auto"/>
        </w:rPr>
        <w:t>Section 1.7(d)</w:t>
      </w:r>
      <w:r>
        <w:rPr>
          <w:rFonts w:ascii="Arial" w:cs="Arial" w:eastAsia="Arial" w:hAnsi="Arial"/>
          <w:sz w:val="18"/>
          <w:szCs w:val="18"/>
          <w:color w:val="auto"/>
        </w:rPr>
        <w:t xml:space="preserve"> within two (2) calendar days after delivery of the Dispute Notice (or such other period as the Company and Milan may mutually agree upon), then any remaining disagreements as to the calculation of Net Cash shall be referred to Grant Thornton LLP or another independent auditor of recognized national standing mutually agreed upon by the Company and Milan (the “</w:t>
      </w:r>
      <w:r>
        <w:rPr>
          <w:rFonts w:ascii="Arial" w:cs="Arial" w:eastAsia="Arial" w:hAnsi="Arial"/>
          <w:sz w:val="18"/>
          <w:szCs w:val="18"/>
          <w:b w:val="1"/>
          <w:bCs w:val="1"/>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The Company shall promptly deliver to the Accounting Firm all work papers and back-up materials used in preparing the Net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Schedule, and the Company and Milan shall use commercially reasonable efforts to cause the Accounting Firm to make its determination within five (5) calendar days of accepting its selection. Milan and the Company shall be afforded the opportunity to present to the Accounting Firm any material related to the unresolved disputes and to discuss the issues with the Accounting Firm;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such presentation or discussion shall occur without the presence of a Representative of each of Milan and the Company. The determination of the Accounting Firm shall be limited to the disagreements submitted to the Accounting Firm. The determination of the amount of Net Cash made by the Accounting Firm shall be made in writing delivered to each of the Company and Milan, shall be final and binding on the Company and Milan and shall be deemed to have been finally determined for purposes of this Agreement and to represent the Final Net Cash for purposes of this Agreement. The Parties shall delay the Closing until the resolution of the matters described in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The fees and expenses of the Accounting Firm shall be allocated between the Company and Milan in the same proportion that the disputed amount of the Net Cash that was unsuccessfully disputed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Delivery Date in connection with the procedures set forth in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shall be deducted from the final determination of the amount of Net Cash. If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applies as to the determination of the Final Net Cash described in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upon resolution of the matter in accordance with this </w:t>
      </w:r>
      <w:r>
        <w:rPr>
          <w:rFonts w:ascii="Arial" w:cs="Arial" w:eastAsia="Arial" w:hAnsi="Arial"/>
          <w:sz w:val="18"/>
          <w:szCs w:val="18"/>
          <w:u w:val="single" w:color="auto"/>
          <w:color w:val="auto"/>
        </w:rPr>
        <w:t>Section 1.7(e)</w:t>
      </w:r>
      <w:r>
        <w:rPr>
          <w:rFonts w:ascii="Arial" w:cs="Arial" w:eastAsia="Arial" w:hAnsi="Arial"/>
          <w:sz w:val="18"/>
          <w:szCs w:val="18"/>
          <w:color w:val="auto"/>
        </w:rPr>
        <w:t>, the Parties shall not be required to determine Net Cash again even though the Closing Date may occur later than the Anticipated Closing Date, except that either the Company or Milan may request a redetermination of the Final Net Cash if the Closing Date is more than twenty (20) calendar days after the Anticipated Closing Date.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1.8 Surrender of Certificates</w:t>
      </w:r>
      <w:r>
        <w:rPr>
          <w:rFonts w:ascii="Arial" w:cs="Arial" w:eastAsia="Arial" w:hAnsi="Arial"/>
          <w:sz w:val="18"/>
          <w:szCs w:val="18"/>
          <w:color w:val="auto"/>
        </w:rPr>
        <w:t>.</w:t>
      </w:r>
    </w:p>
    <w:p>
      <w:pPr>
        <w:spacing w:after="0" w:line="126" w:lineRule="exact"/>
        <w:rPr>
          <w:sz w:val="20"/>
          <w:szCs w:val="20"/>
          <w:color w:val="auto"/>
        </w:rPr>
      </w:pPr>
    </w:p>
    <w:p>
      <w:pPr>
        <w:ind w:left="200" w:right="60" w:firstLine="885"/>
        <w:spacing w:after="0"/>
        <w:tabs>
          <w:tab w:leader="none" w:pos="135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Within 45 days from the date hereof, Milan shall appoint Citibank, N.A. or one of its Affiliates or, if Citibank N.A. and its Affiliates shall refuse to act, one or more banks or trust companies or other independent financial institutions (each of which institution and appointment shall be subject to</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written consent of the Company, such consent not to be unreasonably withheld, conditioned or delayed) to act as: (i) depositary under the Deposit Agreement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in connection with the issuance of Milan Depositary Shares, and (ii) exchange agent in the Merger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pursuant to an exchange agent agreement with the Exchange Agent, which agreement shall set forth the duties, responsibilities and obligations of the Exchange Agent consistent with the terms of this Agreement.</w:t>
      </w:r>
    </w:p>
    <w:p>
      <w:pPr>
        <w:spacing w:after="0" w:line="94" w:lineRule="exact"/>
        <w:rPr>
          <w:sz w:val="20"/>
          <w:szCs w:val="20"/>
          <w:color w:val="auto"/>
        </w:rPr>
      </w:pPr>
    </w:p>
    <w:p>
      <w:pPr>
        <w:ind w:left="200" w:firstLine="885"/>
        <w:spacing w:after="0" w:line="237" w:lineRule="auto"/>
        <w:tabs>
          <w:tab w:leader="none" w:pos="13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At the Effective Time, (i) Milan shall allot, issue and deposit with the Depositary (or its designee), for the benefit of the holders of shares of Company Common Stock, such number of Milan Ordinary Shares as is equal to the Milan Depositary Shares issuable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inter alia, in exchange for shares of Company Capital Stock and (ii) the Depositary shall issue the Milan Depositary Shares comprising the Share Consideration. The Merger Consideration, and amounts paid and Milan Ordinary Shares issued pursuant to the CVR Agreement, are in consideration of the cancellation of Company Capital Stock pursuant to this Agreement and the issue of 999 further shares by HoldCo to Milan.</w:t>
      </w:r>
    </w:p>
    <w:p>
      <w:pPr>
        <w:spacing w:after="0" w:line="97" w:lineRule="exact"/>
        <w:rPr>
          <w:rFonts w:ascii="Arial" w:cs="Arial" w:eastAsia="Arial" w:hAnsi="Arial"/>
          <w:sz w:val="18"/>
          <w:szCs w:val="18"/>
          <w:color w:val="auto"/>
        </w:rPr>
      </w:pPr>
    </w:p>
    <w:p>
      <w:pPr>
        <w:ind w:left="200" w:firstLine="885"/>
        <w:spacing w:after="0" w:line="235" w:lineRule="auto"/>
        <w:tabs>
          <w:tab w:leader="none" w:pos="134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Milan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the Merger Consideration. Upon surrender of a Company Stock Certificate to the Exchange Agent for exchange, together with a duly executed letter of transmittal and such other documents as may be reasonably required by the Exchange Agent or Milan: (A) the holder of such Company Stock Certificate shall be entitled to receive in exchange therefor (i) the number of whole book-entry Milan Depositary Shares, and (ii) the number of Milan CVRs, in each case that such holder has the right to receive pursuant to the provisions of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and (B) the Company Stock Certificate so surrendered shall be canceled. Until surrendered as contemplated by this </w:t>
      </w:r>
      <w:r>
        <w:rPr>
          <w:rFonts w:ascii="Arial" w:cs="Arial" w:eastAsia="Arial" w:hAnsi="Arial"/>
          <w:sz w:val="18"/>
          <w:szCs w:val="18"/>
          <w:u w:val="single" w:color="auto"/>
          <w:color w:val="auto"/>
        </w:rPr>
        <w:t>Section 1.8(c)</w:t>
      </w:r>
      <w:r>
        <w:rPr>
          <w:rFonts w:ascii="Arial" w:cs="Arial" w:eastAsia="Arial" w:hAnsi="Arial"/>
          <w:sz w:val="18"/>
          <w:szCs w:val="18"/>
          <w:color w:val="auto"/>
        </w:rPr>
        <w:t>, each Company Stock Certificate shall be deemed, from and after the Effective Time, to represent only the right to receive the Merger Consideration. If any Company Stock Certificate shall have been lost, stolen or destroyed, Milan may, in its discretion and as a condition precedent to the delivery of any Milan Depositary Shares or Milan CVRs, require the owner of such lost, stolen or destroyed Company Stock Certificate to provide an applicable affidavit with respect to such Company Stock Certificate and post a bond indemnifying Milan against any claim suffered by Milan related to the lost, stolen or destroyed Company Stock Certificate or any Milan Depositary Shares or Milan CVRs issued in exchange therefor as Milan may reasonably request.</w:t>
      </w:r>
    </w:p>
    <w:p>
      <w:pPr>
        <w:spacing w:after="0" w:line="106" w:lineRule="exact"/>
        <w:rPr>
          <w:rFonts w:ascii="Arial" w:cs="Arial" w:eastAsia="Arial" w:hAnsi="Arial"/>
          <w:sz w:val="18"/>
          <w:szCs w:val="18"/>
          <w:color w:val="auto"/>
        </w:rPr>
      </w:pPr>
    </w:p>
    <w:p>
      <w:pPr>
        <w:ind w:left="200" w:right="120" w:firstLine="885"/>
        <w:spacing w:after="0" w:line="237" w:lineRule="auto"/>
        <w:tabs>
          <w:tab w:leader="none" w:pos="13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Milan Depositary Shares, or Milan Ordinary Shares underlying such Milan Depositary Shares, with a record date after the Effective Time shall be paid to the holder of any unsurrendered Company Stock Certificate with respect to the Milan Depositary Shares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97"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Any Milan Depositary Shares that remain undistributed to holders of Company Stock Certificates as of the date that is 180 days after the Closing Date shall be delivered to Milan or a person nominated in writing by Milan upon demand and may be cancelled, and any holders of Company Stock Certificates who have not theretofore surrendered their Company Stock Certificates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thereafter look only to Milan for satisfaction of their claims for Milan Depositary Shares and any dividends or distributions with respect to Milan Depositary Shares. If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460" w:right="45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any Company Stock Certificate has not been surrendered prior to the fifth anniversary of the Effective Time, or immediately prior to such earlier date on which the Merger Consideration, or any dividends or distributions, as contemplated by </w:t>
      </w:r>
      <w:r>
        <w:rPr>
          <w:rFonts w:ascii="Arial" w:cs="Arial" w:eastAsia="Arial" w:hAnsi="Arial"/>
          <w:sz w:val="18"/>
          <w:szCs w:val="18"/>
          <w:u w:val="single" w:color="auto"/>
          <w:color w:val="auto"/>
        </w:rPr>
        <w:t>Section 1.8(d)</w:t>
      </w:r>
      <w:r>
        <w:rPr>
          <w:rFonts w:ascii="Arial" w:cs="Arial" w:eastAsia="Arial" w:hAnsi="Arial"/>
          <w:sz w:val="18"/>
          <w:szCs w:val="18"/>
          <w:color w:val="auto"/>
        </w:rPr>
        <w:t>, to which such Company Stock Certificate would otherwise entitle its holder would escheat to or become the property of any Governmental Authority, any such shares, cash, dividends or distributions in respect of such Company Stock Certificate shall, to the extent permitted by applicable Law, become the property of Milan, free and clear of all claims or interest of any Person previously entitled thereto, and no consideration or compensation shall be payable therefor.</w:t>
      </w:r>
    </w:p>
    <w:p>
      <w:pPr>
        <w:spacing w:after="0" w:line="97" w:lineRule="exact"/>
        <w:rPr>
          <w:sz w:val="20"/>
          <w:szCs w:val="20"/>
          <w:color w:val="auto"/>
        </w:rPr>
      </w:pPr>
    </w:p>
    <w:p>
      <w:pPr>
        <w:ind w:left="200" w:right="240" w:firstLine="885"/>
        <w:spacing w:after="0" w:line="238" w:lineRule="auto"/>
        <w:tabs>
          <w:tab w:leader="none" w:pos="130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of the Exchange Agent, Milan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 Authority, such amounts shall be treated for all purposes under this Agreement as having been paid to the Person to whom such amounts would otherwise have been paid.</w:t>
      </w:r>
    </w:p>
    <w:p>
      <w:pPr>
        <w:spacing w:after="0" w:line="94" w:lineRule="exact"/>
        <w:rPr>
          <w:rFonts w:ascii="Arial" w:cs="Arial" w:eastAsia="Arial" w:hAnsi="Arial"/>
          <w:sz w:val="18"/>
          <w:szCs w:val="18"/>
          <w:color w:val="auto"/>
        </w:rPr>
      </w:pPr>
    </w:p>
    <w:p>
      <w:pPr>
        <w:ind w:left="200" w:right="200" w:firstLine="885"/>
        <w:spacing w:after="0"/>
        <w:tabs>
          <w:tab w:leader="none" w:pos="13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Milan Depositary Shares (or dividends or distributions with respect thereto) or for any cash amounts delivered to any public official pursuant to any applicable abandoned property law, escheat law or similar Law.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1.9 Appraisal Rights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6" w:lineRule="auto"/>
        <w:tabs>
          <w:tab w:leader="none" w:pos="135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shall not be converted into or represent the right to receive the Merger Consideration described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Capital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Company shall give Milan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Milan’s prior written consent, make any payment with respect to, or settle or offer to settle, any such demands, or agree to do any of the foregoing.</w:t>
      </w:r>
    </w:p>
    <w:p>
      <w:pPr>
        <w:spacing w:after="0" w:line="180" w:lineRule="exact"/>
        <w:rPr>
          <w:sz w:val="20"/>
          <w:szCs w:val="20"/>
          <w:color w:val="auto"/>
        </w:rPr>
      </w:pPr>
    </w:p>
    <w:p>
      <w:pPr>
        <w:ind w:left="200" w:right="80" w:firstLine="441"/>
        <w:spacing w:after="0" w:line="244" w:lineRule="auto"/>
        <w:rPr>
          <w:sz w:val="20"/>
          <w:szCs w:val="20"/>
          <w:color w:val="auto"/>
        </w:rPr>
      </w:pPr>
      <w:r>
        <w:rPr>
          <w:rFonts w:ascii="Arial" w:cs="Arial" w:eastAsia="Arial" w:hAnsi="Arial"/>
          <w:sz w:val="18"/>
          <w:szCs w:val="18"/>
          <w:b w:val="1"/>
          <w:bCs w:val="1"/>
          <w:color w:val="auto"/>
        </w:rPr>
        <w:t>1.10 Further Action</w:t>
      </w:r>
      <w:r>
        <w:rPr>
          <w:rFonts w:ascii="Arial" w:cs="Arial" w:eastAsia="Arial" w:hAnsi="Arial"/>
          <w:sz w:val="18"/>
          <w:szCs w:val="18"/>
          <w:color w:val="auto"/>
        </w:rPr>
        <w:t>. If, at any time after the Effective Time, any further action is determined by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00"/>
          </w:cols>
          <w:pgMar w:left="240" w:top="459" w:right="45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10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the written disclosure schedule delivered by the Company to Milan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Milan and Merger Sub as follows: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 Due Organization; Subsidiaries.</w:t>
      </w:r>
    </w:p>
    <w:p>
      <w:pPr>
        <w:spacing w:after="0" w:line="126" w:lineRule="exact"/>
        <w:rPr>
          <w:sz w:val="20"/>
          <w:szCs w:val="20"/>
          <w:color w:val="auto"/>
        </w:rPr>
      </w:pPr>
    </w:p>
    <w:p>
      <w:pPr>
        <w:ind w:left="200" w:right="140" w:firstLine="885"/>
        <w:spacing w:after="0" w:line="238" w:lineRule="auto"/>
        <w:tabs>
          <w:tab w:leader="none" w:pos="135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94" w:lineRule="exact"/>
        <w:rPr>
          <w:rFonts w:ascii="Arial" w:cs="Arial" w:eastAsia="Arial" w:hAnsi="Arial"/>
          <w:sz w:val="18"/>
          <w:szCs w:val="18"/>
          <w:color w:val="auto"/>
        </w:rPr>
      </w:pPr>
    </w:p>
    <w:p>
      <w:pPr>
        <w:jc w:val="both"/>
        <w:ind w:left="200" w:right="400" w:firstLine="885"/>
        <w:spacing w:after="0" w:line="239" w:lineRule="auto"/>
        <w:tabs>
          <w:tab w:leader="none" w:pos="135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9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does not have, and has never had, any Subsidiaries and the Company does not own any capital stock of, or any equity, ownership or profit sharing interest of any nature in, or controls directly or indirectly, any other Entity. The Company is not and has not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181" w:lineRule="exact"/>
        <w:rPr>
          <w:sz w:val="20"/>
          <w:szCs w:val="20"/>
          <w:color w:val="auto"/>
        </w:rPr>
      </w:pPr>
    </w:p>
    <w:p>
      <w:pPr>
        <w:ind w:left="200" w:right="960" w:firstLine="441"/>
        <w:spacing w:after="0" w:line="271" w:lineRule="auto"/>
        <w:rPr>
          <w:sz w:val="20"/>
          <w:szCs w:val="20"/>
          <w:color w:val="auto"/>
        </w:rPr>
      </w:pPr>
      <w:r>
        <w:rPr>
          <w:rFonts w:ascii="Arial" w:cs="Arial" w:eastAsia="Arial" w:hAnsi="Arial"/>
          <w:sz w:val="18"/>
          <w:szCs w:val="18"/>
          <w:b w:val="1"/>
          <w:bCs w:val="1"/>
          <w:color w:val="auto"/>
        </w:rPr>
        <w:t>2.2 Organizational Documents</w:t>
      </w:r>
      <w:r>
        <w:rPr>
          <w:rFonts w:ascii="Arial" w:cs="Arial" w:eastAsia="Arial" w:hAnsi="Arial"/>
          <w:sz w:val="18"/>
          <w:szCs w:val="18"/>
          <w:color w:val="auto"/>
        </w:rPr>
        <w:t>. The Company has delivered to Milan accurate and complete copies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Documents. The Company is not in breach or violation of its Organizational Documents in any material respect.</w:t>
      </w:r>
    </w:p>
    <w:p>
      <w:pPr>
        <w:spacing w:after="0" w:line="15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 xml:space="preserve">2.3 Authority; Binding Nature of Agreement. </w:t>
      </w:r>
      <w:r>
        <w:rPr>
          <w:rFonts w:ascii="Arial" w:cs="Arial" w:eastAsia="Arial" w:hAnsi="Arial"/>
          <w:sz w:val="18"/>
          <w:szCs w:val="18"/>
          <w:color w:val="auto"/>
        </w:rPr>
        <w:t>The Company has all necessary corporate power and authority to enter into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obligations under this Agreement and to consummate the Contemplated Transactions. The Company Board (at meetings duly called and held)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Milan, HoldCo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181" w:lineRule="exact"/>
        <w:rPr>
          <w:sz w:val="20"/>
          <w:szCs w:val="20"/>
          <w:color w:val="auto"/>
        </w:rPr>
      </w:pPr>
    </w:p>
    <w:p>
      <w:pPr>
        <w:ind w:left="200" w:right="180" w:firstLine="441"/>
        <w:spacing w:after="0" w:line="247" w:lineRule="auto"/>
        <w:rPr>
          <w:sz w:val="20"/>
          <w:szCs w:val="20"/>
          <w:color w:val="auto"/>
        </w:rPr>
      </w:pPr>
      <w:r>
        <w:rPr>
          <w:rFonts w:ascii="Arial" w:cs="Arial" w:eastAsia="Arial" w:hAnsi="Arial"/>
          <w:sz w:val="18"/>
          <w:szCs w:val="18"/>
          <w:b w:val="1"/>
          <w:bCs w:val="1"/>
          <w:color w:val="auto"/>
        </w:rPr>
        <w:t xml:space="preserve">2.4 Vote Required. </w:t>
      </w:r>
      <w:r>
        <w:rPr>
          <w:rFonts w:ascii="Arial" w:cs="Arial" w:eastAsia="Arial" w:hAnsi="Arial"/>
          <w:sz w:val="18"/>
          <w:szCs w:val="18"/>
          <w:color w:val="auto"/>
        </w:rPr>
        <w:t>The affirmative vote of the holders of a majority of the shares of Company Common Stock outstanding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for the Company stockholder vote and entitled to vote thereon is the only vote of the holders of any class or series of Company Capital Stock necessary to adopt and approve this Agreement and approve the Company Stockholder Matters (the “</w:t>
      </w:r>
      <w:r>
        <w:rPr>
          <w:rFonts w:ascii="Arial" w:cs="Arial" w:eastAsia="Arial" w:hAnsi="Arial"/>
          <w:sz w:val="18"/>
          <w:szCs w:val="18"/>
          <w:b w:val="1"/>
          <w:bCs w:val="1"/>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 Stockholder Vote</w:t>
      </w:r>
      <w:r>
        <w:rPr>
          <w:rFonts w:ascii="Arial" w:cs="Arial" w:eastAsia="Arial" w:hAnsi="Arial"/>
          <w:sz w:val="18"/>
          <w:szCs w:val="18"/>
          <w:color w:val="auto"/>
        </w:rPr>
        <w: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2.5 Non-Contravention; Consents.</w:t>
      </w:r>
    </w:p>
    <w:p>
      <w:pPr>
        <w:spacing w:after="0" w:line="126" w:lineRule="exact"/>
        <w:rPr>
          <w:sz w:val="20"/>
          <w:szCs w:val="20"/>
          <w:color w:val="auto"/>
        </w:rPr>
      </w:pPr>
    </w:p>
    <w:p>
      <w:pPr>
        <w:ind w:left="200" w:right="440" w:firstLine="885"/>
        <w:spacing w:after="0"/>
        <w:tabs>
          <w:tab w:leader="none" w:pos="135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94" w:lineRule="exact"/>
        <w:rPr>
          <w:rFonts w:ascii="Arial" w:cs="Arial" w:eastAsia="Arial" w:hAnsi="Arial"/>
          <w:sz w:val="18"/>
          <w:szCs w:val="18"/>
          <w:color w:val="auto"/>
        </w:rPr>
      </w:pPr>
    </w:p>
    <w:p>
      <w:pPr>
        <w:ind w:left="1840" w:hanging="204"/>
        <w:spacing w:after="0"/>
        <w:tabs>
          <w:tab w:leader="none" w:pos="184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103" w:lineRule="exact"/>
        <w:rPr>
          <w:rFonts w:ascii="Arial" w:cs="Arial" w:eastAsia="Arial" w:hAnsi="Arial"/>
          <w:sz w:val="18"/>
          <w:szCs w:val="18"/>
          <w:color w:val="auto"/>
        </w:rPr>
      </w:pPr>
    </w:p>
    <w:p>
      <w:pPr>
        <w:ind w:left="200" w:right="80" w:firstLine="1436"/>
        <w:spacing w:after="0"/>
        <w:tabs>
          <w:tab w:leader="none" w:pos="1883"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94" w:lineRule="exact"/>
        <w:rPr>
          <w:rFonts w:ascii="Arial" w:cs="Arial" w:eastAsia="Arial" w:hAnsi="Arial"/>
          <w:sz w:val="18"/>
          <w:szCs w:val="18"/>
          <w:color w:val="auto"/>
        </w:rPr>
      </w:pPr>
    </w:p>
    <w:p>
      <w:pPr>
        <w:ind w:left="200" w:right="200" w:firstLine="1436"/>
        <w:spacing w:after="0" w:line="261" w:lineRule="auto"/>
        <w:tabs>
          <w:tab w:leader="none" w:pos="1923" w:val="left"/>
        </w:tabs>
        <w:numPr>
          <w:ilvl w:val="2"/>
          <w:numId w:val="246"/>
        </w:numPr>
        <w:rPr>
          <w:rFonts w:ascii="Arial" w:cs="Arial" w:eastAsia="Arial" w:hAnsi="Arial"/>
          <w:sz w:val="17"/>
          <w:szCs w:val="17"/>
          <w:color w:val="auto"/>
        </w:rPr>
      </w:pPr>
      <w:r>
        <w:rPr>
          <w:rFonts w:ascii="Arial" w:cs="Arial" w:eastAsia="Arial" w:hAnsi="Arial"/>
          <w:sz w:val="17"/>
          <w:szCs w:val="17"/>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78" w:lineRule="exact"/>
        <w:rPr>
          <w:rFonts w:ascii="Arial" w:cs="Arial" w:eastAsia="Arial" w:hAnsi="Arial"/>
          <w:sz w:val="17"/>
          <w:szCs w:val="17"/>
          <w:color w:val="auto"/>
        </w:rPr>
      </w:pPr>
    </w:p>
    <w:p>
      <w:pPr>
        <w:ind w:left="200" w:right="260" w:firstLine="1436"/>
        <w:spacing w:after="0" w:line="234" w:lineRule="auto"/>
        <w:tabs>
          <w:tab w:leader="none" w:pos="1933"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w:t>
      </w:r>
    </w:p>
    <w:p>
      <w:pPr>
        <w:spacing w:after="0" w:line="2" w:lineRule="exact"/>
        <w:rPr>
          <w:rFonts w:ascii="Arial" w:cs="Arial" w:eastAsia="Arial" w:hAnsi="Arial"/>
          <w:sz w:val="18"/>
          <w:szCs w:val="18"/>
          <w:color w:val="auto"/>
        </w:rPr>
      </w:pPr>
    </w:p>
    <w:p>
      <w:pPr>
        <w:ind w:left="200" w:right="760" w:firstLine="4"/>
        <w:spacing w:after="0" w:line="246" w:lineRule="auto"/>
        <w:tabs>
          <w:tab w:leader="none" w:pos="5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accelerate the maturity or performance of any Company Material Contract; or (D) cancel, terminate or modify any term of any Company Material Contract, except in the case of any non-material breach, default, penalty or modification; or</w:t>
      </w:r>
    </w:p>
    <w:p>
      <w:pPr>
        <w:spacing w:after="0" w:line="88" w:lineRule="exact"/>
        <w:rPr>
          <w:rFonts w:ascii="Arial" w:cs="Arial" w:eastAsia="Arial" w:hAnsi="Arial"/>
          <w:sz w:val="18"/>
          <w:szCs w:val="18"/>
          <w:color w:val="auto"/>
        </w:rPr>
      </w:pPr>
    </w:p>
    <w:p>
      <w:pPr>
        <w:ind w:left="200" w:right="440" w:firstLine="1436"/>
        <w:spacing w:after="0" w:line="246" w:lineRule="auto"/>
        <w:tabs>
          <w:tab w:leader="none" w:pos="1893" w:val="left"/>
        </w:tabs>
        <w:numPr>
          <w:ilvl w:val="2"/>
          <w:numId w:val="247"/>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(except for Permitted Encumbrances).</w:t>
      </w:r>
    </w:p>
    <w:p>
      <w:pPr>
        <w:spacing w:after="0" w:line="88" w:lineRule="exact"/>
        <w:rPr>
          <w:rFonts w:ascii="Arial" w:cs="Arial" w:eastAsia="Arial" w:hAnsi="Arial"/>
          <w:sz w:val="18"/>
          <w:szCs w:val="18"/>
          <w:color w:val="auto"/>
        </w:rPr>
      </w:pPr>
    </w:p>
    <w:p>
      <w:pPr>
        <w:ind w:left="200" w:firstLine="885"/>
        <w:spacing w:after="0" w:line="236" w:lineRule="auto"/>
        <w:tabs>
          <w:tab w:leader="none" w:pos="135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Except for (i) any Consent set forth on Section 2.5(b) of the Company Disclosure Schedule under any Company Contract, (ii) the Required Company Stockholder Vote, (iii) the filing of the Certificate of Merger with the Secretary of State of the State of Delaware pursuant to the DGCL and appropriate corresponding documents with the appropriate authorities of other states in which the Company is qualified as a foreign corporation to transact business and (iv) such consents, waivers, approvals, orders, authorizations, registrations, declarations and filings as may be required under applicable federal and state securities laws or in connection with the performance of the Company’s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the Company is not and will not be required to make any filing with or give any notice to, or to obtain any Consent from, any Person in connection with (x) the execution, delivery or performance of this Agreement, or (y) the consummation of the Contemplated Transactions.</w:t>
      </w:r>
    </w:p>
    <w:p>
      <w:pPr>
        <w:spacing w:after="0" w:line="100" w:lineRule="exact"/>
        <w:rPr>
          <w:rFonts w:ascii="Arial" w:cs="Arial" w:eastAsia="Arial" w:hAnsi="Arial"/>
          <w:sz w:val="18"/>
          <w:szCs w:val="18"/>
          <w:color w:val="auto"/>
        </w:rPr>
      </w:pPr>
    </w:p>
    <w:p>
      <w:pPr>
        <w:ind w:left="200" w:right="340" w:firstLine="885"/>
        <w:spacing w:after="0" w:line="238" w:lineRule="auto"/>
        <w:tabs>
          <w:tab w:leader="none" w:pos="134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2.6 Capitalization.</w:t>
      </w:r>
    </w:p>
    <w:p>
      <w:pPr>
        <w:spacing w:after="0" w:line="126" w:lineRule="exact"/>
        <w:rPr>
          <w:sz w:val="20"/>
          <w:szCs w:val="20"/>
          <w:color w:val="auto"/>
        </w:rPr>
      </w:pPr>
    </w:p>
    <w:p>
      <w:pPr>
        <w:ind w:left="200" w:right="60" w:firstLine="885"/>
        <w:spacing w:after="0" w:line="239" w:lineRule="auto"/>
        <w:tabs>
          <w:tab w:leader="none" w:pos="135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authorized Company Capital Stock as of the date of this Agreement consists of (i) 145,000,000 shares of the Company’s common stock, par value $0.001 per share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of which 38,630,145 shares have been issued and are outstanding as of the Capitalization Date, and (ii) 5,000,000 shares of the Company’s preferred stock, par value $0.001 per share (the “</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 of which no shares have been issued and are outstanding as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00"/>
          </w:cols>
          <w:pgMar w:left="240" w:top="459"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date of this Agreement. The Company does not hold any shares of its capital stock in its treasury.</w:t>
      </w:r>
    </w:p>
    <w:p>
      <w:pPr>
        <w:spacing w:after="0" w:line="104" w:lineRule="exact"/>
        <w:rPr>
          <w:sz w:val="20"/>
          <w:szCs w:val="20"/>
          <w:color w:val="auto"/>
        </w:rPr>
      </w:pPr>
    </w:p>
    <w:p>
      <w:pPr>
        <w:ind w:left="200" w:firstLine="885"/>
        <w:spacing w:after="0" w:line="236" w:lineRule="auto"/>
        <w:tabs>
          <w:tab w:leader="none" w:pos="135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w:t>
      </w:r>
    </w:p>
    <w:p>
      <w:pPr>
        <w:spacing w:after="0" w:line="100" w:lineRule="exact"/>
        <w:rPr>
          <w:rFonts w:ascii="Arial" w:cs="Arial" w:eastAsia="Arial" w:hAnsi="Arial"/>
          <w:sz w:val="18"/>
          <w:szCs w:val="18"/>
          <w:color w:val="auto"/>
        </w:rPr>
      </w:pPr>
    </w:p>
    <w:p>
      <w:pPr>
        <w:ind w:left="200" w:right="40" w:firstLine="885"/>
        <w:spacing w:after="0" w:line="236" w:lineRule="auto"/>
        <w:tabs>
          <w:tab w:leader="none" w:pos="134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for the Company’s 2004 Stock Incentive Plan, as amended, and the Company’s 2013 Equity Incentive Award Plan (collectively, the “</w:t>
      </w:r>
      <w:r>
        <w:rPr>
          <w:rFonts w:ascii="Arial" w:cs="Arial" w:eastAsia="Arial" w:hAnsi="Arial"/>
          <w:sz w:val="18"/>
          <w:szCs w:val="18"/>
          <w:b w:val="1"/>
          <w:bCs w:val="1"/>
          <w:i w:val="1"/>
          <w:iCs w:val="1"/>
          <w:color w:val="auto"/>
        </w:rPr>
        <w:t>Company Plans</w:t>
      </w:r>
      <w:r>
        <w:rPr>
          <w:rFonts w:ascii="Arial" w:cs="Arial" w:eastAsia="Arial" w:hAnsi="Arial"/>
          <w:sz w:val="18"/>
          <w:szCs w:val="18"/>
          <w:color w:val="auto"/>
        </w:rPr>
        <w:t>”) and the Company’s Employee Stock Purchase Plan (the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the Company does not have any stock option plan or any other plan, program, agreement or arrangement providing for any equity-based compensation for any Person. As of the date of this Agreement, the Company has reserved 145,000,000 shares of Company Common Stock for issuance under the Company Plans, of which (i) 38,630,145 shares have been issued and are currently outstanding and (ii) 9,341,368 shares remain available for future issuance. As of the date of this Agreement, (i) 5,249,102 shares of Company Common Stock are subject to outstanding Company Options at a weighted-average exercise price of $12.58 per share (of which Company Options to purchase an aggregate of 3,063,181 shares of Company Common Stock are exercisable) and (ii) 435,514 shares of Company Common Stock are subject to outstanding Company RSUs. Section 2.6(c) of the Company Disclosure Schedule sets forth, as of the date of this Agreement, a true and complete list of all outstanding Company Options and Company RSUs, including with respect to each such award, as applicable, the holder, date of grant, exercise price, vesting schedule, expiration date, whether any such Company Option is an “incentive stock option” (as defined in the Code), and number of shares of Company Common Stock subject thereto. The Company has made available to Milan an accurate and complete copy of the Company Plan, the forms of all award agreements approved for use thereunder and any amendments thereto.</w:t>
      </w:r>
    </w:p>
    <w:p>
      <w:pPr>
        <w:spacing w:after="0" w:line="94" w:lineRule="exact"/>
        <w:rPr>
          <w:rFonts w:ascii="Arial" w:cs="Arial" w:eastAsia="Arial" w:hAnsi="Arial"/>
          <w:sz w:val="18"/>
          <w:szCs w:val="18"/>
          <w:color w:val="auto"/>
        </w:rPr>
      </w:pPr>
    </w:p>
    <w:p>
      <w:pPr>
        <w:ind w:left="200" w:firstLine="885"/>
        <w:spacing w:after="0" w:line="236" w:lineRule="auto"/>
        <w:tabs>
          <w:tab w:leader="none" w:pos="135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for the outstanding Company Options and Company RSUs set forth on Section 2.6(c) of the Company Disclosure Schedule,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99" w:lineRule="exact"/>
        <w:rPr>
          <w:rFonts w:ascii="Arial" w:cs="Arial" w:eastAsia="Arial" w:hAnsi="Arial"/>
          <w:sz w:val="18"/>
          <w:szCs w:val="18"/>
          <w:color w:val="auto"/>
        </w:rPr>
      </w:pPr>
    </w:p>
    <w:p>
      <w:pPr>
        <w:ind w:left="200" w:right="720" w:firstLine="885"/>
        <w:spacing w:after="0"/>
        <w:tabs>
          <w:tab w:leader="none" w:pos="135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outstanding shares of Company Common Stock, Company Options, Company RSUs and other securities of the Company have been issued and granted in compliance with (i) all applicable securities laws and other applicable Law, and (ii) all requirements set forth in applicable Contracts.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2.7 SEC Filings; Financial Statements.</w:t>
      </w:r>
    </w:p>
    <w:p>
      <w:pPr>
        <w:spacing w:after="0" w:line="126" w:lineRule="exact"/>
        <w:rPr>
          <w:sz w:val="20"/>
          <w:szCs w:val="20"/>
          <w:color w:val="auto"/>
        </w:rPr>
      </w:pPr>
    </w:p>
    <w:p>
      <w:pPr>
        <w:ind w:left="200" w:right="580" w:firstLine="885"/>
        <w:spacing w:after="0" w:line="246" w:lineRule="auto"/>
        <w:tabs>
          <w:tab w:leader="none" w:pos="13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has filed or furnished, as applicable, on a timely basis all forms, statements, certifications, reports and documents required to be filed or furnished by it with the SEC under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00"/>
          </w:cols>
          <w:pgMar w:left="240" w:top="459" w:right="45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Exchange Act or the Securities Act since January 1, 2016 (the “</w:t>
      </w:r>
      <w:r>
        <w:rPr>
          <w:rFonts w:ascii="Arial" w:cs="Arial" w:eastAsia="Arial" w:hAnsi="Arial"/>
          <w:sz w:val="18"/>
          <w:szCs w:val="18"/>
          <w:b w:val="1"/>
          <w:bCs w:val="1"/>
          <w:i w:val="1"/>
          <w:iCs w:val="1"/>
          <w:color w:val="auto"/>
        </w:rPr>
        <w:t>Company SEC Documents</w:t>
      </w:r>
      <w:r>
        <w:rPr>
          <w:rFonts w:ascii="Arial" w:cs="Arial" w:eastAsia="Arial" w:hAnsi="Arial"/>
          <w:sz w:val="18"/>
          <w:szCs w:val="18"/>
          <w:color w:val="auto"/>
        </w:rPr>
        <w:t>”).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to the Company’s Knowledge, as of the time they were filed, none of the Company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Company SEC Documents (collectively, the “</w:t>
      </w:r>
      <w:r>
        <w:rPr>
          <w:rFonts w:ascii="Arial" w:cs="Arial" w:eastAsia="Arial" w:hAnsi="Arial"/>
          <w:sz w:val="18"/>
          <w:szCs w:val="18"/>
          <w:b w:val="1"/>
          <w:bCs w:val="1"/>
          <w:i w:val="1"/>
          <w:iCs w:val="1"/>
          <w:color w:val="auto"/>
        </w:rPr>
        <w:t>Company Certifications</w:t>
      </w:r>
      <w:r>
        <w:rPr>
          <w:rFonts w:ascii="Arial" w:cs="Arial" w:eastAsia="Arial" w:hAnsi="Arial"/>
          <w:sz w:val="18"/>
          <w:szCs w:val="18"/>
          <w:color w:val="auto"/>
        </w:rPr>
        <w:t xml:space="preserve">”) are accurate and complete and comply as to form and content with all applicable Laws. As used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the term “file” and variations thereof shall be broadly construed to include any manner in which a document or information is furnished, supplied or otherwise made available to the SEC.</w:t>
      </w:r>
    </w:p>
    <w:p>
      <w:pPr>
        <w:spacing w:after="0" w:line="90" w:lineRule="exact"/>
        <w:rPr>
          <w:sz w:val="20"/>
          <w:szCs w:val="20"/>
          <w:color w:val="auto"/>
        </w:rPr>
      </w:pPr>
    </w:p>
    <w:p>
      <w:pPr>
        <w:ind w:left="1360" w:hanging="275"/>
        <w:spacing w:after="0"/>
        <w:tabs>
          <w:tab w:leader="none" w:pos="13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or incorporated by reference in the Company SEC</w:t>
      </w:r>
    </w:p>
    <w:p>
      <w:pPr>
        <w:ind w:left="200" w:right="20"/>
        <w:spacing w:after="0" w:line="236" w:lineRule="auto"/>
        <w:rPr>
          <w:rFonts w:ascii="Arial" w:cs="Arial" w:eastAsia="Arial" w:hAnsi="Arial"/>
          <w:sz w:val="18"/>
          <w:szCs w:val="18"/>
          <w:color w:val="auto"/>
        </w:rPr>
      </w:pPr>
      <w:r>
        <w:rPr>
          <w:rFonts w:ascii="Arial" w:cs="Arial" w:eastAsia="Arial" w:hAnsi="Arial"/>
          <w:sz w:val="18"/>
          <w:szCs w:val="18"/>
          <w:color w:val="auto"/>
        </w:rPr>
        <w:t>Documents: (i) complied as to form in all material respects with the published rules and regulations of the SEC applicable thereto; (ii) were prepared in accordance with United States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the Company as of the respective dates thereof and the results of operations and cash flows of the Company for the periods covered thereby. Since January 1, 2016, other than as expressly disclosed in the Company SEC Documents filed prior to the date hereof, there has been no material change in the Company’s accounting methods or principles that would be required to be disclosed in the Company’s financial statements in accordance with GAAP. The books of account and other financial records of the Company are true and complete in all material respects.</w:t>
      </w:r>
    </w:p>
    <w:p>
      <w:pPr>
        <w:spacing w:after="0" w:line="98" w:lineRule="exact"/>
        <w:rPr>
          <w:rFonts w:ascii="Arial" w:cs="Arial" w:eastAsia="Arial" w:hAnsi="Arial"/>
          <w:sz w:val="18"/>
          <w:szCs w:val="18"/>
          <w:color w:val="auto"/>
        </w:rPr>
      </w:pPr>
    </w:p>
    <w:p>
      <w:pPr>
        <w:ind w:left="200" w:right="100" w:firstLine="885"/>
        <w:spacing w:after="0" w:line="238" w:lineRule="auto"/>
        <w:tabs>
          <w:tab w:leader="none" w:pos="134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Company’s auditor has at all times since the date of enactment of the Sarbanes-Oxley Act been: (i) a registered public accounting firm (as defined in Section 2(a)(12) of the Sarbanes-Oxley Act); (ii) to the Knowledge of the Company, “independent” with respect to the Company within the meaning of Regulation S-X under the Exchange Act; and (iii) to the Knowledge of the Company, in compliance with subsections (g) through (l) of Section 10A of the Exchange Act and the rules and regulations promulgated by the SEC and the Public Company Accounting Oversight Board thereunder.</w:t>
      </w:r>
    </w:p>
    <w:p>
      <w:pPr>
        <w:spacing w:after="0" w:line="94" w:lineRule="exact"/>
        <w:rPr>
          <w:rFonts w:ascii="Arial" w:cs="Arial" w:eastAsia="Arial" w:hAnsi="Arial"/>
          <w:sz w:val="18"/>
          <w:szCs w:val="18"/>
          <w:color w:val="auto"/>
        </w:rPr>
      </w:pPr>
    </w:p>
    <w:p>
      <w:pPr>
        <w:ind w:left="200" w:right="160" w:firstLine="885"/>
        <w:spacing w:after="0"/>
        <w:tabs>
          <w:tab w:leader="none" w:pos="13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has not received any comment letter from the SEC or the staff thereof or any correspondence from Nasdaq or the staff thereof relating to the delisting or maintenance of listing of the Company Common Stock on Nasdaq. The Company has not disclosed any unresolved comments in the Company SEC Documents.</w:t>
      </w:r>
    </w:p>
    <w:p>
      <w:pPr>
        <w:spacing w:after="0" w:line="94"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Since January 1, 2016,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the Company, the Company Board or any committee thereof, other than ordinary course audits or reviews of accounting policies and practices or internal controls required by the Sarbanes-Oxley Act.</w:t>
      </w:r>
    </w:p>
    <w:p>
      <w:pPr>
        <w:spacing w:after="0" w:line="93" w:lineRule="exact"/>
        <w:rPr>
          <w:rFonts w:ascii="Arial" w:cs="Arial" w:eastAsia="Arial" w:hAnsi="Arial"/>
          <w:sz w:val="18"/>
          <w:szCs w:val="18"/>
          <w:color w:val="auto"/>
        </w:rPr>
      </w:pPr>
    </w:p>
    <w:p>
      <w:pPr>
        <w:ind w:left="200" w:right="400" w:firstLine="885"/>
        <w:spacing w:after="0" w:line="246" w:lineRule="auto"/>
        <w:tabs>
          <w:tab w:leader="none" w:pos="130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applicable listing and governance rules and regulations of Nasdaq.</w:t>
      </w:r>
    </w:p>
    <w:p>
      <w:pPr>
        <w:spacing w:after="0" w:line="88" w:lineRule="exact"/>
        <w:rPr>
          <w:rFonts w:ascii="Arial" w:cs="Arial" w:eastAsia="Arial" w:hAnsi="Arial"/>
          <w:sz w:val="18"/>
          <w:szCs w:val="18"/>
          <w:color w:val="auto"/>
        </w:rPr>
      </w:pPr>
    </w:p>
    <w:p>
      <w:pPr>
        <w:ind w:left="200" w:right="60" w:firstLine="885"/>
        <w:spacing w:after="0" w:line="246" w:lineRule="auto"/>
        <w:tabs>
          <w:tab w:leader="none" w:pos="13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defined in Rules 13a-15(f) and 15d-15(f) of the Exchange Act) that is sufficient to provide reasonable assurance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00"/>
          </w:cols>
          <w:pgMar w:left="240" w:top="460"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Company Board, and (iv) regarding prevention or timely detection of the unauthorized acquisition, use or disposition of the Company’s assets that could have a material effect on the Company’s financial statements. The Company has evaluated the effectiveness of the Company’s internal control over financial reporting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to the Company’s auditors and the Audit Committee of the Company Board (and made available to the Company a summary of the significant aspects of such disclosure) (A) all significant deficiencies and material weaknesses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Except as disclosed in the Company SEC Documents filed prior to the date hereof, the Company has not identified any material weaknesses in the design or operation of the Company’s internal control over financial reporting.</w:t>
      </w:r>
    </w:p>
    <w:p>
      <w:pPr>
        <w:spacing w:after="0" w:line="107" w:lineRule="exact"/>
        <w:rPr>
          <w:sz w:val="20"/>
          <w:szCs w:val="20"/>
          <w:color w:val="auto"/>
        </w:rPr>
      </w:pPr>
    </w:p>
    <w:p>
      <w:pPr>
        <w:ind w:left="200" w:right="80" w:firstLine="885"/>
        <w:spacing w:after="0" w:line="238" w:lineRule="auto"/>
        <w:tabs>
          <w:tab w:leader="none" w:pos="135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Company’s “disclosure controls and procedures” (as defined in Rules 13a-15(e) and 15d-15(e) of the Exchange Act)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Company Certifications.</w:t>
      </w:r>
    </w:p>
    <w:p>
      <w:pPr>
        <w:spacing w:after="0" w:line="181"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b w:val="1"/>
          <w:bCs w:val="1"/>
          <w:color w:val="auto"/>
        </w:rPr>
        <w:t>2.8 Absence of Changes</w:t>
      </w:r>
      <w:r>
        <w:rPr>
          <w:rFonts w:ascii="Arial" w:cs="Arial" w:eastAsia="Arial" w:hAnsi="Arial"/>
          <w:sz w:val="18"/>
          <w:szCs w:val="18"/>
          <w:color w:val="auto"/>
        </w:rPr>
        <w:t>. Except as set forth on Section 2.8 of the Company Disclosure Schedule, between the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Milan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2.9 Absence of Undisclosed Liabilities</w:t>
      </w:r>
      <w:r>
        <w:rPr>
          <w:rFonts w:ascii="Arial" w:cs="Arial" w:eastAsia="Arial" w:hAnsi="Arial"/>
          <w:sz w:val="18"/>
          <w:szCs w:val="18"/>
          <w:color w:val="auto"/>
        </w:rPr>
        <w:t>. The Company does not have any liability, indebtedness, obligation, expense, claim,</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deficiency, guaranty or endorsement of any kind, whether accrued, absolute, contingent, matured, unmatured or otherwise (each a</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in each case, of a type required to be reflected or reserved for on a balance sheet prepared in accordance with GAAP, except</w:t>
      </w:r>
    </w:p>
    <w:p>
      <w:pPr>
        <w:ind w:left="200"/>
        <w:spacing w:after="0" w:line="235" w:lineRule="auto"/>
        <w:rPr>
          <w:sz w:val="20"/>
          <w:szCs w:val="20"/>
          <w:color w:val="auto"/>
        </w:rPr>
      </w:pPr>
      <w:r>
        <w:rPr>
          <w:rFonts w:ascii="Arial" w:cs="Arial" w:eastAsia="Arial" w:hAnsi="Arial"/>
          <w:sz w:val="18"/>
          <w:szCs w:val="18"/>
          <w:color w:val="auto"/>
        </w:rPr>
        <w:t>for: (a) Liabilities disclosed, reflected or reserved against in the Company Unaudited Interim Balance Sheet; (b) normal and recurring</w:t>
      </w:r>
    </w:p>
    <w:p>
      <w:pPr>
        <w:ind w:left="200"/>
        <w:spacing w:after="0" w:line="235" w:lineRule="auto"/>
        <w:rPr>
          <w:sz w:val="20"/>
          <w:szCs w:val="20"/>
          <w:color w:val="auto"/>
        </w:rPr>
      </w:pPr>
      <w:r>
        <w:rPr>
          <w:rFonts w:ascii="Arial" w:cs="Arial" w:eastAsia="Arial" w:hAnsi="Arial"/>
          <w:sz w:val="18"/>
          <w:szCs w:val="18"/>
          <w:color w:val="auto"/>
        </w:rPr>
        <w:t>current Liabilities that have been incurred by the Company since the date of the Company Unaudited Interim Balance Sheet in the</w:t>
      </w:r>
    </w:p>
    <w:p>
      <w:pPr>
        <w:ind w:left="200"/>
        <w:spacing w:after="0" w:line="235" w:lineRule="auto"/>
        <w:rPr>
          <w:sz w:val="20"/>
          <w:szCs w:val="20"/>
          <w:color w:val="auto"/>
        </w:rPr>
      </w:pPr>
      <w:r>
        <w:rPr>
          <w:rFonts w:ascii="Arial" w:cs="Arial" w:eastAsia="Arial" w:hAnsi="Arial"/>
          <w:sz w:val="18"/>
          <w:szCs w:val="18"/>
          <w:color w:val="auto"/>
        </w:rPr>
        <w:t>Ordinary Course of Business (none of which relates to any breach of contract, breach of warranty, tort, infringement, or violation of Law);</w:t>
      </w:r>
    </w:p>
    <w:p>
      <w:pPr>
        <w:ind w:left="200" w:right="480" w:firstLine="4"/>
        <w:spacing w:after="0" w:line="246"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Liabilities for performance of obligations of the Company under Company Contracts; (d) Liabilities incurred in connection with the Contemplated Transactions; and (e) Liabilities listed in Section 2.9 of the Company Disclosure Schedule.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80"/>
          </w:cols>
          <w:pgMar w:left="240" w:top="459" w:right="47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b w:val="1"/>
          <w:bCs w:val="1"/>
          <w:color w:val="auto"/>
        </w:rPr>
        <w:t>2.10 Title to Assets</w:t>
      </w:r>
      <w:r>
        <w:rPr>
          <w:rFonts w:ascii="Arial" w:cs="Arial" w:eastAsia="Arial" w:hAnsi="Arial"/>
          <w:sz w:val="18"/>
          <w:szCs w:val="18"/>
          <w:color w:val="auto"/>
        </w:rPr>
        <w:t>. The Company owns, and has good and valid title to, or, in the case of leased properties and assets, valid</w:t>
      </w:r>
      <w:r>
        <w:rPr>
          <w:rFonts w:ascii="Arial" w:cs="Arial" w:eastAsia="Arial" w:hAnsi="Arial"/>
          <w:sz w:val="18"/>
          <w:szCs w:val="18"/>
          <w:b w:val="1"/>
          <w:bCs w:val="1"/>
          <w:color w:val="auto"/>
        </w:rPr>
        <w:t xml:space="preserve"> </w:t>
      </w:r>
      <w:r>
        <w:rPr>
          <w:rFonts w:ascii="Arial" w:cs="Arial" w:eastAsia="Arial" w:hAnsi="Arial"/>
          <w:sz w:val="18"/>
          <w:szCs w:val="18"/>
          <w:color w:val="auto"/>
        </w:rPr>
        <w:t>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as being owned by the Company. All of such assets are owned or, in the case of leased assets, leased by the Company free and clear of any Encumbrances, other than Permitted Encumbrances.</w:t>
      </w:r>
    </w:p>
    <w:p>
      <w:pPr>
        <w:spacing w:after="0" w:line="177" w:lineRule="exact"/>
        <w:rPr>
          <w:sz w:val="20"/>
          <w:szCs w:val="20"/>
          <w:color w:val="auto"/>
        </w:rPr>
      </w:pPr>
    </w:p>
    <w:p>
      <w:pPr>
        <w:ind w:left="200" w:right="100" w:firstLine="441"/>
        <w:spacing w:after="0" w:line="244" w:lineRule="auto"/>
        <w:rPr>
          <w:sz w:val="20"/>
          <w:szCs w:val="20"/>
          <w:color w:val="auto"/>
        </w:rPr>
      </w:pPr>
      <w:r>
        <w:rPr>
          <w:rFonts w:ascii="Arial" w:cs="Arial" w:eastAsia="Arial" w:hAnsi="Arial"/>
          <w:sz w:val="18"/>
          <w:szCs w:val="18"/>
          <w:b w:val="1"/>
          <w:bCs w:val="1"/>
          <w:color w:val="auto"/>
        </w:rPr>
        <w:t>2.11 Real Property; Leasehold</w:t>
      </w:r>
      <w:r>
        <w:rPr>
          <w:rFonts w:ascii="Arial" w:cs="Arial" w:eastAsia="Arial" w:hAnsi="Arial"/>
          <w:sz w:val="18"/>
          <w:szCs w:val="18"/>
          <w:color w:val="auto"/>
        </w:rPr>
        <w:t>. The Company does not own and has never owned any real property. The Company has made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Milan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each of which is in full force and effect, with no existing material default thereunder.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2.12 Intellectual Property</w:t>
      </w:r>
      <w:r>
        <w:rPr>
          <w:rFonts w:ascii="Arial" w:cs="Arial" w:eastAsia="Arial" w:hAnsi="Arial"/>
          <w:sz w:val="18"/>
          <w:szCs w:val="18"/>
          <w:color w:val="auto"/>
        </w:rPr>
        <w:t>.</w:t>
      </w:r>
    </w:p>
    <w:p>
      <w:pPr>
        <w:spacing w:after="0" w:line="126" w:lineRule="exact"/>
        <w:rPr>
          <w:sz w:val="20"/>
          <w:szCs w:val="20"/>
          <w:color w:val="auto"/>
        </w:rPr>
      </w:pPr>
    </w:p>
    <w:p>
      <w:pPr>
        <w:jc w:val="both"/>
        <w:ind w:left="200" w:right="40" w:firstLine="885"/>
        <w:spacing w:after="0" w:line="239" w:lineRule="auto"/>
        <w:tabs>
          <w:tab w:leader="none" w:pos="135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owns, or has the right to use, as currently being used by the Company, all Company IP Rights and, with respect to Company IP Rights that are owned by the Company, has the right to bring actions for the infringement of such Company IP Rights, except for any failure to own or have the right to use or bring actions that would not, individually or in the aggregate, reasonably be expected to have a Company Material Adverse Effect.</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Section 2.12(b) of the Company Disclosure Schedule is an accurate, true and complete listing of all Company Registered</w:t>
      </w:r>
    </w:p>
    <w:p>
      <w:pPr>
        <w:ind w:left="200"/>
        <w:spacing w:after="0"/>
        <w:rPr>
          <w:rFonts w:ascii="Arial" w:cs="Arial" w:eastAsia="Arial" w:hAnsi="Arial"/>
          <w:sz w:val="18"/>
          <w:szCs w:val="18"/>
          <w:color w:val="auto"/>
        </w:rPr>
      </w:pPr>
      <w:r>
        <w:rPr>
          <w:rFonts w:ascii="Arial" w:cs="Arial" w:eastAsia="Arial" w:hAnsi="Arial"/>
          <w:sz w:val="18"/>
          <w:szCs w:val="18"/>
          <w:color w:val="auto"/>
        </w:rPr>
        <w:t>IP.</w:t>
      </w:r>
    </w:p>
    <w:p>
      <w:pPr>
        <w:spacing w:after="0" w:line="10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Section 2.12(c) of the Company Disclosure Schedule accurately identifies all material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the Company’s products or services, (ii) any Intellectual Property licensed on a non-exclusive basis ancillary to the purchase or use of equipment, reagents or other materials and (iii) any confidential information provided under confidentiality agreements).</w:t>
      </w:r>
    </w:p>
    <w:p>
      <w:pPr>
        <w:spacing w:after="0" w:line="97" w:lineRule="exact"/>
        <w:rPr>
          <w:rFonts w:ascii="Arial" w:cs="Arial" w:eastAsia="Arial" w:hAnsi="Arial"/>
          <w:sz w:val="18"/>
          <w:szCs w:val="18"/>
          <w:color w:val="auto"/>
        </w:rPr>
      </w:pPr>
    </w:p>
    <w:p>
      <w:pPr>
        <w:ind w:left="200" w:right="60" w:firstLine="885"/>
        <w:spacing w:after="0" w:line="238" w:lineRule="auto"/>
        <w:tabs>
          <w:tab w:leader="none" w:pos="135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Section 2.12(d) of the Company Disclosure Schedule accurately identifies each material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94" w:lineRule="exact"/>
        <w:rPr>
          <w:rFonts w:ascii="Arial" w:cs="Arial" w:eastAsia="Arial" w:hAnsi="Arial"/>
          <w:sz w:val="18"/>
          <w:szCs w:val="18"/>
          <w:color w:val="auto"/>
        </w:rPr>
      </w:pPr>
    </w:p>
    <w:p>
      <w:pPr>
        <w:ind w:left="200" w:right="40" w:firstLine="885"/>
        <w:spacing w:after="0" w:line="257" w:lineRule="auto"/>
        <w:tabs>
          <w:tab w:leader="none" w:pos="135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the Company is not bound by, and no Company IP Rights owned by the Company are subject to, any Contract containing any covenant or other provision that in any way limits or restricts the ability of the Company to use, exploit, assert, or enforce any such Company IP Rights anywhere in the world, in each case, in a manner that would limit the business of the Company as conducted or planned to be conducted.</w:t>
      </w:r>
    </w:p>
    <w:p>
      <w:pPr>
        <w:spacing w:after="0" w:line="81" w:lineRule="exact"/>
        <w:rPr>
          <w:rFonts w:ascii="Arial" w:cs="Arial" w:eastAsia="Arial" w:hAnsi="Arial"/>
          <w:sz w:val="17"/>
          <w:szCs w:val="17"/>
          <w:color w:val="auto"/>
        </w:rPr>
      </w:pPr>
    </w:p>
    <w:p>
      <w:pPr>
        <w:ind w:left="200" w:right="180" w:firstLine="885"/>
        <w:spacing w:after="0"/>
        <w:tabs>
          <w:tab w:leader="none" w:pos="13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exclusively owns all right, title, and interest to and in all Company IP Rights owned or purported to be owned by the Company, free and clear of any Encumbrances (other than Permitted Encumbrances).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20"/>
          </w:cols>
          <w:pgMar w:left="240" w:top="459" w:right="43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885"/>
        <w:spacing w:after="0"/>
        <w:tabs>
          <w:tab w:leader="none" w:pos="13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has taken reasonable steps to maintain the confidentiality of and otherwise protect and enforce its rights in all proprietary information that the Company holds, or purports to hold, as confidential or a trade secret.</w:t>
      </w:r>
    </w:p>
    <w:p>
      <w:pPr>
        <w:spacing w:after="0" w:line="94" w:lineRule="exact"/>
        <w:rPr>
          <w:rFonts w:ascii="Arial" w:cs="Arial" w:eastAsia="Arial" w:hAnsi="Arial"/>
          <w:sz w:val="18"/>
          <w:szCs w:val="18"/>
          <w:color w:val="auto"/>
        </w:rPr>
      </w:pPr>
    </w:p>
    <w:p>
      <w:pPr>
        <w:ind w:left="200" w:right="20" w:firstLine="885"/>
        <w:spacing w:after="0" w:line="237" w:lineRule="auto"/>
        <w:tabs>
          <w:tab w:leader="none" w:pos="13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manufacture, marketing, license, offering for sale, sale, importation, use or intended use or other disposal of any product or technology currently licensed or sold or under development by the Company (i) does not violate any license or agreement between the Company and any third party, and (ii) to the Knowledge of the Company, does not infringe, misappropriate or otherwise violate any valid Intellectual Property right of any other party. Except as would not, individually or in the aggregate, reasonably be expected to have a Company Material Adverse Effect, to the Knowledge of the Company, no third party is infringing upon, misappropriating or otherwise violating any Company IP Rights or violating any license or agreement with the Company relating to any Company IP Rights.</w:t>
      </w:r>
    </w:p>
    <w:p>
      <w:pPr>
        <w:spacing w:after="0" w:line="95" w:lineRule="exact"/>
        <w:rPr>
          <w:rFonts w:ascii="Arial" w:cs="Arial" w:eastAsia="Arial" w:hAnsi="Arial"/>
          <w:sz w:val="18"/>
          <w:szCs w:val="18"/>
          <w:color w:val="auto"/>
        </w:rPr>
      </w:pPr>
    </w:p>
    <w:p>
      <w:pPr>
        <w:ind w:left="200" w:firstLine="885"/>
        <w:spacing w:after="0" w:line="236" w:lineRule="auto"/>
        <w:tabs>
          <w:tab w:leader="none" w:pos="12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to the Knowledge of the Company,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Company IP Rights or (ii) alleging that any Company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the Company has otherwise infringed, misappropriated or otherwise violated any Intellectual Property of any Person. Except as would not, individually or in the aggregate, reasonably be expected to have a Company Material Adverse Effect, none of the Company IP Rights is subject to any outstanding order of, judgment of, decree of or agreement with any Governmental Authority that limits the ability of the Company to exploit any Company IP Rights.</w:t>
      </w:r>
    </w:p>
    <w:p>
      <w:pPr>
        <w:spacing w:after="0" w:line="98" w:lineRule="exact"/>
        <w:rPr>
          <w:rFonts w:ascii="Arial" w:cs="Arial" w:eastAsia="Arial" w:hAnsi="Arial"/>
          <w:sz w:val="18"/>
          <w:szCs w:val="18"/>
          <w:color w:val="auto"/>
        </w:rPr>
      </w:pPr>
    </w:p>
    <w:p>
      <w:pPr>
        <w:ind w:left="200" w:right="200" w:firstLine="885"/>
        <w:spacing w:after="0" w:line="246" w:lineRule="auto"/>
        <w:tabs>
          <w:tab w:leader="none" w:pos="12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to the Knowledge of the Company, all Company Registered IP is valid and enforceable.</w:t>
      </w:r>
    </w:p>
    <w:p>
      <w:pPr>
        <w:spacing w:after="0" w:line="88" w:lineRule="exact"/>
        <w:rPr>
          <w:rFonts w:ascii="Arial" w:cs="Arial" w:eastAsia="Arial" w:hAnsi="Arial"/>
          <w:sz w:val="18"/>
          <w:szCs w:val="18"/>
          <w:color w:val="auto"/>
        </w:rPr>
      </w:pPr>
    </w:p>
    <w:p>
      <w:pPr>
        <w:ind w:left="200" w:right="20" w:firstLine="885"/>
        <w:spacing w:after="0" w:line="238" w:lineRule="auto"/>
        <w:tabs>
          <w:tab w:leader="none" w:pos="134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to use, sell or license or enforce any Company IP Rights or portion thereof, except for any such grant or impairment that would not, individually or in the aggregate, reasonably be expected to result in a Company Material Adverse Effect.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2.13 Agreements, Contracts and Commitments.</w:t>
      </w:r>
    </w:p>
    <w:p>
      <w:pPr>
        <w:spacing w:after="0" w:line="126" w:lineRule="exact"/>
        <w:rPr>
          <w:sz w:val="20"/>
          <w:szCs w:val="20"/>
          <w:color w:val="auto"/>
        </w:rPr>
      </w:pPr>
    </w:p>
    <w:p>
      <w:pPr>
        <w:ind w:left="200" w:right="240" w:firstLine="885"/>
        <w:spacing w:after="0" w:line="246" w:lineRule="auto"/>
        <w:tabs>
          <w:tab w:leader="none" w:pos="13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Section 2.13(a) of the Company Disclosure Schedule lists the following Company Contracts in effect as of the date of this Agreement (each, a “</w:t>
      </w:r>
      <w:r>
        <w:rPr>
          <w:rFonts w:ascii="Arial" w:cs="Arial" w:eastAsia="Arial" w:hAnsi="Arial"/>
          <w:sz w:val="18"/>
          <w:szCs w:val="18"/>
          <w:b w:val="1"/>
          <w:bCs w:val="1"/>
          <w:i w:val="1"/>
          <w:iCs w:val="1"/>
          <w:color w:val="auto"/>
        </w:rPr>
        <w:t>Company Material Contract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Company Material Contracts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120" w:firstLine="1436"/>
        <w:spacing w:after="0" w:line="246" w:lineRule="auto"/>
        <w:tabs>
          <w:tab w:leader="none" w:pos="184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88" w:lineRule="exact"/>
        <w:rPr>
          <w:rFonts w:ascii="Arial" w:cs="Arial" w:eastAsia="Arial" w:hAnsi="Arial"/>
          <w:sz w:val="18"/>
          <w:szCs w:val="18"/>
          <w:color w:val="auto"/>
        </w:rPr>
      </w:pPr>
    </w:p>
    <w:p>
      <w:pPr>
        <w:jc w:val="both"/>
        <w:ind w:left="200" w:right="80" w:firstLine="1436"/>
        <w:spacing w:after="0"/>
        <w:tabs>
          <w:tab w:leader="none" w:pos="188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20"/>
          </w:cols>
          <w:pgMar w:left="240" w:top="459" w:right="43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independent contractor, or entity providing employment related, consulting or independent contractor services, not terminable by the Company on ninety (90) calendar days’ or less notice without liability, except to the extent general principles of wrongful termination law may limit the Company’s or such successor’s ability to terminate employees at will;</w:t>
      </w:r>
    </w:p>
    <w:p>
      <w:pPr>
        <w:spacing w:after="0" w:line="95" w:lineRule="exact"/>
        <w:rPr>
          <w:sz w:val="20"/>
          <w:szCs w:val="20"/>
          <w:color w:val="auto"/>
        </w:rPr>
      </w:pPr>
    </w:p>
    <w:p>
      <w:pPr>
        <w:ind w:left="200" w:right="140" w:firstLine="1436"/>
        <w:spacing w:after="0" w:line="239" w:lineRule="auto"/>
        <w:tabs>
          <w:tab w:leader="none" w:pos="192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89" w:lineRule="exact"/>
        <w:rPr>
          <w:rFonts w:ascii="Arial" w:cs="Arial" w:eastAsia="Arial" w:hAnsi="Arial"/>
          <w:sz w:val="18"/>
          <w:szCs w:val="18"/>
          <w:color w:val="auto"/>
        </w:rPr>
      </w:pPr>
    </w:p>
    <w:p>
      <w:pPr>
        <w:ind w:left="1940" w:hanging="304"/>
        <w:spacing w:after="0"/>
        <w:tabs>
          <w:tab w:leader="none" w:pos="19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relating to any agreement of indemnification or guaranty not entered into in the Ordinary</w:t>
      </w:r>
    </w:p>
    <w:p>
      <w:pPr>
        <w:ind w:left="200"/>
        <w:spacing w:after="0"/>
        <w:rPr>
          <w:rFonts w:ascii="Arial" w:cs="Arial" w:eastAsia="Arial" w:hAnsi="Arial"/>
          <w:sz w:val="18"/>
          <w:szCs w:val="18"/>
          <w:color w:val="auto"/>
        </w:rPr>
      </w:pPr>
      <w:r>
        <w:rPr>
          <w:rFonts w:ascii="Arial" w:cs="Arial" w:eastAsia="Arial" w:hAnsi="Arial"/>
          <w:sz w:val="18"/>
          <w:szCs w:val="18"/>
          <w:color w:val="auto"/>
        </w:rPr>
        <w:t>Course of Business;</w:t>
      </w:r>
    </w:p>
    <w:p>
      <w:pPr>
        <w:spacing w:after="0" w:line="103" w:lineRule="exact"/>
        <w:rPr>
          <w:rFonts w:ascii="Arial" w:cs="Arial" w:eastAsia="Arial" w:hAnsi="Arial"/>
          <w:sz w:val="18"/>
          <w:szCs w:val="18"/>
          <w:color w:val="auto"/>
        </w:rPr>
      </w:pPr>
    </w:p>
    <w:p>
      <w:pPr>
        <w:ind w:left="200" w:right="180" w:firstLine="1436"/>
        <w:spacing w:after="0" w:line="246" w:lineRule="auto"/>
        <w:tabs>
          <w:tab w:leader="none" w:pos="189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$200,000 pursuant to its express terms and not cancelable without penalty;</w:t>
      </w:r>
    </w:p>
    <w:p>
      <w:pPr>
        <w:spacing w:after="0" w:line="84" w:lineRule="exact"/>
        <w:rPr>
          <w:rFonts w:ascii="Arial" w:cs="Arial" w:eastAsia="Arial" w:hAnsi="Arial"/>
          <w:sz w:val="18"/>
          <w:szCs w:val="18"/>
          <w:color w:val="auto"/>
        </w:rPr>
      </w:pPr>
    </w:p>
    <w:p>
      <w:pPr>
        <w:ind w:left="1940" w:hanging="304"/>
        <w:spacing w:after="0"/>
        <w:tabs>
          <w:tab w:leader="none" w:pos="19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relating to the disposition or acquisition of assets after the date of this Agreement valued in</w:t>
      </w:r>
    </w:p>
    <w:p>
      <w:pPr>
        <w:ind w:left="200"/>
        <w:spacing w:after="0"/>
        <w:rPr>
          <w:rFonts w:ascii="Arial" w:cs="Arial" w:eastAsia="Arial" w:hAnsi="Arial"/>
          <w:sz w:val="18"/>
          <w:szCs w:val="18"/>
          <w:color w:val="auto"/>
        </w:rPr>
      </w:pPr>
      <w:r>
        <w:rPr>
          <w:rFonts w:ascii="Arial" w:cs="Arial" w:eastAsia="Arial" w:hAnsi="Arial"/>
          <w:sz w:val="18"/>
          <w:szCs w:val="18"/>
          <w:color w:val="auto"/>
        </w:rPr>
        <w:t>excess of $100,000;</w:t>
      </w:r>
    </w:p>
    <w:p>
      <w:pPr>
        <w:spacing w:after="0" w:line="103" w:lineRule="exact"/>
        <w:rPr>
          <w:rFonts w:ascii="Arial" w:cs="Arial" w:eastAsia="Arial" w:hAnsi="Arial"/>
          <w:sz w:val="18"/>
          <w:szCs w:val="18"/>
          <w:color w:val="auto"/>
        </w:rPr>
      </w:pPr>
    </w:p>
    <w:p>
      <w:pPr>
        <w:ind w:left="200" w:firstLine="1436"/>
        <w:spacing w:after="0" w:line="239" w:lineRule="auto"/>
        <w:tabs>
          <w:tab w:leader="none" w:pos="19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89" w:lineRule="exact"/>
        <w:rPr>
          <w:rFonts w:ascii="Arial" w:cs="Arial" w:eastAsia="Arial" w:hAnsi="Arial"/>
          <w:sz w:val="18"/>
          <w:szCs w:val="18"/>
          <w:color w:val="auto"/>
        </w:rPr>
      </w:pPr>
    </w:p>
    <w:p>
      <w:pPr>
        <w:ind w:left="2020" w:hanging="384"/>
        <w:spacing w:after="0"/>
        <w:tabs>
          <w:tab w:leader="none" w:pos="20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Company Contract requiring payment by or to the Company after the date of this Agreement in excess of</w:t>
      </w:r>
    </w:p>
    <w:p>
      <w:pPr>
        <w:ind w:left="200" w:right="40"/>
        <w:spacing w:after="0" w:line="236" w:lineRule="auto"/>
        <w:rPr>
          <w:sz w:val="20"/>
          <w:szCs w:val="20"/>
          <w:color w:val="auto"/>
        </w:rPr>
      </w:pPr>
      <w:r>
        <w:rPr>
          <w:rFonts w:ascii="Arial" w:cs="Arial" w:eastAsia="Arial" w:hAnsi="Arial"/>
          <w:sz w:val="18"/>
          <w:szCs w:val="18"/>
          <w:color w:val="auto"/>
        </w:rPr>
        <w:t>$200,000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Intellectual Property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100" w:lineRule="exact"/>
        <w:rPr>
          <w:sz w:val="20"/>
          <w:szCs w:val="20"/>
          <w:color w:val="auto"/>
        </w:rPr>
      </w:pPr>
    </w:p>
    <w:p>
      <w:pPr>
        <w:ind w:left="200" w:right="120" w:firstLine="1436"/>
        <w:spacing w:after="0" w:line="246" w:lineRule="auto"/>
        <w:tabs>
          <w:tab w:leader="none" w:pos="193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88" w:lineRule="exact"/>
        <w:rPr>
          <w:rFonts w:ascii="Arial" w:cs="Arial" w:eastAsia="Arial" w:hAnsi="Arial"/>
          <w:sz w:val="18"/>
          <w:szCs w:val="18"/>
          <w:color w:val="auto"/>
        </w:rPr>
      </w:pPr>
    </w:p>
    <w:p>
      <w:pPr>
        <w:ind w:left="1900" w:hanging="264"/>
        <w:spacing w:after="0"/>
        <w:tabs>
          <w:tab w:leader="none" w:pos="1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03" w:lineRule="exact"/>
        <w:rPr>
          <w:rFonts w:ascii="Arial" w:cs="Arial" w:eastAsia="Arial" w:hAnsi="Arial"/>
          <w:sz w:val="18"/>
          <w:szCs w:val="18"/>
          <w:color w:val="auto"/>
        </w:rPr>
      </w:pPr>
    </w:p>
    <w:p>
      <w:pPr>
        <w:ind w:left="200" w:right="140" w:firstLine="1436"/>
        <w:spacing w:after="0" w:line="246" w:lineRule="auto"/>
        <w:tabs>
          <w:tab w:leader="none" w:pos="193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each Company Contract that is a material contract as defined in Item 601(b)(10) of Regulation S-K as promulgated under the Securities Act;</w:t>
      </w:r>
    </w:p>
    <w:p>
      <w:pPr>
        <w:spacing w:after="0" w:line="88" w:lineRule="exact"/>
        <w:rPr>
          <w:rFonts w:ascii="Arial" w:cs="Arial" w:eastAsia="Arial" w:hAnsi="Arial"/>
          <w:sz w:val="18"/>
          <w:szCs w:val="18"/>
          <w:color w:val="auto"/>
        </w:rPr>
      </w:pPr>
    </w:p>
    <w:p>
      <w:pPr>
        <w:ind w:left="200" w:right="240" w:firstLine="1436"/>
        <w:spacing w:after="0" w:line="246" w:lineRule="auto"/>
        <w:tabs>
          <w:tab w:leader="none" w:pos="197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each Company Contract to which the Company is a party or by which any of its assets and properties is currently bound, which involves annual obligations of payment by, or annual payments to, the Company in excess of $200,000; or</w:t>
      </w:r>
    </w:p>
    <w:p>
      <w:pPr>
        <w:spacing w:after="0" w:line="84" w:lineRule="exact"/>
        <w:rPr>
          <w:rFonts w:ascii="Arial" w:cs="Arial" w:eastAsia="Arial" w:hAnsi="Arial"/>
          <w:sz w:val="18"/>
          <w:szCs w:val="18"/>
          <w:color w:val="auto"/>
        </w:rPr>
      </w:pPr>
    </w:p>
    <w:p>
      <w:pPr>
        <w:ind w:left="2020" w:hanging="384"/>
        <w:spacing w:after="0"/>
        <w:tabs>
          <w:tab w:leader="none" w:pos="20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other Company Contract that is not terminable at will (with no penalty or payment) by the Company and</w:t>
      </w:r>
    </w:p>
    <w:p>
      <w:pPr>
        <w:ind w:left="200" w:right="940" w:firstLine="4"/>
        <w:spacing w:after="0" w:line="246" w:lineRule="auto"/>
        <w:tabs>
          <w:tab w:leader="none" w:pos="49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which involves payment or receipt by the Company after the date of this Agreement under any such agreement, contract or commitment of more than $200,000 in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00"/>
          </w:cols>
          <w:pgMar w:left="24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aggregate, or obligations after the date of this Agreement in excess of $200,000 in the aggregate, or (B) that is material to the business or operations of the Company, taken as a whole.</w:t>
      </w:r>
    </w:p>
    <w:p>
      <w:pPr>
        <w:spacing w:after="0" w:line="89" w:lineRule="exact"/>
        <w:rPr>
          <w:sz w:val="20"/>
          <w:szCs w:val="20"/>
          <w:color w:val="auto"/>
        </w:rPr>
      </w:pPr>
    </w:p>
    <w:p>
      <w:pPr>
        <w:ind w:left="200" w:right="40" w:firstLine="885"/>
        <w:spacing w:after="0" w:line="236" w:lineRule="auto"/>
        <w:tabs>
          <w:tab w:leader="none" w:pos="135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 has delivered or made available to Milan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2.14 Compliance; Permits; Restrictions.</w:t>
      </w:r>
    </w:p>
    <w:p>
      <w:pPr>
        <w:spacing w:after="0" w:line="126" w:lineRule="exact"/>
        <w:rPr>
          <w:sz w:val="20"/>
          <w:szCs w:val="20"/>
          <w:color w:val="auto"/>
        </w:rPr>
      </w:pPr>
    </w:p>
    <w:p>
      <w:pPr>
        <w:ind w:left="200" w:firstLine="885"/>
        <w:spacing w:after="0" w:line="237" w:lineRule="auto"/>
        <w:tabs>
          <w:tab w:leader="none" w:pos="135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compliance in all material respects with all applicable Laws. No investigation, claim, suit, proceeding, audit or other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95" w:lineRule="exact"/>
        <w:rPr>
          <w:rFonts w:ascii="Arial" w:cs="Arial" w:eastAsia="Arial" w:hAnsi="Arial"/>
          <w:sz w:val="18"/>
          <w:szCs w:val="18"/>
          <w:color w:val="auto"/>
        </w:rPr>
      </w:pPr>
    </w:p>
    <w:p>
      <w:pPr>
        <w:ind w:left="200" w:right="180" w:firstLine="885"/>
        <w:spacing w:after="0" w:line="237" w:lineRule="auto"/>
        <w:tabs>
          <w:tab w:leader="none" w:pos="135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holds all required Governmental Authorizations which are material to the operation of the business of the Company as currently conducted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Section 2.14(b)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 The rights and benefits of each Company Permit will be available to the Surviving Corporation immediately after the Effective Time on terms substantially identical to those enjoyed by the Company as of the date of this Agreement and immediately prior to the Effective Time.</w:t>
      </w:r>
    </w:p>
    <w:p>
      <w:pPr>
        <w:spacing w:after="0" w:line="97" w:lineRule="exact"/>
        <w:rPr>
          <w:rFonts w:ascii="Arial" w:cs="Arial" w:eastAsia="Arial" w:hAnsi="Arial"/>
          <w:sz w:val="18"/>
          <w:szCs w:val="18"/>
          <w:color w:val="auto"/>
        </w:rPr>
      </w:pPr>
    </w:p>
    <w:p>
      <w:pPr>
        <w:ind w:left="200" w:right="380" w:firstLine="885"/>
        <w:spacing w:after="0" w:line="238" w:lineRule="auto"/>
        <w:tabs>
          <w:tab w:leader="none" w:pos="134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the Company, threatened with respect to an alleged material violation by the Company of the Federal Food, Drug, and Cosmetic Act (“</w:t>
      </w:r>
      <w:r>
        <w:rPr>
          <w:rFonts w:ascii="Arial" w:cs="Arial" w:eastAsia="Arial" w:hAnsi="Arial"/>
          <w:sz w:val="18"/>
          <w:szCs w:val="18"/>
          <w:b w:val="1"/>
          <w:bCs w:val="1"/>
          <w:i w:val="1"/>
          <w:iCs w:val="1"/>
          <w:color w:val="auto"/>
        </w:rPr>
        <w:t>FDCA</w:t>
      </w:r>
      <w:r>
        <w:rPr>
          <w:rFonts w:ascii="Arial" w:cs="Arial" w:eastAsia="Arial" w:hAnsi="Arial"/>
          <w:sz w:val="18"/>
          <w:szCs w:val="18"/>
          <w:color w:val="auto"/>
        </w:rPr>
        <w:t>”),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regulations adopted thereunder, the Controlled Substance Act or any other similar Law promulgated by the FDA or other comparable Governmental Authority responsible for regulation of the development, clinical testing, manufacturing, sale, marketing, distribution and importation or exportation of drug products (“</w:t>
      </w:r>
      <w:r>
        <w:rPr>
          <w:rFonts w:ascii="Arial" w:cs="Arial" w:eastAsia="Arial" w:hAnsi="Arial"/>
          <w:sz w:val="18"/>
          <w:szCs w:val="18"/>
          <w:b w:val="1"/>
          <w:bCs w:val="1"/>
          <w:i w:val="1"/>
          <w:iCs w:val="1"/>
          <w:color w:val="auto"/>
        </w:rPr>
        <w:t>Drug Regulatory Agency</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left="200" w:right="100" w:firstLine="885"/>
        <w:spacing w:after="0" w:line="237" w:lineRule="auto"/>
        <w:tabs>
          <w:tab w:leader="none" w:pos="135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holds all required Governmental Authorizations issuable by any Drug Regulatory Agency necessary for the conduct of the business of the Company as currently conducted, and the development, clinical testing, manufacturing, marketing, distribution and importation or exportation, as currently conducted, of any of its products or product candidates (the “</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Candidates</w:t>
      </w:r>
      <w:r>
        <w:rPr>
          <w:rFonts w:ascii="Arial" w:cs="Arial" w:eastAsia="Arial" w:hAnsi="Arial"/>
          <w:sz w:val="18"/>
          <w:szCs w:val="18"/>
          <w:color w:val="auto"/>
        </w:rPr>
        <w:t>”, and such required Governmental Authorizations, the “</w:t>
      </w:r>
      <w:r>
        <w:rPr>
          <w:rFonts w:ascii="Arial" w:cs="Arial" w:eastAsia="Arial" w:hAnsi="Arial"/>
          <w:sz w:val="18"/>
          <w:szCs w:val="18"/>
          <w:b w:val="1"/>
          <w:bCs w:val="1"/>
          <w:i w:val="1"/>
          <w:iCs w:val="1"/>
          <w:color w:val="auto"/>
        </w:rPr>
        <w:t>Company Regulatory Permits</w:t>
      </w:r>
      <w:r>
        <w:rPr>
          <w:rFonts w:ascii="Arial" w:cs="Arial" w:eastAsia="Arial" w:hAnsi="Arial"/>
          <w:sz w:val="18"/>
          <w:szCs w:val="18"/>
          <w:color w:val="auto"/>
        </w:rPr>
        <w:t>”) and no such Company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 has been (i) revoked, withdrawn, suspended, cancelled or terminated or (ii) modified in any adverse manner, other than immaterial adverse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20"/>
          </w:cols>
          <w:pgMar w:left="240" w:top="460" w:right="4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modifications. The Company is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Milan all information requested by Milan in the Company’s possession or control relating to the Company Product Candidates and the development, clinical testing, manufacturing, importation and exportation of the Company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98" w:lineRule="exact"/>
        <w:rPr>
          <w:sz w:val="20"/>
          <w:szCs w:val="20"/>
          <w:color w:val="auto"/>
        </w:rPr>
      </w:pPr>
    </w:p>
    <w:p>
      <w:pPr>
        <w:ind w:left="200" w:firstLine="885"/>
        <w:spacing w:after="0" w:line="236" w:lineRule="auto"/>
        <w:tabs>
          <w:tab w:leader="none" w:pos="135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Since January 1, 2016,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current products or product candidates, including the Company Product Candidates, have participated.</w:t>
      </w:r>
    </w:p>
    <w:p>
      <w:pPr>
        <w:spacing w:after="0" w:line="100"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or any of its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or any of its officers, employees or agents.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2.15 Legal Proceedings; Orders</w:t>
      </w:r>
      <w:r>
        <w:rPr>
          <w:rFonts w:ascii="Arial" w:cs="Arial" w:eastAsia="Arial" w:hAnsi="Arial"/>
          <w:sz w:val="18"/>
          <w:szCs w:val="18"/>
          <w:color w:val="auto"/>
        </w:rPr>
        <w:t>.</w:t>
      </w:r>
    </w:p>
    <w:p>
      <w:pPr>
        <w:spacing w:after="0" w:line="126" w:lineRule="exact"/>
        <w:rPr>
          <w:sz w:val="20"/>
          <w:szCs w:val="20"/>
          <w:color w:val="auto"/>
        </w:rPr>
      </w:pPr>
    </w:p>
    <w:p>
      <w:pPr>
        <w:ind w:left="200" w:right="160" w:firstLine="885"/>
        <w:spacing w:after="0" w:line="239" w:lineRule="auto"/>
        <w:tabs>
          <w:tab w:leader="none" w:pos="13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93" w:lineRule="exact"/>
        <w:rPr>
          <w:rFonts w:ascii="Arial" w:cs="Arial" w:eastAsia="Arial" w:hAnsi="Arial"/>
          <w:sz w:val="18"/>
          <w:szCs w:val="18"/>
          <w:color w:val="auto"/>
        </w:rPr>
      </w:pPr>
    </w:p>
    <w:p>
      <w:pPr>
        <w:ind w:left="200" w:right="260" w:firstLine="885"/>
        <w:spacing w:after="0" w:line="239" w:lineRule="auto"/>
        <w:tabs>
          <w:tab w:leader="none" w:pos="13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There is no Order to which the Company, or any of the material assets owned or used by the Company, is subject. To the Knowledge of the Company, no officer or other Key Employee of the Company is subject to any Order that prohibits such officer or employee from engaging in or continuing any conduct, activity or practice relating to the business of the Company or to any material assets owned or used by the Company.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20"/>
          </w:cols>
          <w:pgMar w:left="240" w:top="459" w:right="43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2.16 Tax Matters</w:t>
      </w:r>
      <w:r>
        <w:rPr>
          <w:rFonts w:ascii="Arial" w:cs="Arial" w:eastAsia="Arial" w:hAnsi="Arial"/>
          <w:sz w:val="18"/>
          <w:szCs w:val="18"/>
          <w:color w:val="auto"/>
        </w:rPr>
        <w:t>.</w:t>
      </w:r>
    </w:p>
    <w:p>
      <w:pPr>
        <w:spacing w:after="0" w:line="126" w:lineRule="exact"/>
        <w:rPr>
          <w:sz w:val="20"/>
          <w:szCs w:val="20"/>
          <w:color w:val="auto"/>
        </w:rPr>
      </w:pPr>
    </w:p>
    <w:p>
      <w:pPr>
        <w:ind w:left="200" w:right="140" w:firstLine="885"/>
        <w:spacing w:after="0" w:line="238" w:lineRule="auto"/>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the Company does not file Tax Returns that the Company is subject to taxation or filing obligation by that jurisdiction.</w:t>
      </w:r>
    </w:p>
    <w:p>
      <w:pPr>
        <w:spacing w:after="0" w:line="94" w:lineRule="exact"/>
        <w:rPr>
          <w:rFonts w:ascii="Arial" w:cs="Arial" w:eastAsia="Arial" w:hAnsi="Arial"/>
          <w:sz w:val="18"/>
          <w:szCs w:val="18"/>
          <w:color w:val="auto"/>
        </w:rPr>
      </w:pPr>
    </w:p>
    <w:p>
      <w:pPr>
        <w:ind w:left="200" w:right="180" w:firstLine="885"/>
        <w:spacing w:after="0"/>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material Taxes due and owing by the Company (whether or not shown on any Tax Return) have been paid. Since the date of the Company Unaudited Interim Balance Sheet, the Company has not incurred any material Liability for Taxes or has engaged in any transaction outside the Ordinary Course of Business or otherwise inconsistent with past custom and practice.</w:t>
      </w:r>
    </w:p>
    <w:p>
      <w:pPr>
        <w:spacing w:after="0" w:line="94" w:lineRule="exact"/>
        <w:rPr>
          <w:rFonts w:ascii="Arial" w:cs="Arial" w:eastAsia="Arial" w:hAnsi="Arial"/>
          <w:sz w:val="18"/>
          <w:szCs w:val="18"/>
          <w:color w:val="auto"/>
        </w:rPr>
      </w:pPr>
    </w:p>
    <w:p>
      <w:pPr>
        <w:ind w:left="200" w:right="440" w:firstLine="885"/>
        <w:spacing w:after="0" w:line="246" w:lineRule="auto"/>
        <w:tabs>
          <w:tab w:leader="none" w:pos="134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88" w:lineRule="exact"/>
        <w:rPr>
          <w:rFonts w:ascii="Arial" w:cs="Arial" w:eastAsia="Arial" w:hAnsi="Arial"/>
          <w:sz w:val="18"/>
          <w:szCs w:val="18"/>
          <w:color w:val="auto"/>
        </w:rPr>
      </w:pPr>
    </w:p>
    <w:p>
      <w:pPr>
        <w:ind w:left="200" w:right="140" w:firstLine="885"/>
        <w:spacing w:after="0" w:line="246" w:lineRule="auto"/>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with respect to Taxes not yet due and payable) upon any of the assets of the Company.</w:t>
      </w:r>
    </w:p>
    <w:p>
      <w:pPr>
        <w:spacing w:after="0" w:line="88" w:lineRule="exact"/>
        <w:rPr>
          <w:rFonts w:ascii="Arial" w:cs="Arial" w:eastAsia="Arial" w:hAnsi="Arial"/>
          <w:sz w:val="18"/>
          <w:szCs w:val="18"/>
          <w:color w:val="auto"/>
        </w:rPr>
      </w:pPr>
    </w:p>
    <w:p>
      <w:pPr>
        <w:ind w:left="200" w:right="280" w:firstLine="885"/>
        <w:spacing w:after="0" w:line="238" w:lineRule="auto"/>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have been claimed, proposed or assessed by any Governmental Authority in writing. There are no pending (or, based on written notice, threatened) material audits, assessments or other actions for or relating to any liability in respect of Taxes of the Company. The Company (or any of its predecessors) has not waived any statute of limitations in respect of material Taxes or agreed to any extension of time with respect to a material Tax assessment or deficiency.</w:t>
      </w:r>
    </w:p>
    <w:p>
      <w:pPr>
        <w:spacing w:after="0" w:line="94" w:lineRule="exact"/>
        <w:rPr>
          <w:rFonts w:ascii="Arial" w:cs="Arial" w:eastAsia="Arial" w:hAnsi="Arial"/>
          <w:sz w:val="18"/>
          <w:szCs w:val="18"/>
          <w:color w:val="auto"/>
        </w:rPr>
      </w:pPr>
    </w:p>
    <w:p>
      <w:pPr>
        <w:ind w:left="200" w:right="80" w:firstLine="885"/>
        <w:spacing w:after="0" w:line="246" w:lineRule="auto"/>
        <w:tabs>
          <w:tab w:leader="none" w:pos="13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in the last five years.</w:t>
      </w:r>
    </w:p>
    <w:p>
      <w:pPr>
        <w:spacing w:after="0" w:line="88" w:lineRule="exact"/>
        <w:rPr>
          <w:rFonts w:ascii="Arial" w:cs="Arial" w:eastAsia="Arial" w:hAnsi="Arial"/>
          <w:sz w:val="18"/>
          <w:szCs w:val="18"/>
          <w:color w:val="auto"/>
        </w:rPr>
      </w:pPr>
    </w:p>
    <w:p>
      <w:pPr>
        <w:ind w:left="200" w:right="160" w:firstLine="885"/>
        <w:spacing w:after="0"/>
        <w:tabs>
          <w:tab w:leader="none" w:pos="134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is not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94" w:lineRule="exact"/>
        <w:rPr>
          <w:rFonts w:ascii="Arial" w:cs="Arial" w:eastAsia="Arial" w:hAnsi="Arial"/>
          <w:sz w:val="18"/>
          <w:szCs w:val="18"/>
          <w:color w:val="auto"/>
        </w:rPr>
      </w:pPr>
    </w:p>
    <w:p>
      <w:pPr>
        <w:ind w:left="200" w:right="20" w:firstLine="885"/>
        <w:spacing w:after="0"/>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never been a member of an affiliated group filing a consolidated U.S. federal income Tax Return. The Company has no material Liability for the Taxes of any Person (other than the Company) under Treasury Regulations Section 1.1502-6 (or any similar provision of state, local, or foreign law) or as a transferee or successor.</w:t>
      </w:r>
    </w:p>
    <w:p>
      <w:pPr>
        <w:spacing w:after="0" w:line="94" w:lineRule="exact"/>
        <w:rPr>
          <w:rFonts w:ascii="Arial" w:cs="Arial" w:eastAsia="Arial" w:hAnsi="Arial"/>
          <w:sz w:val="18"/>
          <w:szCs w:val="18"/>
          <w:color w:val="auto"/>
        </w:rPr>
      </w:pPr>
    </w:p>
    <w:p>
      <w:pPr>
        <w:jc w:val="both"/>
        <w:ind w:left="200" w:right="280" w:firstLine="885"/>
        <w:spacing w:after="0"/>
        <w:tabs>
          <w:tab w:leader="none" w:pos="129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not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94" w:lineRule="exact"/>
        <w:rPr>
          <w:rFonts w:ascii="Arial" w:cs="Arial" w:eastAsia="Arial" w:hAnsi="Arial"/>
          <w:sz w:val="18"/>
          <w:szCs w:val="18"/>
          <w:color w:val="auto"/>
        </w:rPr>
      </w:pPr>
    </w:p>
    <w:p>
      <w:pPr>
        <w:ind w:left="200" w:right="200" w:firstLine="885"/>
        <w:spacing w:after="0" w:line="246" w:lineRule="auto"/>
        <w:tabs>
          <w:tab w:leader="none" w:pos="129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has not entered into any transaction identified as a “listed transaction” for purposes of Treasury Regulations Sections 1.6011-4(b)(2) or 301.6111-2(b)(2).</w:t>
      </w:r>
    </w:p>
    <w:p>
      <w:pPr>
        <w:spacing w:after="0" w:line="88" w:lineRule="exact"/>
        <w:rPr>
          <w:rFonts w:ascii="Arial" w:cs="Arial" w:eastAsia="Arial" w:hAnsi="Arial"/>
          <w:sz w:val="18"/>
          <w:szCs w:val="18"/>
          <w:color w:val="auto"/>
        </w:rPr>
      </w:pPr>
    </w:p>
    <w:p>
      <w:pPr>
        <w:ind w:left="1340" w:hanging="255"/>
        <w:spacing w:after="0"/>
        <w:tabs>
          <w:tab w:leader="none" w:pos="1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of the date of this Agreement, the Company has not made any dividends or other distributions to its shareholders.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2.17 Employee and Labor Matters; Benefit Plans</w:t>
      </w:r>
      <w:r>
        <w:rPr>
          <w:rFonts w:ascii="Arial" w:cs="Arial" w:eastAsia="Arial" w:hAnsi="Arial"/>
          <w:sz w:val="18"/>
          <w:szCs w:val="18"/>
          <w:color w:val="auto"/>
        </w:rPr>
        <w:t>.</w:t>
      </w:r>
    </w:p>
    <w:p>
      <w:pPr>
        <w:spacing w:after="0" w:line="126" w:lineRule="exact"/>
        <w:rPr>
          <w:sz w:val="20"/>
          <w:szCs w:val="20"/>
          <w:color w:val="auto"/>
        </w:rPr>
      </w:pPr>
    </w:p>
    <w:p>
      <w:pPr>
        <w:jc w:val="both"/>
        <w:ind w:left="200" w:firstLine="885"/>
        <w:spacing w:after="0" w:line="239" w:lineRule="auto"/>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employment of each of the Company’s employees is terminable by the Company at will (or, in respect of any jurisdiction outside the United States, otherwise in accordance with general principles of wrongful termination law). The Company has made available to Milan accurate and complete copies of all employee manuals and handbooks, disclosure materials, policy statements and other materials relating to the employment of Company Associates to the extent currently effective and material.</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20"/>
          </w:cols>
          <w:pgMar w:left="240" w:top="459" w:right="43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885"/>
        <w:spacing w:after="0" w:line="246" w:lineRule="auto"/>
        <w:tabs>
          <w:tab w:leader="none" w:pos="135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No officer or Key Employee of the Company has stated that he or she intends to terminate his or her employment with the Company, nor, to the Knowledge of the Company, has any such officer or Key Employee threatened to do so.</w:t>
      </w:r>
    </w:p>
    <w:p>
      <w:pPr>
        <w:spacing w:after="0" w:line="88" w:lineRule="exact"/>
        <w:rPr>
          <w:rFonts w:ascii="Arial" w:cs="Arial" w:eastAsia="Arial" w:hAnsi="Arial"/>
          <w:sz w:val="18"/>
          <w:szCs w:val="18"/>
          <w:color w:val="auto"/>
        </w:rPr>
      </w:pPr>
    </w:p>
    <w:p>
      <w:pPr>
        <w:ind w:left="200" w:firstLine="885"/>
        <w:spacing w:after="0" w:line="239" w:lineRule="auto"/>
        <w:tabs>
          <w:tab w:leader="none" w:pos="134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Company is not a party to, bound by, obligated to bargain under, or currently negotiating in connection with entering into any collective bargaining agreement or other Contract with a labor organization representing any of its employees, and there are no labor organizations representing or, to the Knowledge of the Company, purporting to represent or seeking to represent any Company Associates.</w:t>
      </w:r>
    </w:p>
    <w:p>
      <w:pPr>
        <w:spacing w:after="0" w:line="93" w:lineRule="exact"/>
        <w:rPr>
          <w:rFonts w:ascii="Arial" w:cs="Arial" w:eastAsia="Arial" w:hAnsi="Arial"/>
          <w:sz w:val="18"/>
          <w:szCs w:val="18"/>
          <w:color w:val="auto"/>
        </w:rPr>
      </w:pPr>
    </w:p>
    <w:p>
      <w:pPr>
        <w:ind w:left="200" w:firstLine="885"/>
        <w:spacing w:after="0" w:line="236" w:lineRule="auto"/>
        <w:tabs>
          <w:tab w:leader="none" w:pos="135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Section 2.17(d) of the Company Disclosure Schedule lists all material employee benefit plans (as defined in Section 3(3) of ERISA)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Company Associate (or any trade or business (whether or not incorporated) which is a Company Affiliate) or which is maintained by, administered or contributed to by, or required to be contributed to by, the Company or any Company Affiliate, or under which the Company or any Company Affiliate has any current liability or may incur liability after the date hereof (each, a “</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w:t>
      </w:r>
    </w:p>
    <w:p>
      <w:pPr>
        <w:spacing w:after="0" w:line="99" w:lineRule="exact"/>
        <w:rPr>
          <w:rFonts w:ascii="Arial" w:cs="Arial" w:eastAsia="Arial" w:hAnsi="Arial"/>
          <w:sz w:val="18"/>
          <w:szCs w:val="18"/>
          <w:color w:val="auto"/>
        </w:rPr>
      </w:pPr>
    </w:p>
    <w:p>
      <w:pPr>
        <w:ind w:left="200" w:right="60" w:firstLine="885"/>
        <w:spacing w:after="0" w:line="236" w:lineRule="auto"/>
        <w:tabs>
          <w:tab w:leader="none" w:pos="135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With respect to Company Options and Company RSUs, (i) each Company Option intended to qualify as an “incentive stock option” under Section 422 of the Code so qualifies, (ii) each grant of a Company Option and Company RSU was duly authorized no later than the date on which the grant of such Company Option or Company RSU was by its terms to be effective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by all necessary corporate action, including, as applicable, approval by the Company Board (or a duly constituted and authorized committee thereof) and any required stockholder approval by the necessary number of votes or written consents, and the award agreement governing such grant (if any) was duly executed and delivered by each party thereto, (iii) each Company Option and Company RSU grant was made pursuant to and in accordance with the terms of the Company Plan and all other applicable Law and (iv) the per share exercise price of each Company Option was not less than the fair market value of a share of Company Common Stock on the applicable Grant Date.</w:t>
      </w:r>
    </w:p>
    <w:p>
      <w:pPr>
        <w:spacing w:after="0" w:line="99" w:lineRule="exact"/>
        <w:rPr>
          <w:rFonts w:ascii="Arial" w:cs="Arial" w:eastAsia="Arial" w:hAnsi="Arial"/>
          <w:sz w:val="18"/>
          <w:szCs w:val="18"/>
          <w:color w:val="auto"/>
        </w:rPr>
      </w:pPr>
    </w:p>
    <w:p>
      <w:pPr>
        <w:ind w:left="200" w:right="220" w:firstLine="885"/>
        <w:spacing w:after="0" w:line="234" w:lineRule="auto"/>
        <w:tabs>
          <w:tab w:leader="none" w:pos="130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With respect to each Company Employee Plan, the Company has made available to Milan a true and complete copy of, to the extent applicable, (i) such Company Employee Plan (or a description, if such plan is not written) and all amendments thereto and</w:t>
      </w:r>
    </w:p>
    <w:p>
      <w:pPr>
        <w:spacing w:after="0" w:line="1" w:lineRule="exact"/>
        <w:rPr>
          <w:rFonts w:ascii="Arial" w:cs="Arial" w:eastAsia="Arial" w:hAnsi="Arial"/>
          <w:sz w:val="18"/>
          <w:szCs w:val="18"/>
          <w:color w:val="auto"/>
        </w:rPr>
      </w:pPr>
    </w:p>
    <w:p>
      <w:pPr>
        <w:ind w:left="200" w:right="540" w:firstLine="4"/>
        <w:spacing w:after="0" w:line="275" w:lineRule="auto"/>
        <w:tabs>
          <w:tab w:leader="none" w:pos="45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most recent summary plan description for each Company Employee Plan, along with all summaries of material modifications, amendments, resolutions and all other material plan documentation related thereto in the possession of the Company.</w:t>
      </w:r>
    </w:p>
    <w:p>
      <w:pPr>
        <w:spacing w:after="0" w:line="65" w:lineRule="exact"/>
        <w:rPr>
          <w:rFonts w:ascii="Arial" w:cs="Arial" w:eastAsia="Arial" w:hAnsi="Arial"/>
          <w:sz w:val="17"/>
          <w:szCs w:val="17"/>
          <w:color w:val="auto"/>
        </w:rPr>
      </w:pPr>
    </w:p>
    <w:p>
      <w:pPr>
        <w:ind w:left="200" w:right="60" w:firstLine="885"/>
        <w:spacing w:after="0" w:line="239" w:lineRule="auto"/>
        <w:tabs>
          <w:tab w:leader="none" w:pos="13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93" w:lineRule="exact"/>
        <w:rPr>
          <w:rFonts w:ascii="Arial" w:cs="Arial" w:eastAsia="Arial" w:hAnsi="Arial"/>
          <w:sz w:val="18"/>
          <w:szCs w:val="18"/>
          <w:color w:val="auto"/>
        </w:rPr>
      </w:pPr>
    </w:p>
    <w:p>
      <w:pPr>
        <w:ind w:left="200" w:right="80" w:firstLine="885"/>
        <w:spacing w:after="0" w:line="246" w:lineRule="auto"/>
        <w:tabs>
          <w:tab w:leader="none" w:pos="13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Since January 1, 2016, each Company Employee Plan has been maintained in compliance, in all material respects, with its terms and, both as to form and operation, with all applicable Law, including the Code and ERISA.</w:t>
      </w:r>
    </w:p>
    <w:p>
      <w:pPr>
        <w:spacing w:after="0" w:line="88" w:lineRule="exact"/>
        <w:rPr>
          <w:rFonts w:ascii="Arial" w:cs="Arial" w:eastAsia="Arial" w:hAnsi="Arial"/>
          <w:sz w:val="18"/>
          <w:szCs w:val="18"/>
          <w:color w:val="auto"/>
        </w:rPr>
      </w:pPr>
    </w:p>
    <w:p>
      <w:pPr>
        <w:ind w:left="200" w:right="160" w:firstLine="885"/>
        <w:spacing w:after="0"/>
        <w:tabs>
          <w:tab w:leader="none" w:pos="129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Neither the Company nor Company Affiliate has engaged in any transaction in violation of Sections 404 or 406 of ERISA or any “prohibited transaction,” as defined in Section 4975(c)(1) of the Code, for which no exemption exists under Section 408 of ERISA or Section 4975(c)(2) or (d) of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20"/>
          </w:cols>
          <w:pgMar w:left="240" w:top="459" w:right="43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Code, or has otherwise violated the provisions of Part 4 of Title I, Subtitle B of ERISA. Neither the Company nor any Company Affiliate has participated in a violation of Part 4 of Title I, Subtitle B of ERISA by any plan fiduciary of any Company Employee Plan subject to ERISA and neither the Company nor any Company Affiliate has been assessed any civil penalty under Section 502(l) of ERISA.</w:t>
      </w:r>
    </w:p>
    <w:p>
      <w:pPr>
        <w:spacing w:after="0" w:line="95" w:lineRule="exact"/>
        <w:rPr>
          <w:sz w:val="20"/>
          <w:szCs w:val="20"/>
          <w:color w:val="auto"/>
        </w:rPr>
      </w:pPr>
    </w:p>
    <w:p>
      <w:pPr>
        <w:ind w:left="200" w:right="40" w:firstLine="885"/>
        <w:spacing w:after="0" w:line="237" w:lineRule="auto"/>
        <w:tabs>
          <w:tab w:leader="none" w:pos="12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Company Employee Plan is subject to Title IV or Section 302 of ERISA or Section 412 of the Code, and neither the Company nor any of its Company Affiliates has ever maintained, contributed to or partially or completely withdrawn from, or incurred any obligation or liability with respect to, any such plan. No Company Employee Plan is a Multiemployer Plan, and neither the Company nor any of its Company Affiliates has ever contributed to or had an obligation to contribute, or incurred any liability in respect of a contribution, to any Multiemployer Plan or a Multiple Employer Plan. No Company Employee Plan is a Multiple Employer Welfare Arrangement. Neither the Company nor any of its Company Affiliates sponsors or maintains any self-funded welfare employee benefit plan.</w:t>
      </w:r>
    </w:p>
    <w:p>
      <w:pPr>
        <w:spacing w:after="0" w:line="97" w:lineRule="exact"/>
        <w:rPr>
          <w:rFonts w:ascii="Arial" w:cs="Arial" w:eastAsia="Arial" w:hAnsi="Arial"/>
          <w:sz w:val="18"/>
          <w:szCs w:val="18"/>
          <w:color w:val="auto"/>
        </w:rPr>
      </w:pPr>
    </w:p>
    <w:p>
      <w:pPr>
        <w:jc w:val="both"/>
        <w:ind w:left="200" w:right="400" w:firstLine="885"/>
        <w:spacing w:after="0" w:line="239" w:lineRule="auto"/>
        <w:tabs>
          <w:tab w:leader="none" w:pos="134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Company Employee Plan provides for medical or other welfare benefits beyond termination of service or retirement, other than pursuant to (i) COBRA or an analogous state law requirement or (ii) continuation coverage through the end of the month in which such termination or retirement occurs. The Company does not sponsor or maintain any self-funded employee benefit plan. No Company Employee Plan is subject to any Law of a foreign jurisdiction outside of the United States.</w:t>
      </w:r>
    </w:p>
    <w:p>
      <w:pPr>
        <w:spacing w:after="0" w:line="93" w:lineRule="exact"/>
        <w:rPr>
          <w:rFonts w:ascii="Arial" w:cs="Arial" w:eastAsia="Arial" w:hAnsi="Arial"/>
          <w:sz w:val="18"/>
          <w:szCs w:val="18"/>
          <w:color w:val="auto"/>
        </w:rPr>
      </w:pPr>
    </w:p>
    <w:p>
      <w:pPr>
        <w:ind w:left="200" w:right="60" w:firstLine="885"/>
        <w:spacing w:after="0" w:line="253" w:lineRule="auto"/>
        <w:tabs>
          <w:tab w:leader="none" w:pos="1291"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Except as set forth on Section 2.17(l) of the Company Disclosure Schedule, neither the execution of this Agreement nor the consummation of Contemplated Transactions (either alone or together with any other event) will (i) entitle any Company Associate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Employee Plan, or (iii) limit or restrict the right of the Company or any of its Affiliates or, after the Effective Time, Milan or any of its Affiliates, to merge, amend or terminate any Company Employee Plan.</w:t>
      </w:r>
    </w:p>
    <w:p>
      <w:pPr>
        <w:spacing w:after="0" w:line="87" w:lineRule="exact"/>
        <w:rPr>
          <w:rFonts w:ascii="Arial" w:cs="Arial" w:eastAsia="Arial" w:hAnsi="Arial"/>
          <w:sz w:val="17"/>
          <w:szCs w:val="17"/>
          <w:color w:val="auto"/>
        </w:rPr>
      </w:pPr>
    </w:p>
    <w:p>
      <w:pPr>
        <w:ind w:left="200" w:right="680" w:firstLine="885"/>
        <w:spacing w:after="0"/>
        <w:tabs>
          <w:tab w:leader="none" w:pos="140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Neither the execution of this Agreement nor the consummation of Contemplated Transactions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94" w:lineRule="exact"/>
        <w:rPr>
          <w:rFonts w:ascii="Arial" w:cs="Arial" w:eastAsia="Arial" w:hAnsi="Arial"/>
          <w:sz w:val="18"/>
          <w:szCs w:val="18"/>
          <w:color w:val="auto"/>
        </w:rPr>
      </w:pPr>
    </w:p>
    <w:p>
      <w:pPr>
        <w:ind w:left="200" w:firstLine="885"/>
        <w:spacing w:after="0" w:line="237" w:lineRule="auto"/>
        <w:tabs>
          <w:tab w:leader="none" w:pos="135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Company Options, Company RSUs or other equity-based awards issued or granted by the Company are subject to the requirements of Code Section 409A. Each “nonqualified deferred compensation plan” (as such term is defined under Section 409A(d)(1) of the Code and the guidance thereunder) (each, a “</w:t>
      </w:r>
      <w:r>
        <w:rPr>
          <w:rFonts w:ascii="Arial" w:cs="Arial" w:eastAsia="Arial" w:hAnsi="Arial"/>
          <w:sz w:val="18"/>
          <w:szCs w:val="18"/>
          <w:b w:val="1"/>
          <w:bCs w:val="1"/>
          <w:i w:val="1"/>
          <w:iCs w:val="1"/>
          <w:color w:val="auto"/>
        </w:rPr>
        <w:t>409A Plan</w:t>
      </w:r>
      <w:r>
        <w:rPr>
          <w:rFonts w:ascii="Arial" w:cs="Arial" w:eastAsia="Arial" w:hAnsi="Arial"/>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97" w:lineRule="exact"/>
        <w:rPr>
          <w:rFonts w:ascii="Arial" w:cs="Arial" w:eastAsia="Arial" w:hAnsi="Arial"/>
          <w:sz w:val="18"/>
          <w:szCs w:val="18"/>
          <w:color w:val="auto"/>
        </w:rPr>
      </w:pPr>
    </w:p>
    <w:p>
      <w:pPr>
        <w:ind w:left="200" w:right="120" w:firstLine="885"/>
        <w:spacing w:after="0" w:line="238" w:lineRule="auto"/>
        <w:tabs>
          <w:tab w:leader="none" w:pos="135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 and is not liable for any material payments, taxes or penalties for failure to comply with any of the terms or conditions of such plans or the laws governing such plans.</w:t>
      </w:r>
    </w:p>
    <w:p>
      <w:pPr>
        <w:spacing w:after="0" w:line="94" w:lineRule="exact"/>
        <w:rPr>
          <w:rFonts w:ascii="Arial" w:cs="Arial" w:eastAsia="Arial" w:hAnsi="Arial"/>
          <w:sz w:val="18"/>
          <w:szCs w:val="18"/>
          <w:color w:val="auto"/>
        </w:rPr>
      </w:pPr>
    </w:p>
    <w:p>
      <w:pPr>
        <w:ind w:left="200" w:right="100" w:firstLine="885"/>
        <w:spacing w:after="0"/>
        <w:tabs>
          <w:tab w:leader="none" w:pos="135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20"/>
          </w:cols>
          <w:pgMar w:left="240" w:top="459" w:right="43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immigration status, employee safety and health, wages (including overtime wages), compensation, and hours of work, and in each case, with respect to the Company Associates: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threatened or reasonably anticipated against the Company relating to any Company Associate, employment agreement or Company Employee Plan (other than routine claims for benefits). To the Knowledge of the Company, there are no pending or threatened or reasonably anticipated claims or actions against the Company, any Company trustee under any 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97" w:lineRule="exact"/>
        <w:rPr>
          <w:sz w:val="20"/>
          <w:szCs w:val="20"/>
          <w:color w:val="auto"/>
        </w:rPr>
      </w:pPr>
    </w:p>
    <w:p>
      <w:pPr>
        <w:ind w:left="200" w:firstLine="885"/>
        <w:spacing w:after="0" w:line="236" w:lineRule="auto"/>
        <w:tabs>
          <w:tab w:leader="none" w:pos="135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Section 2.17(q) of the Company Disclosure Schedule lists all liabilities of the Company to any current Company Associate that result from the termination by the Company of such Company Associate’s employment or provision of services, a change of control of the Company, or a combination thereof. The Company has no material liability with respect to any misclassification of: (a) any Person as an independent contractor rather than as an employee, (b) any Company Associate leased from another employer, or (c) any Company Associate currently or formerly classified as exempt from overtime wages. The Company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the Company prior to the Closing would trigger any notice or other obligations under the WARN Act or similar state or local law.</w:t>
      </w:r>
    </w:p>
    <w:p>
      <w:pPr>
        <w:spacing w:after="0" w:line="99" w:lineRule="exact"/>
        <w:rPr>
          <w:rFonts w:ascii="Arial" w:cs="Arial" w:eastAsia="Arial" w:hAnsi="Arial"/>
          <w:sz w:val="18"/>
          <w:szCs w:val="18"/>
          <w:color w:val="auto"/>
        </w:rPr>
      </w:pPr>
    </w:p>
    <w:p>
      <w:pPr>
        <w:ind w:left="200" w:firstLine="885"/>
        <w:spacing w:after="0" w:line="238" w:lineRule="auto"/>
        <w:tabs>
          <w:tab w:leader="none" w:pos="131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94" w:lineRule="exact"/>
        <w:rPr>
          <w:rFonts w:ascii="Arial" w:cs="Arial" w:eastAsia="Arial" w:hAnsi="Arial"/>
          <w:sz w:val="18"/>
          <w:szCs w:val="18"/>
          <w:color w:val="auto"/>
        </w:rPr>
      </w:pPr>
    </w:p>
    <w:p>
      <w:pPr>
        <w:ind w:left="200" w:right="140" w:firstLine="885"/>
        <w:spacing w:after="0" w:line="237" w:lineRule="auto"/>
        <w:tabs>
          <w:tab w:leader="none" w:pos="134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is not, and the Company has not been, engaged in any unfair labor practice within the meaning of the National Labor Relations Act. There is no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97" w:lineRule="exact"/>
        <w:rPr>
          <w:rFonts w:ascii="Arial" w:cs="Arial" w:eastAsia="Arial" w:hAnsi="Arial"/>
          <w:sz w:val="18"/>
          <w:szCs w:val="18"/>
          <w:color w:val="auto"/>
        </w:rPr>
      </w:pPr>
    </w:p>
    <w:p>
      <w:pPr>
        <w:ind w:left="200" w:right="380" w:firstLine="885"/>
        <w:spacing w:after="0" w:line="246" w:lineRule="auto"/>
        <w:tabs>
          <w:tab w:leader="none" w:pos="130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is a party or by which it is bound to compensate any of its employees for excise taxes paid pursuant to Section 4999 of the Code, Section 409A of the Code or otherwise.</w:t>
      </w:r>
    </w:p>
    <w:p>
      <w:pPr>
        <w:spacing w:after="0" w:line="175" w:lineRule="exact"/>
        <w:rPr>
          <w:sz w:val="20"/>
          <w:szCs w:val="20"/>
          <w:color w:val="auto"/>
        </w:rPr>
      </w:pPr>
    </w:p>
    <w:p>
      <w:pPr>
        <w:jc w:val="both"/>
        <w:ind w:left="200" w:right="380" w:firstLine="441"/>
        <w:spacing w:after="0" w:line="253" w:lineRule="auto"/>
        <w:rPr>
          <w:sz w:val="20"/>
          <w:szCs w:val="20"/>
          <w:color w:val="auto"/>
        </w:rPr>
      </w:pPr>
      <w:r>
        <w:rPr>
          <w:rFonts w:ascii="Arial" w:cs="Arial" w:eastAsia="Arial" w:hAnsi="Arial"/>
          <w:sz w:val="18"/>
          <w:szCs w:val="18"/>
          <w:b w:val="1"/>
          <w:bCs w:val="1"/>
          <w:color w:val="auto"/>
        </w:rPr>
        <w:t xml:space="preserve">2.18 Environmental Matters. </w:t>
      </w:r>
      <w:r>
        <w:rPr>
          <w:rFonts w:ascii="Arial" w:cs="Arial" w:eastAsia="Arial" w:hAnsi="Arial"/>
          <w:sz w:val="18"/>
          <w:szCs w:val="18"/>
          <w:color w:val="auto"/>
        </w:rPr>
        <w:t>Since January 1, 2016, the Company has complied with all applicable Environmental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includes the possession by the Company of all permits and other Governmental Authorizations required under applicable Environmental Laws and compliance with the terms and conditions thereof, except for any failure to be in compliance that,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20"/>
          </w:cols>
          <w:pgMar w:left="240" w:top="460"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individually or in the aggregate, would not result in a Company Material Adverse Effect. The Company has not received since January 1, 2016,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since January 1, 2016,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w:t>
      </w:r>
    </w:p>
    <w:p>
      <w:pPr>
        <w:spacing w:after="0" w:line="185"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b w:val="1"/>
          <w:bCs w:val="1"/>
          <w:color w:val="auto"/>
        </w:rPr>
        <w:t>2.19 Insurance</w:t>
      </w:r>
      <w:r>
        <w:rPr>
          <w:rFonts w:ascii="Arial" w:cs="Arial" w:eastAsia="Arial" w:hAnsi="Arial"/>
          <w:sz w:val="18"/>
          <w:szCs w:val="18"/>
          <w:color w:val="auto"/>
        </w:rPr>
        <w:t>. The Company has delivered to Milan accurate and complete copies of all material insurance policies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self-insurance programs and arrangements relating to the business, assets, liabilities and operations of the Company. Each of such insurance policies is in full force and effect and the Company is in compliance in all material respects with the terms thereof. Except as set forth on Section 2.19 of the Company Disclosure Schedule, since January 1, 2016, the Company has not made any claim under any such insurance policy. Other than customary end of policy notifications from insurance carriers, since January 1, 2016,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81" w:lineRule="exact"/>
        <w:rPr>
          <w:sz w:val="20"/>
          <w:szCs w:val="20"/>
          <w:color w:val="auto"/>
        </w:rPr>
      </w:pPr>
    </w:p>
    <w:p>
      <w:pPr>
        <w:jc w:val="both"/>
        <w:ind w:left="200" w:right="620" w:firstLine="441"/>
        <w:spacing w:after="0" w:line="247" w:lineRule="auto"/>
        <w:rPr>
          <w:sz w:val="20"/>
          <w:szCs w:val="20"/>
          <w:color w:val="auto"/>
        </w:rPr>
      </w:pPr>
      <w:r>
        <w:rPr>
          <w:rFonts w:ascii="Arial" w:cs="Arial" w:eastAsia="Arial" w:hAnsi="Arial"/>
          <w:sz w:val="18"/>
          <w:szCs w:val="18"/>
          <w:b w:val="1"/>
          <w:bCs w:val="1"/>
          <w:color w:val="auto"/>
        </w:rPr>
        <w:t>2.20 No Financial Advisors</w:t>
      </w:r>
      <w:r>
        <w:rPr>
          <w:rFonts w:ascii="Arial" w:cs="Arial" w:eastAsia="Arial" w:hAnsi="Arial"/>
          <w:sz w:val="18"/>
          <w:szCs w:val="18"/>
          <w:color w:val="auto"/>
        </w:rPr>
        <w:t>. Except as set forth on Section 2.20 of the Company Disclosure Schedule, no broker, finder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banker is entitled to any brokerage fee, finder’s fee, opinion fee, success fee, transaction fee, service fee or other fee, commission or expense in connection with the Contemplated Transactions based upon arrangements made by or on behalf of the Company.</w:t>
      </w:r>
    </w:p>
    <w:p>
      <w:pPr>
        <w:spacing w:after="0" w:line="174" w:lineRule="exact"/>
        <w:rPr>
          <w:sz w:val="20"/>
          <w:szCs w:val="20"/>
          <w:color w:val="auto"/>
        </w:rPr>
      </w:pPr>
    </w:p>
    <w:p>
      <w:pPr>
        <w:ind w:left="200" w:right="300" w:firstLine="441"/>
        <w:spacing w:after="0" w:line="266" w:lineRule="auto"/>
        <w:rPr>
          <w:sz w:val="20"/>
          <w:szCs w:val="20"/>
          <w:color w:val="auto"/>
        </w:rPr>
      </w:pPr>
      <w:r>
        <w:rPr>
          <w:rFonts w:ascii="Arial" w:cs="Arial" w:eastAsia="Arial" w:hAnsi="Arial"/>
          <w:sz w:val="17"/>
          <w:szCs w:val="17"/>
          <w:b w:val="1"/>
          <w:bCs w:val="1"/>
          <w:color w:val="auto"/>
        </w:rPr>
        <w:t>2.21 Related Party Transactions</w:t>
      </w:r>
      <w:r>
        <w:rPr>
          <w:rFonts w:ascii="Arial" w:cs="Arial" w:eastAsia="Arial" w:hAnsi="Arial"/>
          <w:sz w:val="17"/>
          <w:szCs w:val="17"/>
          <w:color w:val="auto"/>
        </w:rPr>
        <w:t>. Except as set forth in the Company SEC Documents filed prior to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since the date of the Company’s last proxy statement filed in 2018 with the SEC, no event has occurred that would be required to be reported by the Company pursuant to Item 404 of Regulation S-K promulgated by the SEC. Section 2.21 of the Company Disclosure Schedule identifies each Person who is (or who may be deemed to be) an Affiliate of the Company as of the date of this Agreement.</w:t>
      </w:r>
    </w:p>
    <w:p>
      <w:pPr>
        <w:spacing w:after="0" w:line="160" w:lineRule="exact"/>
        <w:rPr>
          <w:sz w:val="20"/>
          <w:szCs w:val="20"/>
          <w:color w:val="auto"/>
        </w:rPr>
      </w:pPr>
    </w:p>
    <w:p>
      <w:pPr>
        <w:ind w:left="200" w:right="60" w:firstLine="441"/>
        <w:spacing w:after="0" w:line="241" w:lineRule="auto"/>
        <w:rPr>
          <w:sz w:val="20"/>
          <w:szCs w:val="20"/>
          <w:color w:val="auto"/>
        </w:rPr>
      </w:pPr>
      <w:r>
        <w:rPr>
          <w:rFonts w:ascii="Arial" w:cs="Arial" w:eastAsia="Arial" w:hAnsi="Arial"/>
          <w:sz w:val="18"/>
          <w:szCs w:val="18"/>
          <w:b w:val="1"/>
          <w:bCs w:val="1"/>
          <w:color w:val="auto"/>
        </w:rPr>
        <w:t>2.22 No Other Representations or Warranties</w:t>
      </w:r>
      <w:r>
        <w:rPr>
          <w:rFonts w:ascii="Arial" w:cs="Arial" w:eastAsia="Arial" w:hAnsi="Arial"/>
          <w:sz w:val="18"/>
          <w:szCs w:val="18"/>
          <w:color w:val="auto"/>
        </w:rPr>
        <w:t>. The Company hereby acknowledges and agrees that,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representations and warranties contained in this Agreement, neither Milan nor any other person on behalf of Milan makes any express or implied representation or warranty with respect to Milan or with respect to any other information provided to the Company, any of its stockholders or any of their respective Affiliates in connection with the transactions contemplated hereby, and (subject to the express representations and warranties of Milan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Milan Disclosure Schedule)) none of the Company or any of its Representatives or stockholders, has relied on any such information (including the accuracy or completeness thereof).</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40"/>
          </w:cols>
          <w:pgMar w:left="240" w:top="459" w:right="51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3.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ILAN AND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w:t>
      </w:r>
    </w:p>
    <w:p>
      <w:pPr>
        <w:spacing w:after="0" w:line="104"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the written disclosure schedule delivered by Milan to the Company (the “</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Milan and Merger Sub represent and warrant on a joint and several basis to the Company as follows: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 Due Organization; Subsidiaries.</w:t>
      </w:r>
    </w:p>
    <w:p>
      <w:pPr>
        <w:spacing w:after="0" w:line="126" w:lineRule="exact"/>
        <w:rPr>
          <w:sz w:val="20"/>
          <w:szCs w:val="20"/>
          <w:color w:val="auto"/>
        </w:rPr>
      </w:pPr>
    </w:p>
    <w:p>
      <w:pPr>
        <w:ind w:left="200" w:right="220" w:firstLine="885"/>
        <w:spacing w:after="0" w:line="237" w:lineRule="auto"/>
        <w:tabs>
          <w:tab w:leader="none" w:pos="135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of Milan and its Subsidiaries is a corporation or other legal entity duly incorporated or otherwise organized, validly existing and, to the extent applicable in such jurisdiction,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their respective incorporation, neither HoldCo nor Merger Sub have engaged in any activities other than in connection with or as contemplated by this Agreement.</w:t>
      </w:r>
    </w:p>
    <w:p>
      <w:pPr>
        <w:spacing w:after="0" w:line="95" w:lineRule="exact"/>
        <w:rPr>
          <w:rFonts w:ascii="Arial" w:cs="Arial" w:eastAsia="Arial" w:hAnsi="Arial"/>
          <w:sz w:val="18"/>
          <w:szCs w:val="18"/>
          <w:color w:val="auto"/>
        </w:rPr>
      </w:pPr>
    </w:p>
    <w:p>
      <w:pPr>
        <w:ind w:left="200" w:right="260" w:firstLine="885"/>
        <w:spacing w:after="0" w:line="239" w:lineRule="auto"/>
        <w:tabs>
          <w:tab w:leader="none" w:pos="135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such concept or a similar concept exists in the relevant jurisdiction, each of Milan and its Subsidiaries are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Milan Material Adverse Effect.</w:t>
      </w:r>
    </w:p>
    <w:p>
      <w:pPr>
        <w:spacing w:after="0" w:line="93" w:lineRule="exact"/>
        <w:rPr>
          <w:rFonts w:ascii="Arial" w:cs="Arial" w:eastAsia="Arial" w:hAnsi="Arial"/>
          <w:sz w:val="18"/>
          <w:szCs w:val="18"/>
          <w:color w:val="auto"/>
        </w:rPr>
      </w:pPr>
    </w:p>
    <w:p>
      <w:pPr>
        <w:ind w:left="200" w:firstLine="885"/>
        <w:spacing w:after="0" w:line="236" w:lineRule="auto"/>
        <w:tabs>
          <w:tab w:leader="none" w:pos="134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Milan has no Subsidiaries, except for the Entities identified in Section 3.1(c) of the Milan Disclosure Schedule; and neither Milan nor any of the Entities identified in Section 3.1(c) of the Milan Disclosure Schedule owns any capital stock of, or any equity, ownership or profit sharing interest of any nature in, or controls directly or indirectly, any other Entity other than the Entities identified in Section 3.1(c) of the Milan Disclosure Schedule. Milan is not and has not otherwise been, directly or indirectly, a party to, member of or participant in any partnership, joint venture or similar business entity. Neither Milan nor any of its Subsidiaries has agreed or is obligated to make, or is bound by any Contract under which it may become obligated to make, any future investment in or capital contribution to any other Entity. Neither Milan nor any of its Subsidiaries has, at any time, been a general partner of, or has otherwise been liable for any of the debts or other obligations of, any general partnership, limited partnership or other Entity.</w:t>
      </w:r>
    </w:p>
    <w:p>
      <w:pPr>
        <w:spacing w:after="0" w:line="186" w:lineRule="exact"/>
        <w:rPr>
          <w:sz w:val="20"/>
          <w:szCs w:val="20"/>
          <w:color w:val="auto"/>
        </w:rPr>
      </w:pPr>
    </w:p>
    <w:p>
      <w:pPr>
        <w:ind w:left="200" w:right="360" w:firstLine="441"/>
        <w:spacing w:after="0" w:line="253"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Milan has delivered to the Company accurate and complete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Milan and each of its Subsidiaries. Neither Milan nor any of its Subsidiaries is in breach or violation of its Organizational Documents in any material respect.</w:t>
      </w:r>
    </w:p>
    <w:p>
      <w:pPr>
        <w:spacing w:after="0" w:line="169"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 xml:space="preserve">3.3 Authority; Binding Nature of Agreement. </w:t>
      </w:r>
      <w:r>
        <w:rPr>
          <w:rFonts w:ascii="Arial" w:cs="Arial" w:eastAsia="Arial" w:hAnsi="Arial"/>
          <w:sz w:val="18"/>
          <w:szCs w:val="18"/>
          <w:color w:val="auto"/>
        </w:rPr>
        <w:t>Milan and each of its Subsidiaries have all necessary corporate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and to perform its obligations under this Agreement and to consummate the Contemplated Transactions. The Milan Board (at meetings duly called and held) has: (a) determined that the Contemplated Transactions are fair to, advisable and in the best interests of Milan and its shareholders; (b) approved and declared advisable this Agreement and the Contemplated Transactions, including (i) the allotment and issuance by Milan of Milan Ordinary Shares, to be held by or on behalf of the Depositary in accordance with the terms of the Deposit Agreement; (ii) the issuance by the Depositary of Milan Depositary Shares representing such Milan Depositary Shares; and</w:t>
      </w:r>
    </w:p>
    <w:p>
      <w:pPr>
        <w:spacing w:after="0" w:line="1" w:lineRule="exact"/>
        <w:rPr>
          <w:sz w:val="20"/>
          <w:szCs w:val="20"/>
          <w:color w:val="auto"/>
        </w:rPr>
      </w:pPr>
    </w:p>
    <w:p>
      <w:pPr>
        <w:ind w:left="200" w:right="140" w:firstLine="4"/>
        <w:spacing w:after="0" w:line="238" w:lineRule="auto"/>
        <w:tabs>
          <w:tab w:leader="none" w:pos="49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grant of Milan CVRs, each representing the right to receive a contingent payment upon the achievement of certain milestones set forth in, and subject to and in accordance with the terms and conditions of the CVR Agreement,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00"/>
          </w:cols>
          <w:pgMar w:left="24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8" w:lineRule="auto"/>
        <w:rPr>
          <w:sz w:val="20"/>
          <w:szCs w:val="20"/>
          <w:color w:val="auto"/>
        </w:rPr>
      </w:pPr>
      <w:r>
        <w:rPr>
          <w:rFonts w:ascii="Arial" w:cs="Arial" w:eastAsia="Arial" w:hAnsi="Arial"/>
          <w:sz w:val="17"/>
          <w:szCs w:val="17"/>
          <w:color w:val="auto"/>
        </w:rPr>
        <w:t>Contemplated Transactions; and (z) determined to recommend, upon the terms and subject to the conditions set forth in this Agreement, that the stockholder of Merger Sub vote to adopt this Agreement and thereby approve the Contemplated Transactions. The HoldCo Board (by unanimous written consent) has: (x) determined that the Contemplated Transactions are fair to, advisable, and in the best interests of HoldCo and its sole stockholder; (y) deemed advisable and approved this Agreement and the Contemplated Transactions; and</w:t>
      </w:r>
    </w:p>
    <w:p>
      <w:pPr>
        <w:spacing w:after="0" w:line="2" w:lineRule="exact"/>
        <w:rPr>
          <w:sz w:val="20"/>
          <w:szCs w:val="20"/>
          <w:color w:val="auto"/>
        </w:rPr>
      </w:pPr>
    </w:p>
    <w:p>
      <w:pPr>
        <w:ind w:left="200" w:firstLine="4"/>
        <w:spacing w:after="0" w:line="236"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 This Agreement has been duly executed and delivered by Milan, HoldCo and Merger Sub and, assuming the due authorization, execution and delivery by the Company, constitutes the legal, valid and binding obligation of Milan, HoldCo and Merger Sub, enforceable against each of Milan, HoldCo and Merger Sub in accordance with its terms, subject to the Enforceability Exceptions. Prior to the execution of the Milan Shareholder Support Agreements, the Milan Board approved the Milan Shareholder Support Agreements and the transactions contemplated thereby.</w:t>
      </w:r>
    </w:p>
    <w:p>
      <w:pPr>
        <w:spacing w:after="0" w:line="186" w:lineRule="exact"/>
        <w:rPr>
          <w:sz w:val="20"/>
          <w:szCs w:val="20"/>
          <w:color w:val="auto"/>
        </w:rPr>
      </w:pPr>
    </w:p>
    <w:p>
      <w:pPr>
        <w:jc w:val="both"/>
        <w:ind w:left="200" w:right="80" w:firstLine="441"/>
        <w:spacing w:after="0" w:line="253" w:lineRule="auto"/>
        <w:rPr>
          <w:sz w:val="20"/>
          <w:szCs w:val="20"/>
          <w:color w:val="auto"/>
        </w:rPr>
      </w:pPr>
      <w:r>
        <w:rPr>
          <w:rFonts w:ascii="Arial" w:cs="Arial" w:eastAsia="Arial" w:hAnsi="Arial"/>
          <w:sz w:val="18"/>
          <w:szCs w:val="18"/>
          <w:b w:val="1"/>
          <w:bCs w:val="1"/>
          <w:color w:val="auto"/>
        </w:rPr>
        <w:t xml:space="preserve">3.4 Shareholder Vote. </w:t>
      </w:r>
      <w:r>
        <w:rPr>
          <w:rFonts w:ascii="Arial" w:cs="Arial" w:eastAsia="Arial" w:hAnsi="Arial"/>
          <w:sz w:val="18"/>
          <w:szCs w:val="18"/>
          <w:color w:val="auto"/>
        </w:rPr>
        <w:t>The affirmative vote of the holders of at least 75% or a majority, as applicable, of the Milan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and voting thereon is the only vote of the holders of any class or series of Milan’s share capital that would be necessary to approve the Milan Shareholder Matters (the “</w:t>
      </w:r>
      <w:r>
        <w:rPr>
          <w:rFonts w:ascii="Arial" w:cs="Arial" w:eastAsia="Arial" w:hAnsi="Arial"/>
          <w:sz w:val="18"/>
          <w:szCs w:val="18"/>
          <w:b w:val="1"/>
          <w:bCs w:val="1"/>
          <w:i w:val="1"/>
          <w:iCs w:val="1"/>
          <w:color w:val="auto"/>
        </w:rPr>
        <w:t>Required Milan Shareholder Vote</w:t>
      </w:r>
      <w:r>
        <w:rPr>
          <w:rFonts w:ascii="Arial" w:cs="Arial" w:eastAsia="Arial" w:hAnsi="Arial"/>
          <w:sz w:val="18"/>
          <w:szCs w:val="18"/>
          <w:color w:val="auto"/>
        </w:rPr>
        <w: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3.5 Non-Contravention; Consents.</w:t>
      </w:r>
    </w:p>
    <w:p>
      <w:pPr>
        <w:spacing w:after="0" w:line="126" w:lineRule="exact"/>
        <w:rPr>
          <w:sz w:val="20"/>
          <w:szCs w:val="20"/>
          <w:color w:val="auto"/>
        </w:rPr>
      </w:pPr>
    </w:p>
    <w:p>
      <w:pPr>
        <w:ind w:left="200" w:right="160" w:firstLine="885"/>
        <w:spacing w:after="0"/>
        <w:tabs>
          <w:tab w:leader="none" w:pos="135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Subject to obtaining the Required Milan Shareholder Vote and the filing of the Certificate of Merger required by the DGCL, neither (x) the execution, delivery or performance of this Agreement by Milan, HoldCo or Merger Sub, nor (y) the consummation of the Contemplated Transactions, will directly or indirectly (with or without notice or lapse of time):</w:t>
      </w:r>
    </w:p>
    <w:p>
      <w:pPr>
        <w:spacing w:after="0" w:line="94" w:lineRule="exact"/>
        <w:rPr>
          <w:rFonts w:ascii="Arial" w:cs="Arial" w:eastAsia="Arial" w:hAnsi="Arial"/>
          <w:sz w:val="18"/>
          <w:szCs w:val="18"/>
          <w:color w:val="auto"/>
        </w:rPr>
      </w:pPr>
    </w:p>
    <w:p>
      <w:pPr>
        <w:ind w:left="200" w:right="380" w:firstLine="1436"/>
        <w:spacing w:after="0" w:line="246" w:lineRule="auto"/>
        <w:tabs>
          <w:tab w:leader="none" w:pos="184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Milan, HoldCo or Merger Sub;</w:t>
      </w:r>
    </w:p>
    <w:p>
      <w:pPr>
        <w:spacing w:after="0" w:line="88" w:lineRule="exact"/>
        <w:rPr>
          <w:rFonts w:ascii="Arial" w:cs="Arial" w:eastAsia="Arial" w:hAnsi="Arial"/>
          <w:sz w:val="18"/>
          <w:szCs w:val="18"/>
          <w:color w:val="auto"/>
        </w:rPr>
      </w:pPr>
    </w:p>
    <w:p>
      <w:pPr>
        <w:ind w:left="200" w:right="240" w:firstLine="1436"/>
        <w:spacing w:after="0"/>
        <w:tabs>
          <w:tab w:leader="none" w:pos="188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Milan or its Subsidiaries or any of the assets owned or used by Milan or its Subsidiaries, is subject;</w:t>
      </w:r>
    </w:p>
    <w:p>
      <w:pPr>
        <w:spacing w:after="0" w:line="94" w:lineRule="exact"/>
        <w:rPr>
          <w:rFonts w:ascii="Arial" w:cs="Arial" w:eastAsia="Arial" w:hAnsi="Arial"/>
          <w:sz w:val="18"/>
          <w:szCs w:val="18"/>
          <w:color w:val="auto"/>
        </w:rPr>
      </w:pPr>
    </w:p>
    <w:p>
      <w:pPr>
        <w:ind w:left="200" w:right="200" w:firstLine="1436"/>
        <w:spacing w:after="0" w:line="239" w:lineRule="auto"/>
        <w:tabs>
          <w:tab w:leader="none" w:pos="192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Milan or its Subsidiaries or that otherwise relates to the business of Milan or its Subsidiaries, or any of the assets owned, leased or used by Milan or its Subsidiaries;</w:t>
      </w:r>
    </w:p>
    <w:p>
      <w:pPr>
        <w:spacing w:after="0" w:line="93" w:lineRule="exact"/>
        <w:rPr>
          <w:rFonts w:ascii="Arial" w:cs="Arial" w:eastAsia="Arial" w:hAnsi="Arial"/>
          <w:sz w:val="18"/>
          <w:szCs w:val="18"/>
          <w:color w:val="auto"/>
        </w:rPr>
      </w:pPr>
    </w:p>
    <w:p>
      <w:pPr>
        <w:ind w:left="200" w:right="60" w:firstLine="1436"/>
        <w:spacing w:after="0" w:line="238" w:lineRule="auto"/>
        <w:tabs>
          <w:tab w:leader="none" w:pos="193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Milan Material Contract, or give any Person the right to: (A) declare a default or exercise any remedy under any Milan Material Contract; (B) any material payment, rebate, chargeback, penalty or change in delivery schedule under any such Milan Material Contract; (C) accelerate the maturity or performance of any Milan Material Contract; or (D) cancel, terminate or modify any term of any Milan Material Contract, except in the case of any non-material breach, default, penalty or modification; or</w:t>
      </w:r>
    </w:p>
    <w:p>
      <w:pPr>
        <w:spacing w:after="0" w:line="94" w:lineRule="exact"/>
        <w:rPr>
          <w:rFonts w:ascii="Arial" w:cs="Arial" w:eastAsia="Arial" w:hAnsi="Arial"/>
          <w:sz w:val="18"/>
          <w:szCs w:val="18"/>
          <w:color w:val="auto"/>
        </w:rPr>
      </w:pPr>
    </w:p>
    <w:p>
      <w:pPr>
        <w:ind w:left="200" w:right="60" w:firstLine="1436"/>
        <w:spacing w:after="0" w:line="246" w:lineRule="auto"/>
        <w:tabs>
          <w:tab w:leader="none" w:pos="189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Milan or its Subsidiaries (except for Permitted Encumbrances).</w:t>
      </w:r>
    </w:p>
    <w:p>
      <w:pPr>
        <w:spacing w:after="0" w:line="88" w:lineRule="exact"/>
        <w:rPr>
          <w:rFonts w:ascii="Arial" w:cs="Arial" w:eastAsia="Arial" w:hAnsi="Arial"/>
          <w:sz w:val="18"/>
          <w:szCs w:val="18"/>
          <w:color w:val="auto"/>
        </w:rPr>
      </w:pPr>
    </w:p>
    <w:p>
      <w:pPr>
        <w:ind w:left="200" w:right="540" w:firstLine="885"/>
        <w:spacing w:after="0" w:line="246" w:lineRule="auto"/>
        <w:tabs>
          <w:tab w:leader="none" w:pos="135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Except for (i) any Consent set forth on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Milan Disclosure Schedule under any Milan Contract, (ii) the Required Milan Shareholder Vote, (iii) the filing of the Certificate of Merger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00"/>
          </w:cols>
          <w:pgMar w:left="240" w:top="459" w:right="45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with the Secretary of State of the State of Delaware pursuant to the DGCL and appropriate corresponding documents with the appropriate authorities of other states in which Milan is qualified as a foreign corporation to transact business, (iv) such consents, waivers, approvals, orders, authorizations, registrations, declarations, announcements and filings as may be required under applicable securities laws and regulations (including the AIM Rules and the requirements of the London Stock Exchange) or in connection with the performance of the Company’s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(v) the admission of the Milan Ordinary Shares underlying the Milan Depositary Shares to trading on AIM, Milan was not, is not, and will not be required to make any filing with or give any notice to, or to obtain any Consent from, any Person in connection with (x) the execution, delivery or performance of this Agreement, or (y) the consummation of the Contemplated Transactions.</w:t>
      </w:r>
    </w:p>
    <w:p>
      <w:pPr>
        <w:spacing w:after="0" w:line="100" w:lineRule="exact"/>
        <w:rPr>
          <w:sz w:val="20"/>
          <w:szCs w:val="20"/>
          <w:color w:val="auto"/>
        </w:rPr>
      </w:pPr>
    </w:p>
    <w:p>
      <w:pPr>
        <w:ind w:left="200" w:right="300" w:firstLine="885"/>
        <w:spacing w:after="0" w:line="238" w:lineRule="auto"/>
        <w:tabs>
          <w:tab w:leader="none" w:pos="134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Milan Board and the Merger Sub Board have taken and will take all actions necessary to ensure that the restrictions applicable to business combinations contained in Section 203 of the DGCL are, and will be, inapplicable to the execution, delivery and performance of this Agreement and the Milan Shareholder Support Agreements and to the consummation of the Contemplated Transactions. No other state takeover statute or similar Law applies or purports to apply to the Merger, this Agreement, the Milan Shareholder Support Agreements or any of the Contemplated Transactions.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3.6 Capitalization.</w:t>
      </w:r>
    </w:p>
    <w:p>
      <w:pPr>
        <w:spacing w:after="0" w:line="126" w:lineRule="exact"/>
        <w:rPr>
          <w:sz w:val="20"/>
          <w:szCs w:val="20"/>
          <w:color w:val="auto"/>
        </w:rPr>
      </w:pPr>
    </w:p>
    <w:p>
      <w:pPr>
        <w:ind w:left="200" w:right="700" w:firstLine="885"/>
        <w:spacing w:after="0" w:line="261" w:lineRule="auto"/>
        <w:tabs>
          <w:tab w:leader="none" w:pos="1351"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The issued share capital of Milan consists of 71,240,272 Milan Ordinary Shares, par value £0.003 per share, as of November 30, 2018 (the “</w:t>
      </w:r>
      <w:r>
        <w:rPr>
          <w:rFonts w:ascii="Arial" w:cs="Arial" w:eastAsia="Arial" w:hAnsi="Arial"/>
          <w:sz w:val="17"/>
          <w:szCs w:val="17"/>
          <w:b w:val="1"/>
          <w:bCs w:val="1"/>
          <w:i w:val="1"/>
          <w:iCs w:val="1"/>
          <w:color w:val="auto"/>
        </w:rPr>
        <w:t>Capitalization Date</w:t>
      </w:r>
      <w:r>
        <w:rPr>
          <w:rFonts w:ascii="Arial" w:cs="Arial" w:eastAsia="Arial" w:hAnsi="Arial"/>
          <w:sz w:val="17"/>
          <w:szCs w:val="17"/>
          <w:color w:val="auto"/>
        </w:rPr>
        <w:t>”). The Milan Board is generally and unconditionally authorized to allot an additional 65,166,690 Milan Ordinary Shares as of the Capitalization Date. Milan does not hold any shares of its share capital in its treasury.</w:t>
      </w:r>
    </w:p>
    <w:p>
      <w:pPr>
        <w:spacing w:after="0" w:line="78" w:lineRule="exact"/>
        <w:rPr>
          <w:rFonts w:ascii="Arial" w:cs="Arial" w:eastAsia="Arial" w:hAnsi="Arial"/>
          <w:sz w:val="17"/>
          <w:szCs w:val="17"/>
          <w:color w:val="auto"/>
        </w:rPr>
      </w:pPr>
    </w:p>
    <w:p>
      <w:pPr>
        <w:ind w:left="200" w:firstLine="885"/>
        <w:spacing w:after="0" w:line="236" w:lineRule="auto"/>
        <w:tabs>
          <w:tab w:leader="none" w:pos="135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of the outstanding Milan Ordinary Shares have been duly authorized and validly issued, and are fully paid and are free of any Encumbrances. None of the outstanding Milan Ordinary Shares are entitled or subject to any right of participation, right of maintenance or any similar right other than pre-emption rights in respect of issues of such shares for cash. None of the outstanding Milan Ordinary Shares are subject to any right of first refusal in favor of Milan. Except as contemplated herein, there is no Milan Contract relating to the voting or registration of, or restricting any Person from purchasing, selling, pledging or otherwise disposing of (or granting any option or similar right with respect to), any Milan Ordinary Shares. Milan is not under any obligation, nor is Milan bound by any Contract pursuant to which it may become obligated, to repurchase, redeem or otherwise acquire any outstanding Milan Ordinary Shares or other securities. Section 3.6(b) of the Milan Disclosure Schedule accurately and completely lists all repurchase rights held by Milan with respect to Milan Ordinary Shares (including shares issued pursuant to the exercise of share options) and specifies which of those repurchase rights are currently exercisable.</w:t>
      </w:r>
    </w:p>
    <w:p>
      <w:pPr>
        <w:spacing w:after="0" w:line="98" w:lineRule="exact"/>
        <w:rPr>
          <w:rFonts w:ascii="Arial" w:cs="Arial" w:eastAsia="Arial" w:hAnsi="Arial"/>
          <w:sz w:val="18"/>
          <w:szCs w:val="18"/>
          <w:color w:val="auto"/>
        </w:rPr>
      </w:pPr>
    </w:p>
    <w:p>
      <w:pPr>
        <w:ind w:left="200" w:right="180" w:firstLine="885"/>
        <w:spacing w:after="0" w:line="239" w:lineRule="auto"/>
        <w:tabs>
          <w:tab w:leader="none" w:pos="134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Except as set forth on Section 3.6(b) of the Milan Disclosure Schedule, Milan does not have any share option plan or any other plan, program, agreement or arrangement providing for any equity-based compensation for any Person. As of the date of this Agreement, Milan has granted options over 13,576,144 Milan Ordinary Shares, of which options over 12,179,131 Milan Ordinary Shares remain outstanding.</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Except for the outstanding Milan Options set forth on Section 3.6(c) of the Milan Disclosure Schedule, there is no:</w:t>
      </w:r>
    </w:p>
    <w:p>
      <w:pPr>
        <w:ind w:left="200" w:firstLine="4"/>
        <w:spacing w:after="0" w:line="237" w:lineRule="auto"/>
        <w:tabs>
          <w:tab w:leader="none" w:pos="41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outstanding subscription, option, call, warrant or right (whether or not currently exercisable) to acquire any shares of the share capital or other securities of Milan or any of its Subsidiaries; (ii) outstanding security, instrument or obligation that is or may become convertible into or exchangeable for any shares of the share capital or other securities of Milan or any of its Subsidiaries; (iii) shareholder rights plan (or similar plan commonly referred to as a “poison pill”) or Contract under which Milan or any of its Subsidiaries is or may become obligated to sell or otherwise issue any shares of its share capital or any other securities; or (iv) condition or circumstance that may give rise to or provide a basis for the assertion of a claim by any Person to the effect that such Person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00"/>
          </w:cols>
          <w:pgMar w:left="24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is entitled to acquire or receive any share capital or other securities of Milan or any of its Subsidiaries. There are no outstanding or authorized stock appreciation, phantom stock, profit participation or other similar rights with respect to Milan or any of its Subsidiaries.</w:t>
      </w:r>
    </w:p>
    <w:p>
      <w:pPr>
        <w:spacing w:after="0" w:line="89" w:lineRule="exact"/>
        <w:rPr>
          <w:sz w:val="20"/>
          <w:szCs w:val="20"/>
          <w:color w:val="auto"/>
        </w:rPr>
      </w:pPr>
    </w:p>
    <w:p>
      <w:pPr>
        <w:ind w:left="200" w:right="420" w:firstLine="885"/>
        <w:spacing w:after="0"/>
        <w:tabs>
          <w:tab w:leader="none" w:pos="135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outstanding Milan Ordinary Shares, Milan Options, Milan RSUs and other securities of Milan have been issued and granted in compliance with (i) all applicable securities laws and other applicable Law, and (ii) all requirements set forth in applicable Contracts.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3.7 Regulatory Filings; Financial Statements.</w:t>
      </w:r>
    </w:p>
    <w:p>
      <w:pPr>
        <w:spacing w:after="0" w:line="126" w:lineRule="exact"/>
        <w:rPr>
          <w:sz w:val="20"/>
          <w:szCs w:val="20"/>
          <w:color w:val="auto"/>
        </w:rPr>
      </w:pPr>
    </w:p>
    <w:p>
      <w:pPr>
        <w:ind w:left="200" w:right="20" w:firstLine="885"/>
        <w:spacing w:after="0" w:line="234" w:lineRule="auto"/>
        <w:tabs>
          <w:tab w:leader="none" w:pos="135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Milan has filed or furnished, as applicable, on a timely basis all forms, statements, announcements, reports and documents required to be filed or furnished by it with the AIM team of the London Stock Exchange and any Regulatory Information Service (“</w:t>
      </w:r>
      <w:r>
        <w:rPr>
          <w:rFonts w:ascii="Arial" w:cs="Arial" w:eastAsia="Arial" w:hAnsi="Arial"/>
          <w:sz w:val="18"/>
          <w:szCs w:val="18"/>
          <w:b w:val="1"/>
          <w:bCs w:val="1"/>
          <w:color w:val="auto"/>
        </w:rPr>
        <w:t>RIS</w:t>
      </w:r>
      <w:r>
        <w:rPr>
          <w:rFonts w:ascii="Arial" w:cs="Arial" w:eastAsia="Arial" w:hAnsi="Arial"/>
          <w:sz w:val="18"/>
          <w:szCs w:val="18"/>
          <w:color w:val="auto"/>
        </w:rPr>
        <w:t>”) under applicable Law since June 9, 2016 (the “</w:t>
      </w:r>
      <w:r>
        <w:rPr>
          <w:rFonts w:ascii="Arial" w:cs="Arial" w:eastAsia="Arial" w:hAnsi="Arial"/>
          <w:sz w:val="18"/>
          <w:szCs w:val="18"/>
          <w:b w:val="1"/>
          <w:bCs w:val="1"/>
          <w:i w:val="1"/>
          <w:iCs w:val="1"/>
          <w:color w:val="auto"/>
        </w:rPr>
        <w:t>Milan Regulatory Documents</w:t>
      </w:r>
      <w:r>
        <w:rPr>
          <w:rFonts w:ascii="Arial" w:cs="Arial" w:eastAsia="Arial" w:hAnsi="Arial"/>
          <w:sz w:val="18"/>
          <w:szCs w:val="18"/>
          <w:color w:val="auto"/>
        </w:rPr>
        <w:t>”). As of its filing date (or, if amended or superseded by a filing prior to the date of this Agreement, then on the date of such filing), each of the Milan Regulatory Documents complied in all respects with the applicable requirements of the AIM Rules, the UK Companies Act 2006, the EU Market Abuse Regulation (Regulation EU</w:t>
      </w:r>
    </w:p>
    <w:p>
      <w:pPr>
        <w:spacing w:after="0" w:line="3" w:lineRule="exact"/>
        <w:rPr>
          <w:rFonts w:ascii="Arial" w:cs="Arial" w:eastAsia="Arial" w:hAnsi="Arial"/>
          <w:sz w:val="18"/>
          <w:szCs w:val="18"/>
          <w:color w:val="auto"/>
        </w:rPr>
      </w:pPr>
    </w:p>
    <w:p>
      <w:pPr>
        <w:ind w:left="200" w:right="120"/>
        <w:spacing w:after="0" w:line="237" w:lineRule="auto"/>
        <w:rPr>
          <w:rFonts w:ascii="Arial" w:cs="Arial" w:eastAsia="Arial" w:hAnsi="Arial"/>
          <w:sz w:val="18"/>
          <w:szCs w:val="18"/>
          <w:color w:val="auto"/>
        </w:rPr>
      </w:pPr>
      <w:r>
        <w:rPr>
          <w:rFonts w:ascii="Arial" w:cs="Arial" w:eastAsia="Arial" w:hAnsi="Arial"/>
          <w:sz w:val="18"/>
          <w:szCs w:val="18"/>
          <w:color w:val="auto"/>
        </w:rPr>
        <w:t>No. 596/2014) (“</w:t>
      </w:r>
      <w:r>
        <w:rPr>
          <w:rFonts w:ascii="Arial" w:cs="Arial" w:eastAsia="Arial" w:hAnsi="Arial"/>
          <w:sz w:val="18"/>
          <w:szCs w:val="18"/>
          <w:b w:val="1"/>
          <w:bCs w:val="1"/>
          <w:i w:val="1"/>
          <w:iCs w:val="1"/>
          <w:color w:val="auto"/>
        </w:rPr>
        <w:t>MAR</w:t>
      </w:r>
      <w:r>
        <w:rPr>
          <w:rFonts w:ascii="Arial" w:cs="Arial" w:eastAsia="Arial" w:hAnsi="Arial"/>
          <w:sz w:val="18"/>
          <w:szCs w:val="18"/>
          <w:color w:val="auto"/>
        </w:rPr>
        <w:t xml:space="preserve">”) and the UK Disclosure, Guidance and Transparency Rules and, to Milan’s Knowledge, as of the time they were filed, none of the Milan Regulatory Documents contained any untrue statement of a material fact or omitted to state a material fact required to be stated therein or necessary in order to make the statements therein, in light of the circumstances under which they were made, not misleading. As used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the term “file” and variations thereof shall be broadly construed to include any manner in which a document or information is furnished, supplied or otherwise made available to AIM, a RIS or otherwise in accordance with the AIM Rules.</w:t>
      </w:r>
    </w:p>
    <w:p>
      <w:pPr>
        <w:spacing w:after="0" w:line="92" w:lineRule="exact"/>
        <w:rPr>
          <w:rFonts w:ascii="Arial" w:cs="Arial" w:eastAsia="Arial" w:hAnsi="Arial"/>
          <w:sz w:val="18"/>
          <w:szCs w:val="18"/>
          <w:color w:val="auto"/>
        </w:rPr>
      </w:pPr>
    </w:p>
    <w:p>
      <w:pPr>
        <w:ind w:left="1360" w:hanging="275"/>
        <w:spacing w:after="0"/>
        <w:tabs>
          <w:tab w:leader="none" w:pos="13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or incorporated by reference in the Milan Regulatory</w:t>
      </w:r>
    </w:p>
    <w:p>
      <w:pPr>
        <w:ind w:left="200"/>
        <w:spacing w:after="0" w:line="237" w:lineRule="auto"/>
        <w:rPr>
          <w:rFonts w:ascii="Arial" w:cs="Arial" w:eastAsia="Arial" w:hAnsi="Arial"/>
          <w:sz w:val="18"/>
          <w:szCs w:val="18"/>
          <w:color w:val="auto"/>
        </w:rPr>
      </w:pPr>
      <w:r>
        <w:rPr>
          <w:rFonts w:ascii="Arial" w:cs="Arial" w:eastAsia="Arial" w:hAnsi="Arial"/>
          <w:sz w:val="18"/>
          <w:szCs w:val="18"/>
          <w:color w:val="auto"/>
        </w:rPr>
        <w:t>Documents: (i) have been prepared in accordance with IFRS, applied on a consistent basis unless otherwise noted therein throughout the periods indicated; and (ii) give a true and fair view, in all material respects, of the financial position of Milan as of the respective dates thereof and the results of operations and cash flows of Milan for the periods covered thereby. Since June 9, 2016, other than as expressly disclosed in the Milan Regulatory Documents filed prior to the date hereof, there has been no material change in Milan’s accounting methods or principles that would be required to be disclosed in Milan’s financial statements in accordance with IFRS. The statutory books and books of account required by applicable Law to be maintained by Milan and each of its Subsidiaries are true and complete in all material respects.</w:t>
      </w:r>
    </w:p>
    <w:p>
      <w:pPr>
        <w:spacing w:after="0" w:line="95" w:lineRule="exact"/>
        <w:rPr>
          <w:rFonts w:ascii="Arial" w:cs="Arial" w:eastAsia="Arial" w:hAnsi="Arial"/>
          <w:sz w:val="18"/>
          <w:szCs w:val="18"/>
          <w:color w:val="auto"/>
        </w:rPr>
      </w:pPr>
    </w:p>
    <w:p>
      <w:pPr>
        <w:ind w:left="200" w:right="60" w:firstLine="885"/>
        <w:spacing w:after="0" w:line="246" w:lineRule="auto"/>
        <w:tabs>
          <w:tab w:leader="none" w:pos="134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Milan’s auditor has at all times since June 9, 2016 been an independent auditor with respect to Milan within the meaning of the guidelines on independence issued by the Institute of Chartered Accountants in England and Wales.</w:t>
      </w:r>
    </w:p>
    <w:p>
      <w:pPr>
        <w:spacing w:after="0" w:line="88" w:lineRule="exact"/>
        <w:rPr>
          <w:rFonts w:ascii="Arial" w:cs="Arial" w:eastAsia="Arial" w:hAnsi="Arial"/>
          <w:sz w:val="18"/>
          <w:szCs w:val="18"/>
          <w:color w:val="auto"/>
        </w:rPr>
      </w:pPr>
    </w:p>
    <w:p>
      <w:pPr>
        <w:ind w:left="200" w:right="220" w:firstLine="885"/>
        <w:spacing w:after="0" w:line="239" w:lineRule="auto"/>
        <w:tabs>
          <w:tab w:leader="none" w:pos="135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Since June 9, 2016, there have been no formal internal investigations regarding financial reporting or accounting policies and practices discussed with, reviewed by or initiated at the direction of the chief executive officer, chief financial officer, or general counsel of Milan, the Milan Board or any committee thereof, other than ordinary course audits or reviews of accounting policies and practices or internal controls required or permitted by applicable Law or IFRS.</w:t>
      </w:r>
    </w:p>
    <w:p>
      <w:pPr>
        <w:spacing w:after="0" w:line="93" w:lineRule="exact"/>
        <w:rPr>
          <w:rFonts w:ascii="Arial" w:cs="Arial" w:eastAsia="Arial" w:hAnsi="Arial"/>
          <w:sz w:val="18"/>
          <w:szCs w:val="18"/>
          <w:color w:val="auto"/>
        </w:rPr>
      </w:pPr>
    </w:p>
    <w:p>
      <w:pPr>
        <w:ind w:left="1360" w:hanging="275"/>
        <w:spacing w:after="0"/>
        <w:tabs>
          <w:tab w:leader="none" w:pos="13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Milan is in compliance with the AIM Rules.</w:t>
      </w:r>
    </w:p>
    <w:p>
      <w:pPr>
        <w:spacing w:after="0" w:line="103" w:lineRule="exact"/>
        <w:rPr>
          <w:rFonts w:ascii="Arial" w:cs="Arial" w:eastAsia="Arial" w:hAnsi="Arial"/>
          <w:sz w:val="18"/>
          <w:szCs w:val="18"/>
          <w:color w:val="auto"/>
        </w:rPr>
      </w:pPr>
    </w:p>
    <w:p>
      <w:pPr>
        <w:ind w:left="200" w:right="240" w:firstLine="885"/>
        <w:spacing w:after="0" w:line="237" w:lineRule="auto"/>
        <w:tabs>
          <w:tab w:leader="none" w:pos="130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Milan maintains a system of internal control over financial reporting that is sufficient to provide reasonable assurance regarding the reliability of financial reporting and the preparation of financial statements for external purposes in accordance with IFRS, including policies and procedures sufficient to provide reasonable assurance (i) that Milan maintains records that in reasonable detail accurately and fairly reflect Milan’s transactions and dispositions of assets, (ii) that transactions are recorded as necessary to permit preparation of financial statements in accordance with IFRS, (iii) that receipts and expenditures are made only in accordance with authorizations of management and the</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60"/>
          </w:cols>
          <w:pgMar w:left="240" w:top="459" w:right="49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Milan Board, and (iv) regarding prevention or timely detection of the unauthorized acquisition, use or disposition of Milan’s assets that could have a material effect on Milan’s financial statements. Milan has disclosed to Milan’s auditors and the Audit Committee of the Milan Board (and made available to the Company a summary of the significant aspects of such disclosure) (A) all significant deficiencies and material weaknesses in the design or operation of internal control over financial reporting that are reasonably likely to adversely affect Milan’s ability to record, process, summarize and report financial information and (B) any fraud, whether or not material, that involves management or other employees who have a significant role in Milan’s or its Subsidiaries’ internal control over financial reporting. Except as disclosed in the Milan Regulatory Documents filed prior to the date hereof, Milan has not identified any material weaknesses in the design or operation of Milan’s internal control over financial reporting.</w:t>
      </w:r>
    </w:p>
    <w:p>
      <w:pPr>
        <w:spacing w:after="0" w:line="100" w:lineRule="exact"/>
        <w:rPr>
          <w:sz w:val="20"/>
          <w:szCs w:val="20"/>
          <w:color w:val="auto"/>
        </w:rPr>
      </w:pPr>
    </w:p>
    <w:p>
      <w:pPr>
        <w:ind w:left="200" w:right="20" w:firstLine="885"/>
        <w:spacing w:after="0" w:line="238" w:lineRule="auto"/>
        <w:tabs>
          <w:tab w:leader="none" w:pos="135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Milan maintains processes reasonably designed to ensure that all information (both financial and non-financial) required to be disclosed by Milan in the Milan Regulatory Documents is recorded, processed, summarized and reported within the time periods specified in the AIM Rules, UK Companies Act 2006, MAR or UK Disclosure, Guidance and Transparency Rules, as applicable, and that all such information is accumulated and communicated to Milan’s management as appropriate to allow timely decisions regarding required disclosure.</w:t>
      </w:r>
    </w:p>
    <w:p>
      <w:pPr>
        <w:spacing w:after="0" w:line="181"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color w:val="auto"/>
        </w:rPr>
        <w:t xml:space="preserve">3.8 Absence of Changes. </w:t>
      </w:r>
      <w:r>
        <w:rPr>
          <w:rFonts w:ascii="Arial" w:cs="Arial" w:eastAsia="Arial" w:hAnsi="Arial"/>
          <w:sz w:val="18"/>
          <w:szCs w:val="18"/>
          <w:color w:val="auto"/>
        </w:rPr>
        <w:t>Except as set forth on Section 3.8 of the Milan Disclosure Schedule, between June 30, 2018 and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Milan has conducted its business only in the Ordinary Course of Business (except for the execution and performance of this Agreement and the discussions, negotiations and transactions related thereto) and there has not been any (a) Milan Material Adverse Effect or (b) action, event or occurrence that would have required consent of the Company pursuant to Section 4.1(b) of this Agreement had such action, event or occurrence taken place after the execution and delivery of this Agreement.</w:t>
      </w:r>
    </w:p>
    <w:p>
      <w:pPr>
        <w:spacing w:after="0" w:line="177"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b w:val="1"/>
          <w:bCs w:val="1"/>
          <w:color w:val="auto"/>
        </w:rPr>
        <w:t xml:space="preserve">3.9 Absence of Undisclosed Liabilities. </w:t>
      </w:r>
      <w:r>
        <w:rPr>
          <w:rFonts w:ascii="Arial" w:cs="Arial" w:eastAsia="Arial" w:hAnsi="Arial"/>
          <w:sz w:val="18"/>
          <w:szCs w:val="18"/>
          <w:color w:val="auto"/>
        </w:rPr>
        <w:t>Neither Milan nor any of its Subsidiaries has any Liability of a type required to be reflected</w:t>
      </w:r>
      <w:r>
        <w:rPr>
          <w:rFonts w:ascii="Arial" w:cs="Arial" w:eastAsia="Arial" w:hAnsi="Arial"/>
          <w:sz w:val="18"/>
          <w:szCs w:val="18"/>
          <w:b w:val="1"/>
          <w:bCs w:val="1"/>
          <w:color w:val="auto"/>
        </w:rPr>
        <w:t xml:space="preserve"> </w:t>
      </w:r>
      <w:r>
        <w:rPr>
          <w:rFonts w:ascii="Arial" w:cs="Arial" w:eastAsia="Arial" w:hAnsi="Arial"/>
          <w:sz w:val="18"/>
          <w:szCs w:val="18"/>
          <w:color w:val="auto"/>
        </w:rPr>
        <w:t>or reserved for on a balance sheet prepared in accordance with IFRS, except for: (a) Liabilities disclosed, reflected or reserved against in the Milan Unaudited Interim Balance Sheet; (b) normal and recurring current Liabilities that have been incurred by Milan or its Subsidiaries since the date of the Milan Unaudited Interim Balance Sheet in the Ordinary Course of Business (none of which relates to any breach of contract, breach of warranty, tort, infringement, or violation of Law); (c) Liabilities for performance of obligations of Milan or any of its Subsidiaries under Milan Contracts; (d) Liabilities incurred in connection with the Contemplated Transactions; and (e) Liabilities listed in Section 3.9 of the Milan Disclosure Schedule.</w:t>
      </w:r>
    </w:p>
    <w:p>
      <w:pPr>
        <w:spacing w:after="0" w:line="179" w:lineRule="exact"/>
        <w:rPr>
          <w:sz w:val="20"/>
          <w:szCs w:val="20"/>
          <w:color w:val="auto"/>
        </w:rPr>
      </w:pPr>
    </w:p>
    <w:p>
      <w:pPr>
        <w:ind w:left="200" w:right="160" w:firstLine="441"/>
        <w:spacing w:after="0" w:line="242" w:lineRule="auto"/>
        <w:rPr>
          <w:sz w:val="20"/>
          <w:szCs w:val="20"/>
          <w:color w:val="auto"/>
        </w:rPr>
      </w:pPr>
      <w:r>
        <w:rPr>
          <w:rFonts w:ascii="Arial" w:cs="Arial" w:eastAsia="Arial" w:hAnsi="Arial"/>
          <w:sz w:val="18"/>
          <w:szCs w:val="18"/>
          <w:b w:val="1"/>
          <w:bCs w:val="1"/>
          <w:color w:val="auto"/>
        </w:rPr>
        <w:t xml:space="preserve">3.10 Title to Assets. </w:t>
      </w:r>
      <w:r>
        <w:rPr>
          <w:rFonts w:ascii="Arial" w:cs="Arial" w:eastAsia="Arial" w:hAnsi="Arial"/>
          <w:sz w:val="18"/>
          <w:szCs w:val="18"/>
          <w:color w:val="auto"/>
        </w:rPr>
        <w:t>Each of Milan and its Subsidiaries owns, and has good and valid title to, or, in the case of leased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assets, valid leasehold interests in, all tangible properties or assets and equipment used or held for use in its business or operations or purported to be owned by it, including: (a) all assets reflected on the Milan Unaudited Interim Balance Sheet; and (b) all other assets reflected in the books and records of Milan or any of its Subsidiaries as being owned by Milan or such Subsidiary. All of such assets are owned or, in the case of leased assets, leased by Milan or any of its Subsidiaries free and clear of any Encumbrances, other than Permitted Encumbrances.</w:t>
      </w:r>
    </w:p>
    <w:p>
      <w:pPr>
        <w:spacing w:after="0" w:line="179" w:lineRule="exact"/>
        <w:rPr>
          <w:sz w:val="20"/>
          <w:szCs w:val="20"/>
          <w:color w:val="auto"/>
        </w:rPr>
      </w:pPr>
    </w:p>
    <w:p>
      <w:pPr>
        <w:ind w:left="200" w:right="260" w:firstLine="441"/>
        <w:spacing w:after="0" w:line="244" w:lineRule="auto"/>
        <w:rPr>
          <w:sz w:val="20"/>
          <w:szCs w:val="20"/>
          <w:color w:val="auto"/>
        </w:rPr>
      </w:pPr>
      <w:r>
        <w:rPr>
          <w:rFonts w:ascii="Arial" w:cs="Arial" w:eastAsia="Arial" w:hAnsi="Arial"/>
          <w:sz w:val="18"/>
          <w:szCs w:val="18"/>
          <w:b w:val="1"/>
          <w:bCs w:val="1"/>
          <w:color w:val="auto"/>
        </w:rPr>
        <w:t xml:space="preserve">3.11 Real Property; Leasehold. </w:t>
      </w:r>
      <w:r>
        <w:rPr>
          <w:rFonts w:ascii="Arial" w:cs="Arial" w:eastAsia="Arial" w:hAnsi="Arial"/>
          <w:sz w:val="18"/>
          <w:szCs w:val="18"/>
          <w:color w:val="auto"/>
        </w:rPr>
        <w:t>Neither Milan nor any of its Subsidiaries owns or has ever owned any real property. Milan has</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to the Company (a) an accurate and complete list of all real properties with respect to which Milan directly or indirectly holds a valid leasehold interest as well as any other real estate that is in the possession of or leased by Milan or any of its Subsidiaries, and (b) copies of all leases under which any such real property is possessed (the “</w:t>
      </w:r>
      <w:r>
        <w:rPr>
          <w:rFonts w:ascii="Arial" w:cs="Arial" w:eastAsia="Arial" w:hAnsi="Arial"/>
          <w:sz w:val="18"/>
          <w:szCs w:val="18"/>
          <w:b w:val="1"/>
          <w:bCs w:val="1"/>
          <w:i w:val="1"/>
          <w:iCs w:val="1"/>
          <w:color w:val="auto"/>
        </w:rPr>
        <w:t>Milan Real Estate Leases</w:t>
      </w:r>
      <w:r>
        <w:rPr>
          <w:rFonts w:ascii="Arial" w:cs="Arial" w:eastAsia="Arial" w:hAnsi="Arial"/>
          <w:sz w:val="18"/>
          <w:szCs w:val="18"/>
          <w:color w:val="auto"/>
        </w:rPr>
        <w:t>”), each of which is in full force and effect, with no existing material default thereunder.</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00"/>
          </w:cols>
          <w:pgMar w:left="240" w:top="459"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3.12 Intellectual Property.</w:t>
      </w:r>
    </w:p>
    <w:p>
      <w:pPr>
        <w:spacing w:after="0" w:line="126" w:lineRule="exact"/>
        <w:rPr>
          <w:sz w:val="20"/>
          <w:szCs w:val="20"/>
          <w:color w:val="auto"/>
        </w:rPr>
      </w:pPr>
    </w:p>
    <w:p>
      <w:pPr>
        <w:ind w:left="200" w:right="220" w:firstLine="885"/>
        <w:spacing w:after="0" w:line="239" w:lineRule="auto"/>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Milan, directly or through any of its Subsidiaries, owns, or has the right to use, as currently being used by Milan or its Subsidiaries, all Milan IP Rights, and with respect to Milan IP Rights that are owned by Milan or its Subsidiaries, has the right to bring actions for the infringement of such Milan IP Rights, except for any failure to own or have the right to use or bring actions that would not, individually or in the aggregate, reasonably be expected to have a Milan Material Adverse Effect.</w:t>
      </w:r>
    </w:p>
    <w:p>
      <w:pPr>
        <w:spacing w:after="0" w:line="93" w:lineRule="exact"/>
        <w:rPr>
          <w:rFonts w:ascii="Arial" w:cs="Arial" w:eastAsia="Arial" w:hAnsi="Arial"/>
          <w:sz w:val="18"/>
          <w:szCs w:val="18"/>
          <w:color w:val="auto"/>
        </w:rPr>
      </w:pPr>
    </w:p>
    <w:p>
      <w:pPr>
        <w:ind w:left="1360" w:hanging="275"/>
        <w:spacing w:after="0"/>
        <w:tabs>
          <w:tab w:leader="none" w:pos="13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3.12(b) of the Milan Disclosure Schedule is an accurate, true and complete listing of all Milan Registered IP.</w:t>
      </w:r>
    </w:p>
    <w:p>
      <w:pPr>
        <w:spacing w:after="0" w:line="10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3.12(c) of the Milan Disclosure Schedule accurately identifies all material Milan Contracts pursuant to which Milan IP Rights are licensed to Milan or any of its Subsidiaries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Milan’s or any of its Subsidiaries’ products or services, (ii) any Intellectual Property licensed on a non-exclusive basis ancillary to the purchase or use of equipment, reagents or other materials and (iii) any confidential information provided under confidentiality agreements).</w:t>
      </w:r>
    </w:p>
    <w:p>
      <w:pPr>
        <w:spacing w:after="0" w:line="97" w:lineRule="exact"/>
        <w:rPr>
          <w:rFonts w:ascii="Arial" w:cs="Arial" w:eastAsia="Arial" w:hAnsi="Arial"/>
          <w:sz w:val="18"/>
          <w:szCs w:val="18"/>
          <w:color w:val="auto"/>
        </w:rPr>
      </w:pPr>
    </w:p>
    <w:p>
      <w:pPr>
        <w:ind w:left="200" w:right="200" w:firstLine="885"/>
        <w:spacing w:after="0" w:line="238" w:lineRule="auto"/>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3.12(d) of the Milan Disclosure Schedule accurately identifies each material Milan Contract pursuant to which any Person has been granted any license or covenant not to sue under, or otherwise has received or acquired any right (whether or not currently exercisable) or interest in, any Milan IP Rights (other than (i) any confidential information provided under confidentiality agreements and (ii) any Milan IP Rights non-exclusively licensed to suppliers or service providers for the sole purpose of enabling such supplier or service providers to provide services for Milan’s or any of its Subsidiaries’ benefit).</w:t>
      </w:r>
    </w:p>
    <w:p>
      <w:pPr>
        <w:spacing w:after="0" w:line="94" w:lineRule="exact"/>
        <w:rPr>
          <w:rFonts w:ascii="Arial" w:cs="Arial" w:eastAsia="Arial" w:hAnsi="Arial"/>
          <w:sz w:val="18"/>
          <w:szCs w:val="18"/>
          <w:color w:val="auto"/>
        </w:rPr>
      </w:pPr>
    </w:p>
    <w:p>
      <w:pPr>
        <w:ind w:left="200" w:right="20" w:firstLine="885"/>
        <w:spacing w:after="0" w:line="238" w:lineRule="auto"/>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neither Milan nor any of its Subsidiaries is bound by, and no Milan IP Rights owned by Milan or any of its Subsidiaries are subject to, any Contract containing any covenant or other provision that in any way limits or restricts the ability of Milan or any of its Subsidiaries to use, exploit, assert, or enforce any such Milan IP Rights anywhere in the world, in each case, in a manner that would limit the business of Milan as conducted or planned to be conducted.</w:t>
      </w:r>
    </w:p>
    <w:p>
      <w:pPr>
        <w:spacing w:after="0" w:line="94" w:lineRule="exact"/>
        <w:rPr>
          <w:rFonts w:ascii="Arial" w:cs="Arial" w:eastAsia="Arial" w:hAnsi="Arial"/>
          <w:sz w:val="18"/>
          <w:szCs w:val="18"/>
          <w:color w:val="auto"/>
        </w:rPr>
      </w:pPr>
    </w:p>
    <w:p>
      <w:pPr>
        <w:jc w:val="both"/>
        <w:ind w:left="200" w:right="20" w:firstLine="885"/>
        <w:spacing w:after="0"/>
        <w:tabs>
          <w:tab w:leader="none" w:pos="130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Milan or one of its Subsidiaries exclusively owns all right, title, and interest to and in all Milan IP Rights owned or purported to be owned by Milan or any of its Subsidiaries, free and clear of any Encumbrances (other than Permitted Encumbrances).</w:t>
      </w:r>
    </w:p>
    <w:p>
      <w:pPr>
        <w:spacing w:after="0" w:line="94" w:lineRule="exact"/>
        <w:rPr>
          <w:rFonts w:ascii="Arial" w:cs="Arial" w:eastAsia="Arial" w:hAnsi="Arial"/>
          <w:sz w:val="18"/>
          <w:szCs w:val="18"/>
          <w:color w:val="auto"/>
        </w:rPr>
      </w:pPr>
    </w:p>
    <w:p>
      <w:pPr>
        <w:ind w:left="200" w:right="20" w:firstLine="885"/>
        <w:spacing w:after="0"/>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Milan and each of its Subsidiaries has taken reasonable steps to maintain the confidentiality of and otherwise protect and enforce its rights in all proprietary information that Milan or such Subsidiary holds, or purports to hold, as confidential or a trade secret.</w:t>
      </w:r>
    </w:p>
    <w:p>
      <w:pPr>
        <w:spacing w:after="0" w:line="94" w:lineRule="exact"/>
        <w:rPr>
          <w:rFonts w:ascii="Arial" w:cs="Arial" w:eastAsia="Arial" w:hAnsi="Arial"/>
          <w:sz w:val="18"/>
          <w:szCs w:val="18"/>
          <w:color w:val="auto"/>
        </w:rPr>
      </w:pPr>
    </w:p>
    <w:p>
      <w:pPr>
        <w:ind w:left="200" w:right="120" w:firstLine="885"/>
        <w:spacing w:after="0" w:line="237" w:lineRule="auto"/>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the manufacture, marketing, license, offering for sale, sale, importation, use or intended use or other disposal of any product or technology currently licensed or sold or under development by Milan or any of its Subsidiaries (i) does not violate any license or agreement between Milan or its Subsidiaries and any third party, and (ii) to the Knowledge of Milan, does not infringe, misappropriate or otherwise violate any valid Intellectual Property right of any other party. Except as would not, individually or in the aggregate, reasonably be expected to have a Milan Material Adverse Effect, to the Knowledge of Milan, no third party is infringing upon, misappropriating or otherwise violating any Milan IP Rights or violating any license or agreement with Milan or its Subsidiaries relating to any Milan IP Rights.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20"/>
          </w:cols>
          <w:pgMar w:left="240" w:top="460" w:right="43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885"/>
        <w:spacing w:after="0" w:line="236" w:lineRule="auto"/>
        <w:tabs>
          <w:tab w:leader="none" w:pos="12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to the Knowledge of Milan,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Milan IP Rights or (ii) alleging that any Milan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Milan or any of its Subsidiaries have otherwise infringed, misappropriated or otherwise violated any Intellectual Property of any Person. Except as would not, individually or in the aggregate, reasonably be expected to have a Milan Material Adverse Effect, none of the Milan IP Rights is subject to any outstanding order of, judgment of, decree of or agreement with any Governmental Authority that limits the ability of Milan to exploit any Milan IP Rights.</w:t>
      </w:r>
    </w:p>
    <w:p>
      <w:pPr>
        <w:spacing w:after="0" w:line="98" w:lineRule="exact"/>
        <w:rPr>
          <w:rFonts w:ascii="Arial" w:cs="Arial" w:eastAsia="Arial" w:hAnsi="Arial"/>
          <w:sz w:val="18"/>
          <w:szCs w:val="18"/>
          <w:color w:val="auto"/>
        </w:rPr>
      </w:pPr>
    </w:p>
    <w:p>
      <w:pPr>
        <w:ind w:left="200" w:right="40" w:firstLine="885"/>
        <w:spacing w:after="0" w:line="246" w:lineRule="auto"/>
        <w:tabs>
          <w:tab w:leader="none" w:pos="12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to the Knowledge of Milan, all Milan Registered IP is valid and enforceable.</w:t>
      </w:r>
    </w:p>
    <w:p>
      <w:pPr>
        <w:spacing w:after="0" w:line="88" w:lineRule="exact"/>
        <w:rPr>
          <w:rFonts w:ascii="Arial" w:cs="Arial" w:eastAsia="Arial" w:hAnsi="Arial"/>
          <w:sz w:val="18"/>
          <w:szCs w:val="18"/>
          <w:color w:val="auto"/>
        </w:rPr>
      </w:pPr>
    </w:p>
    <w:p>
      <w:pPr>
        <w:ind w:left="200" w:right="160" w:firstLine="885"/>
        <w:spacing w:after="0" w:line="238" w:lineRule="auto"/>
        <w:tabs>
          <w:tab w:leader="none" w:pos="134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Neither Milan nor any of its Subsidiaries is party to any Contract that, as a result of such execution, delivery and performance of this Agreement, will cause the grant of any license or other right to any Milan IP Rights, result in breach of, default under or termination of such Contract with respect to any Milan IP Rights, or impair the right of Milan or its Subsidiaries to use, sell or license or enforce any Milan IP Rights or portion thereof, except for any such grant or impairment that would not individually or in the aggregate, reasonably be expected to result in a Milan Material Adverse Effect.</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 xml:space="preserve">3.13 Agreements, Contracts and Commitments. </w:t>
      </w:r>
      <w:r>
        <w:rPr>
          <w:rFonts w:ascii="Arial" w:cs="Arial" w:eastAsia="Arial" w:hAnsi="Arial"/>
          <w:sz w:val="18"/>
          <w:szCs w:val="18"/>
          <w:color w:val="auto"/>
        </w:rPr>
        <w:t>Section 3.13 of the Milan Disclosure Schedule identifies each Milan Contract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in effect as of the date of this Agreement and is (a) a material contract as defined in Item 601(b)(10) of Regulation S-K as promulgated under the Securities Act, (b) a Contract to which Milan or its Subsidiaries is a party or by which any of their respective assets and properties is currently bound, which, pursuant to the express terms thereof, requires annual obligations of payment by, or annual payments to, Milan in excess of $ 500,000, (c) a Milan Real Estate Lease, (d) a Milan Contract requiring payment by or to Milan or its Subsidiaries after the date of this Agreement in excess of $500,000 pursuant to its express terms relating to: (i) any distribution agreement (identifying any that contain exclusivity provisions), (ii) any agreement involving provision of services or products with respect to any pre-clinical or clinical development activities of Milan or its Subsidiaries, (iii) any dealer, distributor, joint marketing, alliance, joint venture, cooperation, development or other agreement currently in force under which Milan or its Subsidiaries has continuing obligations to develop or market any product, technology or service, in each case, except for Milan Contracts entered into in the Ordinary Course of Business, or</w:t>
      </w:r>
    </w:p>
    <w:p>
      <w:pPr>
        <w:ind w:left="480" w:hanging="276"/>
        <w:spacing w:after="0"/>
        <w:tabs>
          <w:tab w:leader="none" w:pos="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Contract disclosed in or required to be disclosed in Section 3.12(b) or Section 3.12(d) of the Milan Disclosure Schedule. Milan has</w:t>
      </w:r>
    </w:p>
    <w:p>
      <w:pPr>
        <w:ind w:left="200"/>
        <w:spacing w:after="0" w:line="236" w:lineRule="auto"/>
        <w:rPr>
          <w:rFonts w:ascii="Arial" w:cs="Arial" w:eastAsia="Arial" w:hAnsi="Arial"/>
          <w:sz w:val="18"/>
          <w:szCs w:val="18"/>
          <w:color w:val="auto"/>
        </w:rPr>
      </w:pPr>
      <w:r>
        <w:rPr>
          <w:rFonts w:ascii="Arial" w:cs="Arial" w:eastAsia="Arial" w:hAnsi="Arial"/>
          <w:sz w:val="18"/>
          <w:szCs w:val="18"/>
          <w:color w:val="auto"/>
        </w:rPr>
        <w:t>delivered or made available to the Company accurate and complete copies of all Contracts to which Milan is a party or by which it is bound of the type described in clauses (a)–(e) of the immediately preceding sentence (any such Contract, a “</w:t>
      </w:r>
      <w:r>
        <w:rPr>
          <w:rFonts w:ascii="Arial" w:cs="Arial" w:eastAsia="Arial" w:hAnsi="Arial"/>
          <w:sz w:val="18"/>
          <w:szCs w:val="18"/>
          <w:b w:val="1"/>
          <w:bCs w:val="1"/>
          <w:i w:val="1"/>
          <w:iCs w:val="1"/>
          <w:color w:val="auto"/>
        </w:rPr>
        <w:t>Milan Material Contract</w:t>
      </w:r>
      <w:r>
        <w:rPr>
          <w:rFonts w:ascii="Arial" w:cs="Arial" w:eastAsia="Arial" w:hAnsi="Arial"/>
          <w:sz w:val="18"/>
          <w:szCs w:val="18"/>
          <w:color w:val="auto"/>
        </w:rPr>
        <w:t>”), including all amendments thereto. There are no Milan Material Contracts that are not in written form. Neither Milan nor any of its Subsidiaries has, nor to Milan’s Knowledge as of the date of this Agreement, has any other party to a Milan Material Contract, breached, violated or defaulted under, or received notice that it breached, violated or defaulted under, any of the terms or conditions of any Milan Material Contract in such manner as would permit any other party to cancel or terminate any such Milan Material Contract, or would permit any other party to seek damages which would reasonably be expected to have a Milan Material Adverse Effect. As to Milan and its Subsidiaries, as of the date of this Agreement, each Milan Material Contract is valid, binding, enforceable and in full force and effect, subject to the Enforceability Exceptions. No Person is renegotiating, or has a right pursuant to the terms of any Milan Material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20"/>
          </w:cols>
          <w:pgMar w:left="24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40"/>
        <w:spacing w:after="0" w:line="246" w:lineRule="auto"/>
        <w:rPr>
          <w:sz w:val="20"/>
          <w:szCs w:val="20"/>
          <w:color w:val="auto"/>
        </w:rPr>
      </w:pPr>
      <w:r>
        <w:rPr>
          <w:rFonts w:ascii="Arial" w:cs="Arial" w:eastAsia="Arial" w:hAnsi="Arial"/>
          <w:sz w:val="18"/>
          <w:szCs w:val="18"/>
          <w:color w:val="auto"/>
        </w:rPr>
        <w:t>Contract to change, any material amount paid or payable to Milan under any Milan Material Contract or any other material term or provision of any Milan Material Contract.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3.14 Compliance; Permits; Restrictions</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6" w:lineRule="auto"/>
        <w:tabs>
          <w:tab w:leader="none" w:pos="135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Milan and each of its Subsidiaries are, and since January 1, 2016, have been, in compliance in all material respects with all applicable Laws. No investigation, claim, suit, proceeding, audit or other action by any Governmental Authority is pending or, to the Knowledge of Milan, threatened against Milan or any of its Subsidiaries. There is no agreement or Order binding upon Milan or any of its Subsidiaries which (i) has or would reasonably be expected to have the effect of prohibiting or materially impairing any business practice of Milan or any of its Subsidiaries, any acquisition of material property by Milan or any of its Subsidiaries or the conduct of business by Milan or any of its Subsidiaries as currently conducted, (ii) is reasonably likely to have an adverse effect on Milan’s ability to comply with or perform any covenant or obligation under this Agreement, or (iii) is reasonably likely to have the effect of preventing, delaying, making illegal or otherwise interfering with the Contemplated Transactions.</w:t>
      </w:r>
    </w:p>
    <w:p>
      <w:pPr>
        <w:spacing w:after="0" w:line="100" w:lineRule="exact"/>
        <w:rPr>
          <w:rFonts w:ascii="Arial" w:cs="Arial" w:eastAsia="Arial" w:hAnsi="Arial"/>
          <w:sz w:val="18"/>
          <w:szCs w:val="18"/>
          <w:color w:val="auto"/>
        </w:rPr>
      </w:pPr>
    </w:p>
    <w:p>
      <w:pPr>
        <w:ind w:left="200" w:right="60" w:firstLine="885"/>
        <w:spacing w:after="0" w:line="237" w:lineRule="auto"/>
        <w:tabs>
          <w:tab w:leader="none" w:pos="135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of Milan and its Subsidiaries holds all required Governmental Authorizations that are material to the operation of the business of Milan and its Subsidiaries as currently conducted (collectively, the “</w:t>
      </w:r>
      <w:r>
        <w:rPr>
          <w:rFonts w:ascii="Arial" w:cs="Arial" w:eastAsia="Arial" w:hAnsi="Arial"/>
          <w:sz w:val="18"/>
          <w:szCs w:val="18"/>
          <w:b w:val="1"/>
          <w:bCs w:val="1"/>
          <w:i w:val="1"/>
          <w:iCs w:val="1"/>
          <w:color w:val="auto"/>
        </w:rPr>
        <w:t>Milan Permits</w:t>
      </w:r>
      <w:r>
        <w:rPr>
          <w:rFonts w:ascii="Arial" w:cs="Arial" w:eastAsia="Arial" w:hAnsi="Arial"/>
          <w:sz w:val="18"/>
          <w:szCs w:val="18"/>
          <w:color w:val="auto"/>
        </w:rPr>
        <w:t>”). Section 3.14(b) of the Milan Disclosure Schedule identifies each Milan Permit. Each of Milan and its Subsidiaries is in material compliance with the terms of the Milan Permits. No Legal Proceeding is pending or, to the Knowledge of Milan, threatened, which seeks to revoke, limit, suspend, or materially modify any Milan Permit. The rights and benefits of each Milan Permit will be available to Milan and Surviving Corporation or its Subsidiaries, as applicable, immediately after the Effective Time on terms substantially identical to those enjoyed by Milan and its Subsidiaries as of the date of this Agreement and immediately prior to the Effective Time.</w:t>
      </w:r>
    </w:p>
    <w:p>
      <w:pPr>
        <w:spacing w:after="0" w:line="95" w:lineRule="exact"/>
        <w:rPr>
          <w:rFonts w:ascii="Arial" w:cs="Arial" w:eastAsia="Arial" w:hAnsi="Arial"/>
          <w:sz w:val="18"/>
          <w:szCs w:val="18"/>
          <w:color w:val="auto"/>
        </w:rPr>
      </w:pPr>
    </w:p>
    <w:p>
      <w:pPr>
        <w:ind w:left="200" w:right="160" w:firstLine="885"/>
        <w:spacing w:after="0"/>
        <w:tabs>
          <w:tab w:leader="none" w:pos="134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Milan, threatened with respect to an alleged material violation by Milan of the FDCA, FDA regulations adopted thereunder, the Controlled Substance Act or any other similar Law promulgated by a Drug Regulatory Agency.</w:t>
      </w:r>
    </w:p>
    <w:p>
      <w:pPr>
        <w:spacing w:after="0" w:line="94" w:lineRule="exact"/>
        <w:rPr>
          <w:rFonts w:ascii="Arial" w:cs="Arial" w:eastAsia="Arial" w:hAnsi="Arial"/>
          <w:sz w:val="18"/>
          <w:szCs w:val="18"/>
          <w:color w:val="auto"/>
        </w:rPr>
      </w:pPr>
    </w:p>
    <w:p>
      <w:pPr>
        <w:ind w:left="200" w:firstLine="885"/>
        <w:spacing w:after="0" w:line="235" w:lineRule="auto"/>
        <w:tabs>
          <w:tab w:leader="none" w:pos="135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Milan and each of its Subsidiaries holds all required Governmental Authorizations issuable by any Drug Regulatory Agency necessary for the conduct of the business of Milan or such Subsidiary as currently conducted, and, as applicable, the development, clinical testing, manufacturing, marketing, distribution and importation or exportation, as currently conducted, of any of its products or product candidates (the “</w:t>
      </w:r>
      <w:r>
        <w:rPr>
          <w:rFonts w:ascii="Arial" w:cs="Arial" w:eastAsia="Arial" w:hAnsi="Arial"/>
          <w:sz w:val="18"/>
          <w:szCs w:val="18"/>
          <w:b w:val="1"/>
          <w:bCs w:val="1"/>
          <w:i w:val="1"/>
          <w:iCs w:val="1"/>
          <w:color w:val="auto"/>
        </w:rPr>
        <w:t>Milan Product Candidates</w:t>
      </w:r>
      <w:r>
        <w:rPr>
          <w:rFonts w:ascii="Arial" w:cs="Arial" w:eastAsia="Arial" w:hAnsi="Arial"/>
          <w:sz w:val="18"/>
          <w:szCs w:val="18"/>
          <w:color w:val="auto"/>
        </w:rPr>
        <w:t>”, and such required Governmental Authorizations, the “</w:t>
      </w:r>
      <w:r>
        <w:rPr>
          <w:rFonts w:ascii="Arial" w:cs="Arial" w:eastAsia="Arial" w:hAnsi="Arial"/>
          <w:sz w:val="18"/>
          <w:szCs w:val="18"/>
          <w:b w:val="1"/>
          <w:bCs w:val="1"/>
          <w:i w:val="1"/>
          <w:iCs w:val="1"/>
          <w:color w:val="auto"/>
        </w:rPr>
        <w:t>Milan Regulatory Permits</w:t>
      </w:r>
      <w:r>
        <w:rPr>
          <w:rFonts w:ascii="Arial" w:cs="Arial" w:eastAsia="Arial" w:hAnsi="Arial"/>
          <w:sz w:val="18"/>
          <w:szCs w:val="18"/>
          <w:color w:val="auto"/>
        </w:rPr>
        <w:t>”) and no such Milan Regulatory Permit has been (i) revoked, withdrawn, suspended, cancelled or terminated or (ii) modified in any adverse manner other than immaterial adverse modifications. Milan and each of its Subsidiaries are in compliance in all material respects with the Milan Regulatory Permits and neither Milan nor any of its Subsidiaries has received any written notice or other written communication from any Drug Regulatory Agency regarding (A) any material violation of or failure to comply materially with any term or requirement of any Milan Regulatory Permit or (B) any revocation, withdrawal, suspension, cancellation, termination or material modification of any Milan Regulatory Permit. Except for the information and files identified in Section 3.14(d) of the Milan Disclosure Schedule, Milan has made available to the Company all information requested by the Company in Milan’s or its Subsidiaries’ possession or control relating to the Milan Product Candidates and the development, clinical testing, manufacturing, importation and exportation of the Milan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20"/>
          </w:cols>
          <w:pgMar w:left="240" w:top="459" w:right="4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885"/>
        <w:spacing w:after="0" w:line="236" w:lineRule="auto"/>
        <w:tabs>
          <w:tab w:leader="none" w:pos="135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clinical, pre-clinical and other studies and tests conducted by or on behalf of, or sponsored by, Milan or its Subsidiaries or in which Milan or its Subsidiaries or their respective current products or product candidates, including the Milan Product Candidates, have participated have been, since the date of Milan’s acquisition of such product or product candidate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Other than as set forth on Section 3.14(e) of the Milan Disclosure Schedule, since January 1, 2016, neither Milan nor any of its Subsidiaries has received any notices, correspondence, or other communications from any Drug Regulatory Agency requiring or, to the Knowledge of Milan, threatening to initiate, the termination or suspension of any clinical studies conducted by or on behalf of, or sponsored by, Milan or any of its Subsidiaries or in which Milan or any of its Subsidiaries or their respective current products or product candidates, including the Milan Product Candidates, have participated since the date of Milan’s acquisition of such product or product candidate.</w:t>
      </w:r>
    </w:p>
    <w:p>
      <w:pPr>
        <w:spacing w:after="0" w:line="97"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Neither Milan nor any of its Subsidiaries is the subject of any pending or, to the Knowledge of Milan, threatened investigation in respect of its business or products by the FDA pursuant to its “Fraud, Untrue Statements of Material Facts, Bribery, and Illegal Gratuities” Final Policy set forth in 56 Fed. Reg. 46191 (September 10, 1991) and any amendments thereto. To the Knowledge of Milan, neither Milan nor any of its Subsidiaries has committed any acts, made any statement, or failed to make any statement, in each case in respect of its business or products that would violate the FDA’s “Fraud, Untrue Statements of Material Facts, Bribery, and Illegal Gratuities” Final Policy, and any amendments thereto. None of Milan, any of its Subsidiaries, or any of their respective officers, employees or agents has been convicted of any crime or engaged in any conduct that could result in a debarment or exclusion (i) under 21 U.S.C. Section 335a or (ii) any similar applicable Law. To the Knowledge of Milan, no debarment or exclusionary claims, actions, proceedings or investigations in respect of their business or products are pending or threatened against Milan or any of its Subsidiaries or any of their respective officers, employees or agents.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3.15 Legal Proceedings; Orders</w:t>
      </w:r>
      <w:r>
        <w:rPr>
          <w:rFonts w:ascii="Arial" w:cs="Arial" w:eastAsia="Arial" w:hAnsi="Arial"/>
          <w:sz w:val="18"/>
          <w:szCs w:val="18"/>
          <w:color w:val="auto"/>
        </w:rPr>
        <w:t>.</w:t>
      </w:r>
    </w:p>
    <w:p>
      <w:pPr>
        <w:spacing w:after="0" w:line="126" w:lineRule="exact"/>
        <w:rPr>
          <w:sz w:val="20"/>
          <w:szCs w:val="20"/>
          <w:color w:val="auto"/>
        </w:rPr>
      </w:pPr>
    </w:p>
    <w:p>
      <w:pPr>
        <w:ind w:left="200" w:right="60" w:firstLine="885"/>
        <w:spacing w:after="0" w:line="238" w:lineRule="auto"/>
        <w:tabs>
          <w:tab w:leader="none" w:pos="135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Except as set forth in Section 3.15 of the Milan Disclosure Schedule, there is no pending Legal Proceeding and, to the Knowledge of Milan, no Person has threatened in writing to commence any Legal Proceeding: (i) that involves Milan or any of its Subsidiaries, any Milan Associate (in his or her capacity as such) or any of the material assets owned or used by Milan or its Subsidiaries; or (ii) that challenges, or that may have the effect of preventing, delaying, making illegal or otherwise interfering with, the Contemplated Transactions.</w:t>
      </w:r>
    </w:p>
    <w:p>
      <w:pPr>
        <w:spacing w:after="0" w:line="94" w:lineRule="exact"/>
        <w:rPr>
          <w:rFonts w:ascii="Arial" w:cs="Arial" w:eastAsia="Arial" w:hAnsi="Arial"/>
          <w:sz w:val="18"/>
          <w:szCs w:val="18"/>
          <w:color w:val="auto"/>
        </w:rPr>
      </w:pPr>
    </w:p>
    <w:p>
      <w:pPr>
        <w:ind w:left="200" w:right="40" w:firstLine="885"/>
        <w:spacing w:after="0" w:line="239" w:lineRule="auto"/>
        <w:tabs>
          <w:tab w:leader="none" w:pos="135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There is no Order to which Milan or any of its Subsidiaries, or any of the material assets owned or used by Milan or any of its Subsidiaries is subject. To the Knowledge of Milan, no officer or other Key Employee of Milan or any of its Subsidiaries is subject to any Order that prohibits such officer or employee from engaging in or continuing any conduct, activity or practice relating to the business of Milan or any of its Subsidiaries or to any material assets owned or used by Milan or any of its Subsidiaries.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3.16 Tax Matters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38" w:lineRule="auto"/>
        <w:tabs>
          <w:tab w:leader="none" w:pos="135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Milan and each of its Subsidiaries have timely filed with the appropriate Governmental Authority all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Milan or any of its Subsidiaries does not file Tax Returns that Milan or such Subsidiary is subject to taxation or filing obligation by that jurisdiction.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20"/>
          </w:cols>
          <w:pgMar w:left="24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885"/>
        <w:spacing w:after="0" w:line="239" w:lineRule="auto"/>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material Taxes due and owing by Milan or any of its Subsidiaries (whether or not shown on any Tax Return) have been paid. Since the date of the Milan Unaudited Interim Balance Sheet, neither Milan nor any of its Subsidiaries has incurred any material Liability for Taxes or has engaged in any transaction outside the Ordinary Course of Business or otherwise inconsistent with past custom and practice.</w:t>
      </w:r>
    </w:p>
    <w:p>
      <w:pPr>
        <w:spacing w:after="0" w:line="93" w:lineRule="exact"/>
        <w:rPr>
          <w:rFonts w:ascii="Arial" w:cs="Arial" w:eastAsia="Arial" w:hAnsi="Arial"/>
          <w:sz w:val="18"/>
          <w:szCs w:val="18"/>
          <w:color w:val="auto"/>
        </w:rPr>
      </w:pPr>
    </w:p>
    <w:p>
      <w:pPr>
        <w:ind w:left="200" w:right="480" w:firstLine="885"/>
        <w:spacing w:after="0" w:line="246" w:lineRule="auto"/>
        <w:tabs>
          <w:tab w:leader="none" w:pos="134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Milan and each of its Subsidiaries has withheld and paid all material Taxes required to have been withheld and paid in connection with any amounts paid or owing to any employee, independent contractor, creditor, shareholder, or other third party.</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with respect to Taxes not yet due and payable) upon any of the assets of Milan or any of its Subsidiaries.</w:t>
      </w:r>
    </w:p>
    <w:p>
      <w:pPr>
        <w:spacing w:after="0" w:line="88"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Milan or any of its Subsidiaries have been claimed, proposed or assessed by any Governmental Authority in writing. There are no pending (or, based on written notice, threatened) material audits, assessments or other actions for or relating to any liability in respect of Taxes of Milan or any of its Subsidiaries. Neither Milan nor any of its Subsidiaries (or any of their predecessors) has waived any statute of limitations in respect of material Taxes or agreed to any extension of time with respect to a material Tax assessment or deficiency.</w:t>
      </w:r>
    </w:p>
    <w:p>
      <w:pPr>
        <w:spacing w:after="0" w:line="94" w:lineRule="exact"/>
        <w:rPr>
          <w:rFonts w:ascii="Arial" w:cs="Arial" w:eastAsia="Arial" w:hAnsi="Arial"/>
          <w:sz w:val="18"/>
          <w:szCs w:val="18"/>
          <w:color w:val="auto"/>
        </w:rPr>
      </w:pPr>
    </w:p>
    <w:p>
      <w:pPr>
        <w:jc w:val="both"/>
        <w:ind w:left="200" w:right="20" w:firstLine="885"/>
        <w:spacing w:after="0"/>
        <w:tabs>
          <w:tab w:leader="none" w:pos="13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Milan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94" w:lineRule="exact"/>
        <w:rPr>
          <w:rFonts w:ascii="Arial" w:cs="Arial" w:eastAsia="Arial" w:hAnsi="Arial"/>
          <w:sz w:val="18"/>
          <w:szCs w:val="18"/>
          <w:color w:val="auto"/>
        </w:rPr>
      </w:pPr>
    </w:p>
    <w:p>
      <w:pPr>
        <w:ind w:left="200" w:right="220" w:firstLine="885"/>
        <w:spacing w:after="0" w:line="239" w:lineRule="auto"/>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Milan nor any of its Subsidiaries has ever been a member of an affiliated group filing a consolidated U.S. federal income Tax Return (other than a group the common parent of which is Milan). Neither Milan nor any of its Subsidiaries has any material Liability for the Taxes of any Person (other than Milan and any of its Subsidiaries) under Treasury Regulations Section 1.1502-6 (or any similar provision of state, local, or foreign law) or as a transferee or successor.</w:t>
      </w:r>
    </w:p>
    <w:p>
      <w:pPr>
        <w:spacing w:after="0" w:line="93" w:lineRule="exact"/>
        <w:rPr>
          <w:rFonts w:ascii="Arial" w:cs="Arial" w:eastAsia="Arial" w:hAnsi="Arial"/>
          <w:sz w:val="18"/>
          <w:szCs w:val="18"/>
          <w:color w:val="auto"/>
        </w:rPr>
      </w:pPr>
    </w:p>
    <w:p>
      <w:pPr>
        <w:ind w:left="200" w:right="240" w:firstLine="885"/>
        <w:spacing w:after="0"/>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Milan nor any of its Subsidiaries has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94" w:lineRule="exact"/>
        <w:rPr>
          <w:rFonts w:ascii="Arial" w:cs="Arial" w:eastAsia="Arial" w:hAnsi="Arial"/>
          <w:sz w:val="18"/>
          <w:szCs w:val="18"/>
          <w:color w:val="auto"/>
        </w:rPr>
      </w:pPr>
    </w:p>
    <w:p>
      <w:pPr>
        <w:ind w:left="200" w:right="160" w:firstLine="885"/>
        <w:spacing w:after="0" w:line="246" w:lineRule="auto"/>
        <w:tabs>
          <w:tab w:leader="none" w:pos="129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Milan nor any of its Subsidiaries has entered into any transaction identified as a “listed transaction” for purposes of Treasury Regulations Sections 1.6011-4(b)(2) or 301.6111-2(b)(2).</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3.17 Employee and Labor Matters; Benefit Plans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Milan has made available to the Company accurate and complete copies of all employee manuals and handbooks, disclosure materials, policy statements and other materials relating to the employment of Milan Associates to the extent currently effective and material.</w:t>
      </w:r>
    </w:p>
    <w:p>
      <w:pPr>
        <w:spacing w:after="0" w:line="94" w:lineRule="exact"/>
        <w:rPr>
          <w:rFonts w:ascii="Arial" w:cs="Arial" w:eastAsia="Arial" w:hAnsi="Arial"/>
          <w:sz w:val="18"/>
          <w:szCs w:val="18"/>
          <w:color w:val="auto"/>
        </w:rPr>
      </w:pPr>
    </w:p>
    <w:p>
      <w:pPr>
        <w:ind w:left="200" w:right="340" w:firstLine="885"/>
        <w:spacing w:after="0" w:line="261" w:lineRule="auto"/>
        <w:tabs>
          <w:tab w:leader="none" w:pos="135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Neither Milan nor any of its Subsidiaries is party to, bound by, or obligated to bargain under, any collective bargaining agreement or other Contract with a labor organization representing any of its employees, and there are no labor organizations representing or, to the Knowledge of Milan, purporting to represent or seeking to represent any employees of Milan or its Subsidiaries.</w:t>
      </w:r>
    </w:p>
    <w:p>
      <w:pPr>
        <w:spacing w:after="0" w:line="78" w:lineRule="exact"/>
        <w:rPr>
          <w:rFonts w:ascii="Arial" w:cs="Arial" w:eastAsia="Arial" w:hAnsi="Arial"/>
          <w:sz w:val="17"/>
          <w:szCs w:val="17"/>
          <w:color w:val="auto"/>
        </w:rPr>
      </w:pPr>
    </w:p>
    <w:p>
      <w:pPr>
        <w:ind w:left="200" w:right="140" w:firstLine="885"/>
        <w:spacing w:after="0" w:line="237" w:lineRule="auto"/>
        <w:tabs>
          <w:tab w:leader="none" w:pos="134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3.17(c) of the Milan Disclosure Schedule lists all material employee benefit plans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or former employee or director of Milan or its Subsidiaries (or any trade or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80"/>
          </w:cols>
          <w:pgMar w:left="240" w:top="459" w:right="47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business (whether or not incorporated) which is a Milan Affiliate) or which is maintained by, administered or contributed to by, or required to be contributed to by, Milan, any of its Subsidiaries or any Milan Affiliate, or under which Milan or any of its Subsidiaries or any Milan Affiliate has incurred or may incur any liability (each, a “</w:t>
      </w:r>
      <w:r>
        <w:rPr>
          <w:rFonts w:ascii="Arial" w:cs="Arial" w:eastAsia="Arial" w:hAnsi="Arial"/>
          <w:sz w:val="18"/>
          <w:szCs w:val="18"/>
          <w:b w:val="1"/>
          <w:bCs w:val="1"/>
          <w:i w:val="1"/>
          <w:iCs w:val="1"/>
          <w:color w:val="auto"/>
        </w:rPr>
        <w:t>Milan Employee Plan</w:t>
      </w:r>
      <w:r>
        <w:rPr>
          <w:rFonts w:ascii="Arial" w:cs="Arial" w:eastAsia="Arial" w:hAnsi="Arial"/>
          <w:sz w:val="18"/>
          <w:szCs w:val="18"/>
          <w:color w:val="auto"/>
        </w:rPr>
        <w:t>”).</w:t>
      </w:r>
    </w:p>
    <w:p>
      <w:pPr>
        <w:spacing w:after="0" w:line="95" w:lineRule="exact"/>
        <w:rPr>
          <w:sz w:val="20"/>
          <w:szCs w:val="20"/>
          <w:color w:val="auto"/>
        </w:rPr>
      </w:pPr>
    </w:p>
    <w:p>
      <w:pPr>
        <w:ind w:left="200" w:right="200" w:firstLine="885"/>
        <w:spacing w:after="0" w:line="239" w:lineRule="auto"/>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With respect to each Milan Employee Plan, Milan has made available to the Company a true and complete copy of, to the extent applicable, (i) such Milan Employee Plan, and (ii) the most recent summary plan description for each Milan Employee Plan for which such description is required, along with all summaries of material modifications, amendments, resolutions in the possession of Milan.</w:t>
      </w:r>
    </w:p>
    <w:p>
      <w:pPr>
        <w:spacing w:after="0" w:line="93" w:lineRule="exact"/>
        <w:rPr>
          <w:rFonts w:ascii="Arial" w:cs="Arial" w:eastAsia="Arial" w:hAnsi="Arial"/>
          <w:sz w:val="18"/>
          <w:szCs w:val="18"/>
          <w:color w:val="auto"/>
        </w:rPr>
      </w:pPr>
    </w:p>
    <w:p>
      <w:pPr>
        <w:ind w:left="200" w:right="420" w:firstLine="885"/>
        <w:spacing w:after="0" w:line="246" w:lineRule="auto"/>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Since January 1, 2016, each Milan Employee Plan has been maintained in compliance, in all material respects, with its terms and, both as to form and operation, with all applicable Law.</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Milan Employee Plan is a Multiemployer Plan, and neither Milan nor any Milan Affiliate has ever contributed to or had an obligation to contribute, or incurred any liability in respect of a contribution, to any Multiemployer Plan.</w:t>
      </w:r>
    </w:p>
    <w:p>
      <w:pPr>
        <w:spacing w:after="0" w:line="88" w:lineRule="exact"/>
        <w:rPr>
          <w:rFonts w:ascii="Arial" w:cs="Arial" w:eastAsia="Arial" w:hAnsi="Arial"/>
          <w:sz w:val="18"/>
          <w:szCs w:val="18"/>
          <w:color w:val="auto"/>
        </w:rPr>
      </w:pPr>
    </w:p>
    <w:p>
      <w:pPr>
        <w:ind w:left="200" w:right="280" w:firstLine="885"/>
        <w:spacing w:after="0" w:line="246" w:lineRule="auto"/>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Milan Employee Plan provides for medical or other welfare benefits beyond termination of service or retirement, other than continuation coverage through the end of the month in which such termination or retirement occurs.</w:t>
      </w:r>
    </w:p>
    <w:p>
      <w:pPr>
        <w:spacing w:after="0" w:line="88" w:lineRule="exact"/>
        <w:rPr>
          <w:rFonts w:ascii="Arial" w:cs="Arial" w:eastAsia="Arial" w:hAnsi="Arial"/>
          <w:sz w:val="18"/>
          <w:szCs w:val="18"/>
          <w:color w:val="auto"/>
        </w:rPr>
      </w:pPr>
    </w:p>
    <w:p>
      <w:pPr>
        <w:ind w:left="200" w:right="40" w:firstLine="885"/>
        <w:spacing w:after="0"/>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With respect to Milan Options granted pursuant to the Milan Share Plans, each Milan Option grant was made in accordance with the terms of the Milan Share Plan pursuant to which it was granted and, to the Knowledge of Milan, all other applicable Law and regulatory rules or requirements.</w:t>
      </w:r>
    </w:p>
    <w:p>
      <w:pPr>
        <w:spacing w:after="0" w:line="94" w:lineRule="exact"/>
        <w:rPr>
          <w:rFonts w:ascii="Arial" w:cs="Arial" w:eastAsia="Arial" w:hAnsi="Arial"/>
          <w:sz w:val="18"/>
          <w:szCs w:val="18"/>
          <w:color w:val="auto"/>
        </w:rPr>
      </w:pPr>
    </w:p>
    <w:p>
      <w:pPr>
        <w:ind w:left="200" w:right="140" w:firstLine="885"/>
        <w:spacing w:after="0"/>
        <w:tabs>
          <w:tab w:leader="none" w:pos="129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Milan and each of its Subsidiaries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w:t>
      </w:r>
    </w:p>
    <w:p>
      <w:pPr>
        <w:spacing w:after="0" w:line="94" w:lineRule="exact"/>
        <w:rPr>
          <w:rFonts w:ascii="Arial" w:cs="Arial" w:eastAsia="Arial" w:hAnsi="Arial"/>
          <w:sz w:val="18"/>
          <w:szCs w:val="18"/>
          <w:color w:val="auto"/>
        </w:rPr>
      </w:pPr>
    </w:p>
    <w:p>
      <w:pPr>
        <w:ind w:left="200" w:firstLine="885"/>
        <w:spacing w:after="0" w:line="235" w:lineRule="auto"/>
        <w:tabs>
          <w:tab w:leader="none" w:pos="129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Milan and each of its Subsidiaries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of Milan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actions, suits, claims or administrative matters pending or, to the Knowledge of Milan, threatened against Milan or any of its Subsidiaries relating to any employee, employment agreement or Milan Employee Plan (other than routine claims for benefits). To the Knowledge of Milan, there are no pending or threatened claims or actions against Milan, any of its Subsidiaries, any Milan trustee or any trustee of any Subsidiary under any workers’ compensation policy or long-term disability policy. Neither Milan nor any Subsidiary thereof is party to a conciliation agreement, consent decree or other agreement or Order with any federal, state, or local agency or Governmental Authority with respect to employment practices. Neither Milan nor any of its Subsidiaries has any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20"/>
          </w:cols>
          <w:pgMar w:left="240" w:top="460"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885"/>
        <w:spacing w:after="0" w:line="246" w:lineRule="auto"/>
        <w:tabs>
          <w:tab w:leader="none" w:pos="134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is no pending or, to the Knowledge of Milan, threatened strike, slowdown, work stoppage, lockout, job action, union, organizing activity, question concerning representation or any similar activity or dispute, affecting Milan or any of its Subsidiaries.</w:t>
      </w:r>
    </w:p>
    <w:p>
      <w:pPr>
        <w:spacing w:after="0" w:line="88" w:lineRule="exact"/>
        <w:rPr>
          <w:rFonts w:ascii="Arial" w:cs="Arial" w:eastAsia="Arial" w:hAnsi="Arial"/>
          <w:sz w:val="18"/>
          <w:szCs w:val="18"/>
          <w:color w:val="auto"/>
        </w:rPr>
      </w:pPr>
    </w:p>
    <w:p>
      <w:pPr>
        <w:ind w:left="200" w:right="160" w:firstLine="885"/>
        <w:spacing w:after="0" w:line="239" w:lineRule="auto"/>
        <w:tabs>
          <w:tab w:leader="none" w:pos="129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is no material Legal Proceeding, claim, labor dispute or grievance pending or, to the Knowledge of Milan, threatened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Milan Associate, including charges of unfair labor practices or discrimination complaints.</w:t>
      </w:r>
    </w:p>
    <w:p>
      <w:pPr>
        <w:spacing w:after="0" w:line="180"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b w:val="1"/>
          <w:bCs w:val="1"/>
          <w:color w:val="auto"/>
        </w:rPr>
        <w:t>3.18 Environmental Matters</w:t>
      </w:r>
      <w:r>
        <w:rPr>
          <w:rFonts w:ascii="Arial" w:cs="Arial" w:eastAsia="Arial" w:hAnsi="Arial"/>
          <w:sz w:val="18"/>
          <w:szCs w:val="18"/>
          <w:color w:val="auto"/>
        </w:rPr>
        <w:t>. Since January 1, 2016, Milan and each of its Subsidiaries have complied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which compliance includes the possession by Milan of all permits and other Governmental Authorizations required under applicable Environmental Laws and compliance with the terms and conditions thereof, except for any failure to be in compliance that, individually or in the aggregate, would not result in a Milan Material Adverse Effect. Neither Milan nor any of its Subsidiaries has received since January 1, 2016, any written notice or other communication (in writing or otherwise), whether from a Governmental Authority, citizens group, employee or otherwise, that alleges that Milan or any of its Subsidiaries is not in compliance with any Environmental Law and, to the Knowledge of Milan, there are no circumstances that may prevent or interfere with Milan’s compliance with any Environmental Law in the future, except where such failure to comply would not reasonably be expected to have a Milan Material Adverse Effect. To the Knowledge of Milan: (i) no current or prior owner of any property leased or controlled by Milan or any of its Subsidiaries has received since January 1, 2016, any written notice or other communication relating to property owned or leased at any time by Milan or any of its Subsidiaries, whether from a Governmental Authority, citizens group, employee or otherwise, that alleges that such current or prior owner or Milan or any of its Subsidiaries is not in compliance with or violated any Environmental Law relating to such property and (ii) neither Milan nor any of its Subsidiaries has any material liability under any Environmental Law.</w:t>
      </w:r>
    </w:p>
    <w:p>
      <w:pPr>
        <w:spacing w:after="0" w:line="181"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b w:val="1"/>
          <w:bCs w:val="1"/>
          <w:color w:val="auto"/>
        </w:rPr>
        <w:t>3.19 Insurance</w:t>
      </w:r>
      <w:r>
        <w:rPr>
          <w:rFonts w:ascii="Arial" w:cs="Arial" w:eastAsia="Arial" w:hAnsi="Arial"/>
          <w:sz w:val="18"/>
          <w:szCs w:val="18"/>
          <w:color w:val="auto"/>
        </w:rPr>
        <w:t>. Milan has made available to the Company accurate and complete copies of all material insurance policies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self-insurance programs and arrangements relating to the business, assets, liabilities and operations of Milan and each of its Subsidiaries. Each of such insurance policies is in full force and effect and Milan and each of its Subsidiaries are in compliance in all material respects with the terms thereof. Except as set forth in Section 3.19 of the Milan Disclosure Schedule, since January 1, 2016, neither Milan nor any of its Subsidiaries has made any claim under any such insurance policy. Other than customary end of policy notifications from insurance carriers, since January 1, 2016, neither Milan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Milan and each of its Subsidiaries has provided timely written notice to the appropriate insurance carrier(s) of each Legal Proceeding pending against Milan or any of its Subsidiaries for which Milan or such Subsidiary has insurance coverage, and no such carrier has issued a denial of coverage or a reservation of rights with respect to any such Legal Proceeding, or informed Milan or any of its Subsidiaries of its intent to do so.</w:t>
      </w:r>
    </w:p>
    <w:p>
      <w:pPr>
        <w:spacing w:after="0" w:line="187" w:lineRule="exact"/>
        <w:rPr>
          <w:sz w:val="20"/>
          <w:szCs w:val="20"/>
          <w:color w:val="auto"/>
        </w:rPr>
      </w:pPr>
    </w:p>
    <w:p>
      <w:pPr>
        <w:ind w:left="200" w:right="200" w:firstLine="441"/>
        <w:spacing w:after="0" w:line="247" w:lineRule="auto"/>
        <w:rPr>
          <w:sz w:val="20"/>
          <w:szCs w:val="20"/>
          <w:color w:val="auto"/>
        </w:rPr>
      </w:pPr>
      <w:r>
        <w:rPr>
          <w:rFonts w:ascii="Arial" w:cs="Arial" w:eastAsia="Arial" w:hAnsi="Arial"/>
          <w:sz w:val="18"/>
          <w:szCs w:val="18"/>
          <w:b w:val="1"/>
          <w:bCs w:val="1"/>
          <w:color w:val="auto"/>
        </w:rPr>
        <w:t>3.20 No Financial Advisors</w:t>
      </w:r>
      <w:r>
        <w:rPr>
          <w:rFonts w:ascii="Arial" w:cs="Arial" w:eastAsia="Arial" w:hAnsi="Arial"/>
          <w:sz w:val="18"/>
          <w:szCs w:val="18"/>
          <w:color w:val="auto"/>
        </w:rPr>
        <w:t>. Except as set forth on Section 3.20 of the Milan Disclosure Schedule, no broker, finder 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banker is entitled to any brokerage fee, finder’s fee, opinion fee, success fee, transaction fee, service fee or other fee, commission or expense in connection with the Contemplated Transactions based upon arrangements made by or on behalf of Milan or any of its Subsidiaries.</w:t>
      </w:r>
    </w:p>
    <w:p>
      <w:pPr>
        <w:spacing w:after="0" w:line="174" w:lineRule="exact"/>
        <w:rPr>
          <w:sz w:val="20"/>
          <w:szCs w:val="20"/>
          <w:color w:val="auto"/>
        </w:rPr>
      </w:pPr>
    </w:p>
    <w:p>
      <w:pPr>
        <w:ind w:left="200" w:firstLine="441"/>
        <w:spacing w:after="0" w:line="271" w:lineRule="auto"/>
        <w:rPr>
          <w:sz w:val="20"/>
          <w:szCs w:val="20"/>
          <w:color w:val="auto"/>
        </w:rPr>
      </w:pPr>
      <w:r>
        <w:rPr>
          <w:rFonts w:ascii="Arial" w:cs="Arial" w:eastAsia="Arial" w:hAnsi="Arial"/>
          <w:sz w:val="18"/>
          <w:szCs w:val="18"/>
          <w:b w:val="1"/>
          <w:bCs w:val="1"/>
          <w:color w:val="auto"/>
        </w:rPr>
        <w:t>3.21 Related Party Transactions</w:t>
      </w:r>
      <w:r>
        <w:rPr>
          <w:rFonts w:ascii="Arial" w:cs="Arial" w:eastAsia="Arial" w:hAnsi="Arial"/>
          <w:sz w:val="18"/>
          <w:szCs w:val="18"/>
          <w:color w:val="auto"/>
        </w:rPr>
        <w:t>. Except as set forth in the Milan Regulatory Documents made publicly available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since June 30, 2018, no transaction has been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20"/>
          </w:cols>
          <w:pgMar w:left="24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entered into between Milan and any related party (as such term is defined under the AIM Rules) that would be required to be disclosed under the AIM Rules.</w:t>
      </w:r>
    </w:p>
    <w:p>
      <w:pPr>
        <w:spacing w:after="0" w:line="175"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3.22 Valid Allotment and Issuance</w:t>
      </w:r>
      <w:r>
        <w:rPr>
          <w:rFonts w:ascii="Arial" w:cs="Arial" w:eastAsia="Arial" w:hAnsi="Arial"/>
          <w:sz w:val="18"/>
          <w:szCs w:val="18"/>
          <w:color w:val="auto"/>
        </w:rPr>
        <w:t>. The Milan Ordinary Shares underlying the Milan Depositary Shares to be allotted and issued at</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will, when allotted and issued in accordance with the provisions of this Agreement, be validly allotted and issued and credited as fully paid up.</w:t>
      </w:r>
    </w:p>
    <w:p>
      <w:pPr>
        <w:spacing w:after="0" w:line="169" w:lineRule="exact"/>
        <w:rPr>
          <w:sz w:val="20"/>
          <w:szCs w:val="20"/>
          <w:color w:val="auto"/>
        </w:rPr>
      </w:pPr>
    </w:p>
    <w:p>
      <w:pPr>
        <w:ind w:left="200" w:right="180" w:firstLine="441"/>
        <w:spacing w:after="0" w:line="241" w:lineRule="auto"/>
        <w:rPr>
          <w:sz w:val="20"/>
          <w:szCs w:val="20"/>
          <w:color w:val="auto"/>
        </w:rPr>
      </w:pPr>
      <w:r>
        <w:rPr>
          <w:rFonts w:ascii="Arial" w:cs="Arial" w:eastAsia="Arial" w:hAnsi="Arial"/>
          <w:sz w:val="18"/>
          <w:szCs w:val="18"/>
          <w:b w:val="1"/>
          <w:bCs w:val="1"/>
          <w:color w:val="auto"/>
        </w:rPr>
        <w:t>3.23 No Other Representations or Warranties</w:t>
      </w:r>
      <w:r>
        <w:rPr>
          <w:rFonts w:ascii="Arial" w:cs="Arial" w:eastAsia="Arial" w:hAnsi="Arial"/>
          <w:sz w:val="18"/>
          <w:szCs w:val="18"/>
          <w:color w:val="auto"/>
        </w:rPr>
        <w:t>. Milan hereby acknowledges and agrees that, except for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contained in this Agreement, neither the Company nor any other person on behalf of the Company makes any express or implied representation or warranty with respect to the Company or with respect to any other information provided to Milan, any of its Subsidiaries or shareholders or any of their respective Affiliates in connection with the transactions contemplated hereby, and (subject to the express representations and warranties of the Company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 each case as qualified and limited by the Company Disclosure Schedule)) none of Milan, its Subsidiaries or any of their respective Representatives or shareholders, has relied on any such information (including the accuracy or completeness thereof).</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4.1 Operation of Milan’s Business</w:t>
      </w:r>
      <w:r>
        <w:rPr>
          <w:rFonts w:ascii="Arial" w:cs="Arial" w:eastAsia="Arial" w:hAnsi="Arial"/>
          <w:sz w:val="18"/>
          <w:szCs w:val="18"/>
          <w:color w:val="auto"/>
        </w:rPr>
        <w:t>.</w:t>
      </w:r>
    </w:p>
    <w:p>
      <w:pPr>
        <w:spacing w:after="0" w:line="126" w:lineRule="exact"/>
        <w:rPr>
          <w:sz w:val="20"/>
          <w:szCs w:val="20"/>
          <w:color w:val="auto"/>
        </w:rPr>
      </w:pPr>
    </w:p>
    <w:p>
      <w:pPr>
        <w:ind w:left="200" w:right="240" w:firstLine="885"/>
        <w:spacing w:after="0" w:line="238" w:lineRule="auto"/>
        <w:tabs>
          <w:tab w:leader="none" w:pos="135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the Effective Time (the “</w:t>
      </w:r>
      <w:r>
        <w:rPr>
          <w:rFonts w:ascii="Arial" w:cs="Arial" w:eastAsia="Arial" w:hAnsi="Arial"/>
          <w:sz w:val="18"/>
          <w:szCs w:val="18"/>
          <w:b w:val="1"/>
          <w:bCs w:val="1"/>
          <w:i w:val="1"/>
          <w:iCs w:val="1"/>
          <w:color w:val="auto"/>
        </w:rPr>
        <w:t>Pre-Closing Period</w:t>
      </w:r>
      <w:r>
        <w:rPr>
          <w:rFonts w:ascii="Arial" w:cs="Arial" w:eastAsia="Arial" w:hAnsi="Arial"/>
          <w:sz w:val="18"/>
          <w:szCs w:val="18"/>
          <w:color w:val="auto"/>
        </w:rPr>
        <w:t>”), Milan shall conduct its business and operations in the Ordinary Course of Business and in compliance with all applicable Law and the requirements of all Contracts that constitute Milan Material Contracts.</w:t>
      </w:r>
    </w:p>
    <w:p>
      <w:pPr>
        <w:spacing w:after="0" w:line="94" w:lineRule="exact"/>
        <w:rPr>
          <w:rFonts w:ascii="Arial" w:cs="Arial" w:eastAsia="Arial" w:hAnsi="Arial"/>
          <w:sz w:val="18"/>
          <w:szCs w:val="18"/>
          <w:color w:val="auto"/>
        </w:rPr>
      </w:pPr>
    </w:p>
    <w:p>
      <w:pPr>
        <w:ind w:left="200" w:right="220" w:firstLine="885"/>
        <w:spacing w:after="0"/>
        <w:tabs>
          <w:tab w:leader="none" w:pos="135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4.1(b) of the Milan Disclosure Schedule, (iii) as required by applicable Law or (iv) with the prior written consent of the Company (which consent shall not be unreasonably withheld, delayed or conditioned), at all times during the Pre-Closing Period, Milan shall not:</w:t>
      </w:r>
    </w:p>
    <w:p>
      <w:pPr>
        <w:spacing w:after="0" w:line="94" w:lineRule="exact"/>
        <w:rPr>
          <w:rFonts w:ascii="Arial" w:cs="Arial" w:eastAsia="Arial" w:hAnsi="Arial"/>
          <w:sz w:val="18"/>
          <w:szCs w:val="18"/>
          <w:color w:val="auto"/>
        </w:rPr>
      </w:pPr>
    </w:p>
    <w:p>
      <w:pPr>
        <w:ind w:left="200" w:right="80" w:firstLine="1436"/>
        <w:spacing w:after="0" w:line="239" w:lineRule="auto"/>
        <w:tabs>
          <w:tab w:leader="none" w:pos="184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its share capital or repurchase, redeem or otherwise reacquire any shares of its share capital or other securities (except for Milan Ordinary Shares from terminated employees, directors or consultants of Milan or in connection with the vesting or exercise of any outstanding Milan Option to cover the applicable exercise price or Taxes);</w:t>
      </w:r>
    </w:p>
    <w:p>
      <w:pPr>
        <w:spacing w:after="0" w:line="93" w:lineRule="exact"/>
        <w:rPr>
          <w:rFonts w:ascii="Arial" w:cs="Arial" w:eastAsia="Arial" w:hAnsi="Arial"/>
          <w:sz w:val="18"/>
          <w:szCs w:val="18"/>
          <w:color w:val="auto"/>
        </w:rPr>
      </w:pPr>
    </w:p>
    <w:p>
      <w:pPr>
        <w:jc w:val="both"/>
        <w:ind w:left="200" w:right="200" w:firstLine="1436"/>
        <w:spacing w:after="0" w:line="239" w:lineRule="auto"/>
        <w:tabs>
          <w:tab w:leader="none" w:pos="188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share capital or other security (except for Milan Ordinary Shares issued upon the valid exercise of outstanding Milan Options); (B) any option, warrant or right to acquire any share capital or any other security; or (C) any instrument convertible into or exchangeable for any share capital or other security;</w:t>
      </w:r>
    </w:p>
    <w:p>
      <w:pPr>
        <w:spacing w:after="0" w:line="93" w:lineRule="exact"/>
        <w:rPr>
          <w:rFonts w:ascii="Arial" w:cs="Arial" w:eastAsia="Arial" w:hAnsi="Arial"/>
          <w:sz w:val="18"/>
          <w:szCs w:val="18"/>
          <w:color w:val="auto"/>
        </w:rPr>
      </w:pPr>
    </w:p>
    <w:p>
      <w:pPr>
        <w:ind w:left="200" w:firstLine="1436"/>
        <w:spacing w:after="0"/>
        <w:tabs>
          <w:tab w:leader="none" w:pos="192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90" w:lineRule="exact"/>
        <w:rPr>
          <w:rFonts w:ascii="Arial" w:cs="Arial" w:eastAsia="Arial" w:hAnsi="Arial"/>
          <w:sz w:val="18"/>
          <w:szCs w:val="18"/>
          <w:color w:val="auto"/>
        </w:rPr>
      </w:pPr>
    </w:p>
    <w:p>
      <w:pPr>
        <w:ind w:left="1940" w:hanging="304"/>
        <w:spacing w:after="0"/>
        <w:tabs>
          <w:tab w:leader="none" w:pos="19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w:t>
      </w:r>
    </w:p>
    <w:p>
      <w:pPr>
        <w:ind w:left="200"/>
        <w:spacing w:after="0"/>
        <w:rPr>
          <w:rFonts w:ascii="Arial" w:cs="Arial" w:eastAsia="Arial" w:hAnsi="Arial"/>
          <w:sz w:val="18"/>
          <w:szCs w:val="18"/>
          <w:color w:val="auto"/>
        </w:rPr>
      </w:pPr>
      <w:r>
        <w:rPr>
          <w:rFonts w:ascii="Arial" w:cs="Arial" w:eastAsia="Arial" w:hAnsi="Arial"/>
          <w:sz w:val="18"/>
          <w:szCs w:val="18"/>
          <w:color w:val="auto"/>
        </w:rPr>
        <w:t>with any other Entity;</w:t>
      </w:r>
    </w:p>
    <w:p>
      <w:pPr>
        <w:spacing w:after="0" w:line="103" w:lineRule="exact"/>
        <w:rPr>
          <w:rFonts w:ascii="Arial" w:cs="Arial" w:eastAsia="Arial" w:hAnsi="Arial"/>
          <w:sz w:val="18"/>
          <w:szCs w:val="18"/>
          <w:color w:val="auto"/>
        </w:rPr>
      </w:pPr>
    </w:p>
    <w:p>
      <w:pPr>
        <w:ind w:left="200" w:right="40" w:firstLine="1436"/>
        <w:spacing w:after="0" w:line="246" w:lineRule="auto"/>
        <w:tabs>
          <w:tab w:leader="none" w:pos="189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 other than in the Ordinary Course of Business;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20"/>
          </w:cols>
          <w:pgMar w:left="24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940" w:hanging="304"/>
        <w:spacing w:after="0"/>
        <w:tabs>
          <w:tab w:leader="none" w:pos="1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03" w:lineRule="exact"/>
        <w:rPr>
          <w:rFonts w:ascii="Arial" w:cs="Arial" w:eastAsia="Arial" w:hAnsi="Arial"/>
          <w:sz w:val="18"/>
          <w:szCs w:val="18"/>
          <w:color w:val="auto"/>
        </w:rPr>
      </w:pPr>
    </w:p>
    <w:p>
      <w:pPr>
        <w:ind w:left="200" w:right="140" w:firstLine="1436"/>
        <w:spacing w:after="0" w:line="246" w:lineRule="auto"/>
        <w:tabs>
          <w:tab w:leader="none" w:pos="197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88" w:lineRule="exact"/>
        <w:rPr>
          <w:rFonts w:ascii="Arial" w:cs="Arial" w:eastAsia="Arial" w:hAnsi="Arial"/>
          <w:sz w:val="18"/>
          <w:szCs w:val="18"/>
          <w:color w:val="auto"/>
        </w:rPr>
      </w:pPr>
    </w:p>
    <w:p>
      <w:pPr>
        <w:ind w:left="200" w:right="20" w:firstLine="1436"/>
        <w:spacing w:after="0" w:line="238" w:lineRule="auto"/>
        <w:tabs>
          <w:tab w:leader="none" w:pos="201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94" w:lineRule="exact"/>
        <w:rPr>
          <w:rFonts w:ascii="Arial" w:cs="Arial" w:eastAsia="Arial" w:hAnsi="Arial"/>
          <w:sz w:val="18"/>
          <w:szCs w:val="18"/>
          <w:color w:val="auto"/>
        </w:rPr>
      </w:pPr>
    </w:p>
    <w:p>
      <w:pPr>
        <w:ind w:left="1940" w:hanging="304"/>
        <w:spacing w:after="0"/>
        <w:tabs>
          <w:tab w:leader="none" w:pos="1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enter into, enter into any material amendment to or terminate any Milan Material Contract; or</w:t>
      </w:r>
    </w:p>
    <w:p>
      <w:pPr>
        <w:spacing w:after="0" w:line="103" w:lineRule="exact"/>
        <w:rPr>
          <w:rFonts w:ascii="Arial" w:cs="Arial" w:eastAsia="Arial" w:hAnsi="Arial"/>
          <w:sz w:val="18"/>
          <w:szCs w:val="18"/>
          <w:color w:val="auto"/>
        </w:rPr>
      </w:pPr>
    </w:p>
    <w:p>
      <w:pPr>
        <w:ind w:left="1900" w:hanging="264"/>
        <w:spacing w:after="0"/>
        <w:tabs>
          <w:tab w:leader="none" w:pos="1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1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Milan prior to the Effective Time. Prior to the Effective Time, Milan shall exercise, consistent with the terms and conditions of this Agreement, complete unilateral control and supervision over its business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4.2 Operation of the Company’s Business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8" w:lineRule="auto"/>
        <w:tabs>
          <w:tab w:leader="none" w:pos="135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Except as expressly contemplated or permitted by this Agreement, as required by applicable Law or unless Milan shall otherwise consent in writing (which consent shall not be unreasonably withheld, delayed or conditioned), during the Pre-Closing Period the Company shall (i) conduct its business and operations in the Ordinary Course of Business and in compliance with all applicable Law and the requirements of all Contracts that constitute Company Material Contracts and (ii) undertake the actions set forth on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the Company Disclosure Schedule.</w:t>
      </w:r>
    </w:p>
    <w:p>
      <w:pPr>
        <w:spacing w:after="0" w:line="94" w:lineRule="exact"/>
        <w:rPr>
          <w:rFonts w:ascii="Arial" w:cs="Arial" w:eastAsia="Arial" w:hAnsi="Arial"/>
          <w:sz w:val="18"/>
          <w:szCs w:val="18"/>
          <w:color w:val="auto"/>
        </w:rPr>
      </w:pPr>
    </w:p>
    <w:p>
      <w:pPr>
        <w:ind w:left="200" w:right="140" w:firstLine="885"/>
        <w:spacing w:after="0" w:line="257" w:lineRule="auto"/>
        <w:tabs>
          <w:tab w:leader="none" w:pos="135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Except (i) as expressly contemplated or permitted by this Agreement, (ii) as set forth in Section 4.2(b) of the Company Disclosure Schedule, (iii) as required by applicable Law (including pursuant to any regulations promulgated by any Drug Regulatory Agency) or (iv) with the prior written consent of Milan (which consent shall not be unreasonably withheld, delayed or conditioned), at all times during the Pre-Closing Period, the Company shall not, nor shall it cause or permit any of its Subsidiaries to, do any of the following:</w:t>
      </w:r>
    </w:p>
    <w:p>
      <w:pPr>
        <w:spacing w:after="0" w:line="81" w:lineRule="exact"/>
        <w:rPr>
          <w:rFonts w:ascii="Arial" w:cs="Arial" w:eastAsia="Arial" w:hAnsi="Arial"/>
          <w:sz w:val="17"/>
          <w:szCs w:val="17"/>
          <w:color w:val="auto"/>
        </w:rPr>
      </w:pPr>
    </w:p>
    <w:p>
      <w:pPr>
        <w:ind w:left="200" w:right="40" w:firstLine="1436"/>
        <w:spacing w:after="0" w:line="239" w:lineRule="auto"/>
        <w:tabs>
          <w:tab w:leader="none" w:pos="184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or in connection with the vesting or exercise of any outstanding Company Option to cover the applicable exercise price or Taxes);</w:t>
      </w:r>
    </w:p>
    <w:p>
      <w:pPr>
        <w:spacing w:after="0" w:line="93" w:lineRule="exact"/>
        <w:rPr>
          <w:rFonts w:ascii="Arial" w:cs="Arial" w:eastAsia="Arial" w:hAnsi="Arial"/>
          <w:sz w:val="18"/>
          <w:szCs w:val="18"/>
          <w:color w:val="auto"/>
        </w:rPr>
      </w:pPr>
    </w:p>
    <w:p>
      <w:pPr>
        <w:ind w:left="200" w:right="220" w:firstLine="1436"/>
        <w:spacing w:after="0" w:line="239" w:lineRule="auto"/>
        <w:tabs>
          <w:tab w:leader="none" w:pos="188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93" w:lineRule="exact"/>
        <w:rPr>
          <w:rFonts w:ascii="Arial" w:cs="Arial" w:eastAsia="Arial" w:hAnsi="Arial"/>
          <w:sz w:val="18"/>
          <w:szCs w:val="18"/>
          <w:color w:val="auto"/>
        </w:rPr>
      </w:pPr>
    </w:p>
    <w:p>
      <w:pPr>
        <w:ind w:left="200" w:right="120" w:firstLine="1436"/>
        <w:spacing w:after="0" w:line="239" w:lineRule="auto"/>
        <w:tabs>
          <w:tab w:leader="none" w:pos="192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20"/>
          </w:cols>
          <w:pgMar w:left="24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940" w:hanging="304"/>
        <w:spacing w:after="0"/>
        <w:tabs>
          <w:tab w:leader="none" w:pos="19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w:t>
      </w:r>
    </w:p>
    <w:p>
      <w:pPr>
        <w:ind w:left="200"/>
        <w:spacing w:after="0"/>
        <w:rPr>
          <w:rFonts w:ascii="Arial" w:cs="Arial" w:eastAsia="Arial" w:hAnsi="Arial"/>
          <w:sz w:val="18"/>
          <w:szCs w:val="18"/>
          <w:color w:val="auto"/>
        </w:rPr>
      </w:pPr>
      <w:r>
        <w:rPr>
          <w:rFonts w:ascii="Arial" w:cs="Arial" w:eastAsia="Arial" w:hAnsi="Arial"/>
          <w:sz w:val="18"/>
          <w:szCs w:val="18"/>
          <w:color w:val="auto"/>
        </w:rPr>
        <w:t>with any other Entity;</w:t>
      </w:r>
    </w:p>
    <w:p>
      <w:pPr>
        <w:spacing w:after="0" w:line="103" w:lineRule="exact"/>
        <w:rPr>
          <w:rFonts w:ascii="Arial" w:cs="Arial" w:eastAsia="Arial" w:hAnsi="Arial"/>
          <w:sz w:val="18"/>
          <w:szCs w:val="18"/>
          <w:color w:val="auto"/>
        </w:rPr>
      </w:pPr>
    </w:p>
    <w:p>
      <w:pPr>
        <w:ind w:left="200" w:firstLine="1436"/>
        <w:spacing w:after="0"/>
        <w:tabs>
          <w:tab w:leader="none" w:pos="189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other than in the Ordinary Course of Business, (C) guarantee any debt securities of others, or (D) make any capital expenditure or commitment in excess of $200,000;</w:t>
      </w:r>
    </w:p>
    <w:p>
      <w:pPr>
        <w:spacing w:after="0" w:line="94" w:lineRule="exact"/>
        <w:rPr>
          <w:rFonts w:ascii="Arial" w:cs="Arial" w:eastAsia="Arial" w:hAnsi="Arial"/>
          <w:sz w:val="18"/>
          <w:szCs w:val="18"/>
          <w:color w:val="auto"/>
        </w:rPr>
      </w:pPr>
    </w:p>
    <w:p>
      <w:pPr>
        <w:ind w:left="200" w:right="220" w:firstLine="1436"/>
        <w:spacing w:after="0" w:line="237" w:lineRule="auto"/>
        <w:tabs>
          <w:tab w:leader="none" w:pos="193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required by a Company Employee Plan as in effect on the date hereof, (A) adopt, establish or enter into any Company Employee Plan, collective bargaining agreement or other Contract with a labor organization representing any Company Associates; (B) cause or permit any Company Employee Plan to be amended or terminated; (C) increase the compensation or benefits provided to any Company Associate; (D) grant any severance, retention or termination pay to, enter into or amend any severance, retention, termination, employment, consulting, bonus, change in control or severance agreement with, or pay any bonus, incentive or similar payment to, any Company Associate; (E) grant any equity or equity-based awards to, or discretionarily accelerate the vesting or payment of any such awards held by, any Company Associate; or (F) hire any Company Associate;</w:t>
      </w:r>
    </w:p>
    <w:p>
      <w:pPr>
        <w:spacing w:after="0" w:line="95" w:lineRule="exact"/>
        <w:rPr>
          <w:rFonts w:ascii="Arial" w:cs="Arial" w:eastAsia="Arial" w:hAnsi="Arial"/>
          <w:sz w:val="18"/>
          <w:szCs w:val="18"/>
          <w:color w:val="auto"/>
        </w:rPr>
      </w:pPr>
    </w:p>
    <w:p>
      <w:pPr>
        <w:ind w:left="1980" w:hanging="344"/>
        <w:spacing w:after="0"/>
        <w:tabs>
          <w:tab w:leader="none" w:pos="19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03" w:lineRule="exact"/>
        <w:rPr>
          <w:rFonts w:ascii="Arial" w:cs="Arial" w:eastAsia="Arial" w:hAnsi="Arial"/>
          <w:sz w:val="18"/>
          <w:szCs w:val="18"/>
          <w:color w:val="auto"/>
        </w:rPr>
      </w:pPr>
    </w:p>
    <w:p>
      <w:pPr>
        <w:ind w:left="200" w:right="80" w:firstLine="1436"/>
        <w:spacing w:after="0" w:line="246" w:lineRule="auto"/>
        <w:tabs>
          <w:tab w:leader="none" w:pos="201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88" w:lineRule="exact"/>
        <w:rPr>
          <w:rFonts w:ascii="Arial" w:cs="Arial" w:eastAsia="Arial" w:hAnsi="Arial"/>
          <w:sz w:val="18"/>
          <w:szCs w:val="18"/>
          <w:color w:val="auto"/>
        </w:rPr>
      </w:pPr>
    </w:p>
    <w:p>
      <w:pPr>
        <w:ind w:left="200" w:right="120" w:firstLine="1436"/>
        <w:spacing w:after="0"/>
        <w:tabs>
          <w:tab w:leader="none" w:pos="193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abandon or permit to lapse, fail to take any action to maintain, enforce or protect, or create any Encumbrance (other than Permitted Encumbrances) on, any material Company IP Rights (other than pursuant to non-exclusive licenses in the Ordinary Course of Business);</w:t>
      </w:r>
    </w:p>
    <w:p>
      <w:pPr>
        <w:spacing w:after="0" w:line="94" w:lineRule="exact"/>
        <w:rPr>
          <w:rFonts w:ascii="Arial" w:cs="Arial" w:eastAsia="Arial" w:hAnsi="Arial"/>
          <w:sz w:val="18"/>
          <w:szCs w:val="18"/>
          <w:color w:val="auto"/>
        </w:rPr>
      </w:pPr>
    </w:p>
    <w:p>
      <w:pPr>
        <w:ind w:left="200" w:right="60" w:firstLine="1436"/>
        <w:spacing w:after="0" w:line="238" w:lineRule="auto"/>
        <w:tabs>
          <w:tab w:leader="none" w:pos="189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94" w:lineRule="exact"/>
        <w:rPr>
          <w:rFonts w:ascii="Arial" w:cs="Arial" w:eastAsia="Arial" w:hAnsi="Arial"/>
          <w:sz w:val="18"/>
          <w:szCs w:val="18"/>
          <w:color w:val="auto"/>
        </w:rPr>
      </w:pPr>
    </w:p>
    <w:p>
      <w:pPr>
        <w:ind w:left="1940" w:hanging="304"/>
        <w:spacing w:after="0"/>
        <w:tabs>
          <w:tab w:leader="none" w:pos="19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03" w:lineRule="exact"/>
        <w:rPr>
          <w:rFonts w:ascii="Arial" w:cs="Arial" w:eastAsia="Arial" w:hAnsi="Arial"/>
          <w:sz w:val="18"/>
          <w:szCs w:val="18"/>
          <w:color w:val="auto"/>
        </w:rPr>
      </w:pPr>
    </w:p>
    <w:p>
      <w:pPr>
        <w:ind w:left="200" w:firstLine="1436"/>
        <w:spacing w:after="0"/>
        <w:tabs>
          <w:tab w:leader="none" w:pos="197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to its customers or licensees or (B) agree to materially change pricing or royalties or other payments set or charged by persons who have licensed Intellectual Property to the Company; or</w:t>
      </w:r>
    </w:p>
    <w:p>
      <w:pPr>
        <w:spacing w:after="0" w:line="94" w:lineRule="exact"/>
        <w:rPr>
          <w:rFonts w:ascii="Arial" w:cs="Arial" w:eastAsia="Arial" w:hAnsi="Arial"/>
          <w:sz w:val="18"/>
          <w:szCs w:val="18"/>
          <w:color w:val="auto"/>
        </w:rPr>
      </w:pPr>
    </w:p>
    <w:p>
      <w:pPr>
        <w:ind w:left="2020" w:hanging="384"/>
        <w:spacing w:after="0"/>
        <w:tabs>
          <w:tab w:leader="none" w:pos="20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103" w:lineRule="exact"/>
        <w:rPr>
          <w:rFonts w:ascii="Arial" w:cs="Arial" w:eastAsia="Arial" w:hAnsi="Arial"/>
          <w:sz w:val="18"/>
          <w:szCs w:val="18"/>
          <w:color w:val="auto"/>
        </w:rPr>
      </w:pPr>
    </w:p>
    <w:p>
      <w:pPr>
        <w:ind w:left="200" w:right="120" w:firstLine="885"/>
        <w:spacing w:after="0" w:line="239" w:lineRule="auto"/>
        <w:tabs>
          <w:tab w:leader="none" w:pos="134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except (i) as required by applicable Law or (ii) with the prior written consent of Milan (which consent may be withheld in Milan’s sole discretion), from the Delivery Date to the Effective Time, the Company shall not take or omit to take any action resulting in, or reasonably likely to result in, the Company’s actual Net Cash balance deviating by more than $100,000 from the projections detailed in the Net Cash Calculation as of the Effective Time.</w:t>
      </w:r>
    </w:p>
    <w:p>
      <w:pPr>
        <w:spacing w:after="0" w:line="20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Nothing contained in this Agreement shall give Milan,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4.3 Access and Investigation</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46" w:lineRule="auto"/>
        <w:tabs>
          <w:tab w:leader="none" w:pos="135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Subject to the terms of the Confidentiality Agreement, which the Parties agree will continue in full force following the date of this Agreement, and any requirements of applicable Law,</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00"/>
          </w:cols>
          <w:pgMar w:left="24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during the Pre-Closing Period, upon reasonable notice, Milan,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w:t>
      </w:r>
    </w:p>
    <w:p>
      <w:pPr>
        <w:spacing w:after="0" w:line="3" w:lineRule="exact"/>
        <w:rPr>
          <w:sz w:val="20"/>
          <w:szCs w:val="20"/>
          <w:color w:val="auto"/>
        </w:rPr>
      </w:pPr>
    </w:p>
    <w:p>
      <w:pPr>
        <w:ind w:left="200" w:right="140" w:firstLine="4"/>
        <w:spacing w:after="0" w:line="234" w:lineRule="auto"/>
        <w:tabs>
          <w:tab w:leader="none" w:pos="47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w:t>
      </w:r>
    </w:p>
    <w:p>
      <w:pPr>
        <w:spacing w:after="0" w:line="2" w:lineRule="exact"/>
        <w:rPr>
          <w:rFonts w:ascii="Arial" w:cs="Arial" w:eastAsia="Arial" w:hAnsi="Arial"/>
          <w:sz w:val="18"/>
          <w:szCs w:val="18"/>
          <w:color w:val="auto"/>
        </w:rPr>
      </w:pPr>
    </w:p>
    <w:p>
      <w:pPr>
        <w:ind w:left="200" w:firstLine="4"/>
        <w:spacing w:after="0" w:line="238"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permit the other Party’s officers and other employees to meet, upon reasonable notice and during normal business hours, with the chief financial officer (or if there is no chief financial officer at such time, the principal financial and accounting officer for the relevant Party) and other officers and managers of such Party responsible for such Party’s financial statements and the internal controls of such Party to discuss such matters as the other Party may deem necessary. Any investigation conducted by either Milan or the Company pursuant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conducted in such manner as not to interfere unreasonably with the conduct of the business of the other Party.</w:t>
      </w:r>
    </w:p>
    <w:p>
      <w:pPr>
        <w:spacing w:after="0" w:line="95" w:lineRule="exact"/>
        <w:rPr>
          <w:sz w:val="20"/>
          <w:szCs w:val="20"/>
          <w:color w:val="auto"/>
        </w:rPr>
      </w:pPr>
    </w:p>
    <w:p>
      <w:pPr>
        <w:ind w:left="200" w:right="40" w:firstLine="885"/>
        <w:spacing w:after="0" w:line="236" w:lineRule="auto"/>
        <w:tabs>
          <w:tab w:leader="none" w:pos="135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in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no access or examination contemplated by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4.4 No Solicitation</w:t>
      </w:r>
      <w:r>
        <w:rPr>
          <w:rFonts w:ascii="Arial" w:cs="Arial" w:eastAsia="Arial" w:hAnsi="Arial"/>
          <w:sz w:val="18"/>
          <w:szCs w:val="18"/>
          <w:color w:val="auto"/>
        </w:rPr>
        <w:t>.</w:t>
      </w:r>
    </w:p>
    <w:p>
      <w:pPr>
        <w:spacing w:after="0" w:line="126" w:lineRule="exact"/>
        <w:rPr>
          <w:sz w:val="20"/>
          <w:szCs w:val="20"/>
          <w:color w:val="auto"/>
        </w:rPr>
      </w:pPr>
    </w:p>
    <w:p>
      <w:pPr>
        <w:ind w:left="200" w:right="200" w:firstLine="885"/>
        <w:spacing w:after="0" w:line="234" w:lineRule="auto"/>
        <w:tabs>
          <w:tab w:leader="none" w:pos="1351"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of Milan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w:t>
      </w:r>
    </w:p>
    <w:p>
      <w:pPr>
        <w:spacing w:after="0" w:line="3" w:lineRule="exact"/>
        <w:rPr>
          <w:rFonts w:ascii="Arial" w:cs="Arial" w:eastAsia="Arial" w:hAnsi="Arial"/>
          <w:sz w:val="18"/>
          <w:szCs w:val="18"/>
          <w:color w:val="auto"/>
        </w:rPr>
      </w:pPr>
    </w:p>
    <w:p>
      <w:pPr>
        <w:ind w:left="200" w:firstLine="4"/>
        <w:spacing w:after="0" w:line="236" w:lineRule="auto"/>
        <w:tabs>
          <w:tab w:leader="none" w:pos="49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engage in discussions or negotiations with any Person with respect to any Acquisition Proposal or Acquisition Inquiry; (iv) approve, endorse or recommend any Acquisition Proposal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(v) execute or enter into any letter of intent or any Contract contemplating or otherwise relating to any Acquisition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notwithstanding anything contained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subject to compliance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 prior to the approval of this Agreement by a Party’s equityholders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Required Company Stockholder Vote, in the case of the Company, or the Required Milan Shareholder Vote, in the case of Milan),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neither such Party nor any Representative of such Party shall have breached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in any material respect, (B) the board of directors of such Party concludes in good faith having consulted with its outside legal counsel, that the failure to take such action is reasonably likely to be inconsistent with the duties or obligations of the board of directors of such Party under applicable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20"/>
          </w:cols>
          <w:pgMar w:left="240" w:top="460" w:right="43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Law; and (C) such Party receives from such Person an executed confidentiality agreement containing provisions (including nondisclosure provisions, use restrictions, non-solicitation provisions and no hire provisions) at least as favorable to such Party as those contained in the Confidentiality Agreement. Without limiting the generality of the foregoing, each Party acknowledges and agrees that, in the event any Representative of such Party takes any action that, if taken by such Party, would constitute a breach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by such Party for purposes of this Agreement. Nothing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require Milan to take any action, or prevent Milan from taking any action, with respect to which the UK Takeover Panel determines, or which Milan reasonably determines, having consulted with its outside legal counsel, that the taking of such action, or the failure to take such action, as applicable, is inconsistent with or in breach of Milan’s obligations under the UK City Code. Nothing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require the Company to take any action, or prevent the Company from taking any action, if the Company reasonably determines, having consulted with its outside legal counsel, that the taking of such action, or the failure to take such action, as applicable, is inconsistent with or in breach of the Company’s obligations under the DGCL.</w:t>
      </w:r>
    </w:p>
    <w:p>
      <w:pPr>
        <w:spacing w:after="0" w:line="98" w:lineRule="exact"/>
        <w:rPr>
          <w:sz w:val="20"/>
          <w:szCs w:val="20"/>
          <w:color w:val="auto"/>
        </w:rPr>
      </w:pPr>
    </w:p>
    <w:p>
      <w:pPr>
        <w:jc w:val="both"/>
        <w:ind w:left="200" w:right="180" w:firstLine="885"/>
        <w:spacing w:after="0" w:line="239" w:lineRule="auto"/>
        <w:tabs>
          <w:tab w:leader="none" w:pos="135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subject to any regulatory obligations of such Party under applicable Law, promptly (and in no event later than one Business Day after such Party becomes aware of such Acquisition Proposal or Acquisition Inquiry) advise the other Party orally and in writing of the receipt of an Acquisition Proposal or Acquisition Inquiry.</w:t>
      </w:r>
    </w:p>
    <w:p>
      <w:pPr>
        <w:spacing w:after="0" w:line="93" w:lineRule="exact"/>
        <w:rPr>
          <w:rFonts w:ascii="Arial" w:cs="Arial" w:eastAsia="Arial" w:hAnsi="Arial"/>
          <w:sz w:val="18"/>
          <w:szCs w:val="18"/>
          <w:color w:val="auto"/>
        </w:rPr>
      </w:pPr>
    </w:p>
    <w:p>
      <w:pPr>
        <w:jc w:val="both"/>
        <w:ind w:left="200" w:right="40" w:firstLine="885"/>
        <w:spacing w:after="0"/>
        <w:tabs>
          <w:tab w:leader="none" w:pos="134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4.5 Notification of Certain Matters</w:t>
      </w:r>
      <w:r>
        <w:rPr>
          <w:rFonts w:ascii="Arial" w:cs="Arial" w:eastAsia="Arial" w:hAnsi="Arial"/>
          <w:sz w:val="18"/>
          <w:szCs w:val="18"/>
          <w:color w:val="auto"/>
        </w:rPr>
        <w:t>. During the Pre-Closing Period and subject to any regulatory obligations of such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each of the Company, on the one hand, and Milan,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as applicable, impossible or materially less likely. No such notice shall be deemed to supplement or amend the Company Disclosure Schedule or the Milan Disclosure Schedule for the purpose of (x) determining the accuracy of any of the representations and warranties made by the Company or Milan in this Agreement or (y) determining whether any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has been satisfied. Any failure by either Party to provide notice pursuant to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shall not be deemed to be a breach for purposes of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w:t>
      </w:r>
      <w:r>
        <w:rPr>
          <w:rFonts w:ascii="Arial" w:cs="Arial" w:eastAsia="Arial" w:hAnsi="Arial"/>
          <w:sz w:val="18"/>
          <w:szCs w:val="18"/>
          <w:color w:val="auto"/>
        </w:rPr>
        <w:t>, as applicable, unless such failure to provide such notice was knowing and intentional.</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5.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5.1 Registration Statement; Proxy Statement</w:t>
      </w:r>
      <w:r>
        <w:rPr>
          <w:rFonts w:ascii="Arial" w:cs="Arial" w:eastAsia="Arial" w:hAnsi="Arial"/>
          <w:sz w:val="18"/>
          <w:szCs w:val="18"/>
          <w:color w:val="auto"/>
        </w:rPr>
        <w:t>.</w:t>
      </w:r>
    </w:p>
    <w:p>
      <w:pPr>
        <w:spacing w:after="0" w:line="126" w:lineRule="exact"/>
        <w:rPr>
          <w:sz w:val="20"/>
          <w:szCs w:val="20"/>
          <w:color w:val="auto"/>
        </w:rPr>
      </w:pPr>
    </w:p>
    <w:p>
      <w:pPr>
        <w:ind w:left="200" w:right="180" w:firstLine="885"/>
        <w:spacing w:after="0"/>
        <w:tabs>
          <w:tab w:leader="none" w:pos="135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promptly as practicable following the date of this Agreement, Milan and the Company shall jointly prepare a draft of the registration statement on Form F-4 (together with any amendments thereof or supplements thereto, the “</w:t>
      </w:r>
      <w:r>
        <w:rPr>
          <w:rFonts w:ascii="Arial" w:cs="Arial" w:eastAsia="Arial" w:hAnsi="Arial"/>
          <w:sz w:val="18"/>
          <w:szCs w:val="18"/>
          <w:b w:val="1"/>
          <w:bCs w:val="1"/>
          <w:color w:val="auto"/>
        </w:rPr>
        <w:t>Form F-4</w:t>
      </w:r>
      <w:r>
        <w:rPr>
          <w:rFonts w:ascii="Arial" w:cs="Arial" w:eastAsia="Arial" w:hAnsi="Arial"/>
          <w:sz w:val="18"/>
          <w:szCs w:val="18"/>
          <w:color w:val="auto"/>
        </w:rPr>
        <w:t>”) and a proxy statement relating to the Company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20"/>
          </w:cols>
          <w:pgMar w:left="240" w:top="459" w:right="43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 Meeting to be held in connection with the Merger (together with any amendments thereof or supplements thereto, the “</w:t>
      </w:r>
      <w:r>
        <w:rPr>
          <w:rFonts w:ascii="Arial" w:cs="Arial" w:eastAsia="Arial" w:hAnsi="Arial"/>
          <w:sz w:val="18"/>
          <w:szCs w:val="18"/>
          <w:b w:val="1"/>
          <w:bCs w:val="1"/>
          <w:color w:val="auto"/>
        </w:rPr>
        <w:t>Proxy</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w:t>
      </w:r>
      <w:r>
        <w:rPr>
          <w:rFonts w:ascii="Arial" w:cs="Arial" w:eastAsia="Arial" w:hAnsi="Arial"/>
          <w:sz w:val="18"/>
          <w:szCs w:val="18"/>
          <w:color w:val="auto"/>
        </w:rPr>
        <w:t>”) included therein (such Proxy Statement and the Form F-4, and any amendments or supplements thereto, collectively, the</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Once such draft is in a form reasonably acceptable to all Parties, (i) the Company shall file with the SEC (as</w:t>
      </w:r>
    </w:p>
    <w:p>
      <w:pPr>
        <w:ind w:left="200"/>
        <w:spacing w:after="0" w:line="235" w:lineRule="auto"/>
        <w:rPr>
          <w:sz w:val="20"/>
          <w:szCs w:val="20"/>
          <w:color w:val="auto"/>
        </w:rPr>
      </w:pPr>
      <w:r>
        <w:rPr>
          <w:rFonts w:ascii="Arial" w:cs="Arial" w:eastAsia="Arial" w:hAnsi="Arial"/>
          <w:sz w:val="18"/>
          <w:szCs w:val="18"/>
          <w:color w:val="auto"/>
        </w:rPr>
        <w:t>part of the Registration Statement) the Proxy Statement relating to the Company Stockholder Meeting to be held in connection with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Merger, (ii) Milan, in cooperation with the Company, shall file with the SEC the Registration Statement in which the Proxy Statement will be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as a prospectus in connection with the registration under the Securities Act of Milan Depositary Shares (and the Milan Ordinary</w:t>
      </w:r>
    </w:p>
    <w:p>
      <w:pPr>
        <w:ind w:left="200"/>
        <w:spacing w:after="0" w:line="234" w:lineRule="auto"/>
        <w:rPr>
          <w:sz w:val="20"/>
          <w:szCs w:val="20"/>
          <w:color w:val="auto"/>
        </w:rPr>
      </w:pPr>
      <w:r>
        <w:rPr>
          <w:rFonts w:ascii="Arial" w:cs="Arial" w:eastAsia="Arial" w:hAnsi="Arial"/>
          <w:sz w:val="18"/>
          <w:szCs w:val="18"/>
          <w:color w:val="auto"/>
        </w:rPr>
        <w:t>Shares underlying such Milan Depositary Shares) to be issued by virtue of the Merger, (iii) to the extent necessary, Milan shall cause the</w:t>
      </w:r>
    </w:p>
    <w:p>
      <w:pPr>
        <w:ind w:left="200"/>
        <w:spacing w:after="0" w:line="235" w:lineRule="auto"/>
        <w:rPr>
          <w:sz w:val="20"/>
          <w:szCs w:val="20"/>
          <w:color w:val="auto"/>
        </w:rPr>
      </w:pPr>
      <w:r>
        <w:rPr>
          <w:rFonts w:ascii="Arial" w:cs="Arial" w:eastAsia="Arial" w:hAnsi="Arial"/>
          <w:sz w:val="18"/>
          <w:szCs w:val="18"/>
          <w:color w:val="auto"/>
        </w:rPr>
        <w:t>Depositary to prepare and file with the SEC, no later than the date prescribed by the rules and regulations under the Securities Act, a</w:t>
      </w:r>
    </w:p>
    <w:p>
      <w:pPr>
        <w:ind w:left="200"/>
        <w:spacing w:after="0" w:line="235" w:lineRule="auto"/>
        <w:rPr>
          <w:sz w:val="20"/>
          <w:szCs w:val="20"/>
          <w:color w:val="auto"/>
        </w:rPr>
      </w:pPr>
      <w:r>
        <w:rPr>
          <w:rFonts w:ascii="Arial" w:cs="Arial" w:eastAsia="Arial" w:hAnsi="Arial"/>
          <w:sz w:val="18"/>
          <w:szCs w:val="18"/>
          <w:color w:val="auto"/>
        </w:rPr>
        <w:t>registration statement, or pre-effective or post-effective amendment thereto, as applicable, on Form F-6 (the “</w:t>
      </w:r>
      <w:r>
        <w:rPr>
          <w:rFonts w:ascii="Arial" w:cs="Arial" w:eastAsia="Arial" w:hAnsi="Arial"/>
          <w:sz w:val="18"/>
          <w:szCs w:val="18"/>
          <w:b w:val="1"/>
          <w:bCs w:val="1"/>
          <w:color w:val="auto"/>
        </w:rPr>
        <w:t>Form F-6</w:t>
      </w:r>
      <w:r>
        <w:rPr>
          <w:rFonts w:ascii="Arial" w:cs="Arial" w:eastAsia="Arial" w:hAnsi="Arial"/>
          <w:sz w:val="18"/>
          <w:szCs w:val="18"/>
          <w:color w:val="auto"/>
        </w:rPr>
        <w:t>”) with respect to</w:t>
      </w:r>
    </w:p>
    <w:p>
      <w:pPr>
        <w:ind w:left="200"/>
        <w:spacing w:after="0" w:line="235" w:lineRule="auto"/>
        <w:rPr>
          <w:sz w:val="20"/>
          <w:szCs w:val="20"/>
          <w:color w:val="auto"/>
        </w:rPr>
      </w:pPr>
      <w:r>
        <w:rPr>
          <w:rFonts w:ascii="Arial" w:cs="Arial" w:eastAsia="Arial" w:hAnsi="Arial"/>
          <w:sz w:val="18"/>
          <w:szCs w:val="18"/>
          <w:color w:val="auto"/>
        </w:rPr>
        <w:t>the registration under the Securities Act of the Milan Depositary Shares to be issued by virtue of the Merger and the change in Milan’s</w:t>
      </w:r>
    </w:p>
    <w:p>
      <w:pPr>
        <w:ind w:left="200"/>
        <w:spacing w:after="0" w:line="235" w:lineRule="auto"/>
        <w:rPr>
          <w:sz w:val="20"/>
          <w:szCs w:val="20"/>
          <w:color w:val="auto"/>
        </w:rPr>
      </w:pPr>
      <w:r>
        <w:rPr>
          <w:rFonts w:ascii="Arial" w:cs="Arial" w:eastAsia="Arial" w:hAnsi="Arial"/>
          <w:sz w:val="18"/>
          <w:szCs w:val="18"/>
          <w:color w:val="auto"/>
        </w:rPr>
        <w:t>SEC reporting status, and (iv) Milan, in cooperation with the Company, shall prepare and file with the SEC a registration statement on</w:t>
      </w:r>
    </w:p>
    <w:p>
      <w:pPr>
        <w:ind w:left="200"/>
        <w:spacing w:after="0" w:line="235" w:lineRule="auto"/>
        <w:rPr>
          <w:sz w:val="20"/>
          <w:szCs w:val="20"/>
          <w:color w:val="auto"/>
        </w:rPr>
      </w:pPr>
      <w:r>
        <w:rPr>
          <w:rFonts w:ascii="Arial" w:cs="Arial" w:eastAsia="Arial" w:hAnsi="Arial"/>
          <w:sz w:val="18"/>
          <w:szCs w:val="18"/>
          <w:color w:val="auto"/>
        </w:rPr>
        <w:t>Form 8-A relating to the registration under the Exchange Act of Milan Depositary Shares to be issued by virtue of the Merger. Each of</w:t>
      </w:r>
    </w:p>
    <w:p>
      <w:pPr>
        <w:ind w:left="200"/>
        <w:spacing w:after="0" w:line="235" w:lineRule="auto"/>
        <w:rPr>
          <w:sz w:val="20"/>
          <w:szCs w:val="20"/>
          <w:color w:val="auto"/>
        </w:rPr>
      </w:pPr>
      <w:r>
        <w:rPr>
          <w:rFonts w:ascii="Arial" w:cs="Arial" w:eastAsia="Arial" w:hAnsi="Arial"/>
          <w:sz w:val="18"/>
          <w:szCs w:val="18"/>
          <w:color w:val="auto"/>
        </w:rPr>
        <w:t>Milan and the Company shall use their commercially reasonable efforts to (A) cause the Registration Statement to become effective as</w:t>
      </w:r>
    </w:p>
    <w:p>
      <w:pPr>
        <w:ind w:left="200"/>
        <w:spacing w:after="0" w:line="235" w:lineRule="auto"/>
        <w:rPr>
          <w:sz w:val="20"/>
          <w:szCs w:val="20"/>
          <w:color w:val="auto"/>
        </w:rPr>
      </w:pPr>
      <w:r>
        <w:rPr>
          <w:rFonts w:ascii="Arial" w:cs="Arial" w:eastAsia="Arial" w:hAnsi="Arial"/>
          <w:sz w:val="18"/>
          <w:szCs w:val="18"/>
          <w:color w:val="auto"/>
        </w:rPr>
        <w:t>promptly as practicable, (B) promptly notify the other of, cooperate with each other with respect to, and respond promptly to, any</w:t>
      </w:r>
    </w:p>
    <w:p>
      <w:pPr>
        <w:ind w:left="200"/>
        <w:spacing w:after="0" w:line="235" w:lineRule="auto"/>
        <w:rPr>
          <w:sz w:val="20"/>
          <w:szCs w:val="20"/>
          <w:color w:val="auto"/>
        </w:rPr>
      </w:pPr>
      <w:r>
        <w:rPr>
          <w:rFonts w:ascii="Arial" w:cs="Arial" w:eastAsia="Arial" w:hAnsi="Arial"/>
          <w:sz w:val="18"/>
          <w:szCs w:val="18"/>
          <w:color w:val="auto"/>
        </w:rPr>
        <w:t>comments of the SEC or its staff, and (C) take all or any action required under any applicable federal, state, securities and other Laws in</w:t>
      </w:r>
    </w:p>
    <w:p>
      <w:pPr>
        <w:ind w:left="200"/>
        <w:spacing w:after="0" w:line="234" w:lineRule="auto"/>
        <w:rPr>
          <w:sz w:val="20"/>
          <w:szCs w:val="20"/>
          <w:color w:val="auto"/>
        </w:rPr>
      </w:pPr>
      <w:r>
        <w:rPr>
          <w:rFonts w:ascii="Arial" w:cs="Arial" w:eastAsia="Arial" w:hAnsi="Arial"/>
          <w:sz w:val="18"/>
          <w:szCs w:val="18"/>
          <w:color w:val="auto"/>
        </w:rPr>
        <w:t>connection with the issuance of Milan Depositary Shares pursuant to the Merger. Each of the Parties shall furnish all information</w:t>
      </w:r>
    </w:p>
    <w:p>
      <w:pPr>
        <w:ind w:left="200"/>
        <w:spacing w:after="0" w:line="235" w:lineRule="auto"/>
        <w:rPr>
          <w:sz w:val="20"/>
          <w:szCs w:val="20"/>
          <w:color w:val="auto"/>
        </w:rPr>
      </w:pPr>
      <w:r>
        <w:rPr>
          <w:rFonts w:ascii="Arial" w:cs="Arial" w:eastAsia="Arial" w:hAnsi="Arial"/>
          <w:sz w:val="18"/>
          <w:szCs w:val="18"/>
          <w:color w:val="auto"/>
        </w:rPr>
        <w:t>concerning itself and their Affiliates, as applicable, to the other Parties as the other Parties may reasonably request in connection with</w:t>
      </w:r>
    </w:p>
    <w:p>
      <w:pPr>
        <w:ind w:left="200"/>
        <w:spacing w:after="0" w:line="235" w:lineRule="auto"/>
        <w:rPr>
          <w:sz w:val="20"/>
          <w:szCs w:val="20"/>
          <w:color w:val="auto"/>
        </w:rPr>
      </w:pPr>
      <w:r>
        <w:rPr>
          <w:rFonts w:ascii="Arial" w:cs="Arial" w:eastAsia="Arial" w:hAnsi="Arial"/>
          <w:sz w:val="18"/>
          <w:szCs w:val="18"/>
          <w:color w:val="auto"/>
        </w:rPr>
        <w:t>such actions and the preparation of the Registration Statement and the Proxy Statement. Milan shall prepare any prospectus, admission</w:t>
      </w:r>
    </w:p>
    <w:p>
      <w:pPr>
        <w:ind w:left="200"/>
        <w:spacing w:after="0" w:line="235" w:lineRule="auto"/>
        <w:rPr>
          <w:sz w:val="20"/>
          <w:szCs w:val="20"/>
          <w:color w:val="auto"/>
        </w:rPr>
      </w:pPr>
      <w:r>
        <w:rPr>
          <w:rFonts w:ascii="Arial" w:cs="Arial" w:eastAsia="Arial" w:hAnsi="Arial"/>
          <w:sz w:val="18"/>
          <w:szCs w:val="18"/>
          <w:color w:val="auto"/>
        </w:rPr>
        <w:t>or listing document or other similar document with respect to the Contemplated Transactions required to be filed or published by or on</w:t>
      </w:r>
    </w:p>
    <w:p>
      <w:pPr>
        <w:ind w:left="200"/>
        <w:spacing w:after="0" w:line="235" w:lineRule="auto"/>
        <w:rPr>
          <w:sz w:val="20"/>
          <w:szCs w:val="20"/>
          <w:color w:val="auto"/>
        </w:rPr>
      </w:pPr>
      <w:r>
        <w:rPr>
          <w:rFonts w:ascii="Arial" w:cs="Arial" w:eastAsia="Arial" w:hAnsi="Arial"/>
          <w:sz w:val="18"/>
          <w:szCs w:val="18"/>
          <w:color w:val="auto"/>
        </w:rPr>
        <w:t>behalf of Milan under applicable foreign Law as promptly as practicable after the requirement to prepare such document is notified by</w:t>
      </w:r>
    </w:p>
    <w:p>
      <w:pPr>
        <w:ind w:left="200"/>
        <w:spacing w:after="0" w:line="235" w:lineRule="auto"/>
        <w:rPr>
          <w:sz w:val="20"/>
          <w:szCs w:val="20"/>
          <w:color w:val="auto"/>
        </w:rPr>
      </w:pPr>
      <w:r>
        <w:rPr>
          <w:rFonts w:ascii="Arial" w:cs="Arial" w:eastAsia="Arial" w:hAnsi="Arial"/>
          <w:sz w:val="18"/>
          <w:szCs w:val="18"/>
          <w:color w:val="auto"/>
        </w:rPr>
        <w:t>Milan to the Company, such notification to be made promptly after the receipt of legal advice by Milan that the preparation of such</w:t>
      </w:r>
    </w:p>
    <w:p>
      <w:pPr>
        <w:ind w:left="200"/>
        <w:spacing w:after="0" w:line="235" w:lineRule="auto"/>
        <w:rPr>
          <w:sz w:val="20"/>
          <w:szCs w:val="20"/>
          <w:color w:val="auto"/>
        </w:rPr>
      </w:pPr>
      <w:r>
        <w:rPr>
          <w:rFonts w:ascii="Arial" w:cs="Arial" w:eastAsia="Arial" w:hAnsi="Arial"/>
          <w:sz w:val="18"/>
          <w:szCs w:val="18"/>
          <w:color w:val="auto"/>
        </w:rPr>
        <w:t>document is required under applicable foreign Law. Notwithstanding anything herein to the contrary, nothing herein shall require Milan to</w:t>
      </w:r>
    </w:p>
    <w:p>
      <w:pPr>
        <w:ind w:left="200"/>
        <w:spacing w:after="0"/>
        <w:rPr>
          <w:sz w:val="20"/>
          <w:szCs w:val="20"/>
          <w:color w:val="auto"/>
        </w:rPr>
      </w:pPr>
      <w:r>
        <w:rPr>
          <w:rFonts w:ascii="Arial" w:cs="Arial" w:eastAsia="Arial" w:hAnsi="Arial"/>
          <w:sz w:val="18"/>
          <w:szCs w:val="18"/>
          <w:color w:val="auto"/>
        </w:rPr>
        <w:t>register the Milan CVRs with the SEC or obtain the listing of the Milan CVRs on any national securities exchange or market.</w:t>
      </w:r>
    </w:p>
    <w:p>
      <w:pPr>
        <w:spacing w:after="0" w:line="104" w:lineRule="exact"/>
        <w:rPr>
          <w:sz w:val="20"/>
          <w:szCs w:val="20"/>
          <w:color w:val="auto"/>
        </w:rPr>
      </w:pPr>
    </w:p>
    <w:p>
      <w:pPr>
        <w:ind w:left="200" w:firstLine="885"/>
        <w:spacing w:after="0" w:line="236" w:lineRule="auto"/>
        <w:tabs>
          <w:tab w:leader="none" w:pos="135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Milan covenants and agrees that the Registration Statement (and the letter to shareholders, notice of meeting and form of proxy included therewith) and any information supplied by or on behalf of Milan or its Subsidiaries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Milan for inclusion in the Registration Statement (including the Company SEC Documents) will not contain any untrue statement of a material fact or omit to state any material fact required to be stated therein or necessary in order to make such information, in light of the circumstances under which they were made, not misleading. If at any time prior to the Effective Time any information relating to the Company or Milan, or any of their respective Affiliates, should be discovered by the Company or Milan which should be set forth in an amendment or supplement to the Form F-4 or the Proxy Statement, so that the relevant document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applicable Law, disseminated to the stockholders of the Company. Notwithstanding the foregoing, Milan makes no covenant, representation or warranty with respect to statements made in the Registration Statement (and the letter to shareholders, notice of meeting and form of proxy included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00"/>
          </w:cols>
          <w:pgMar w:left="24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therewith), if any, based on information provided by the Company or any of its Representatives for inclusion therein.</w:t>
      </w:r>
    </w:p>
    <w:p>
      <w:pPr>
        <w:spacing w:after="0" w:line="104" w:lineRule="exact"/>
        <w:rPr>
          <w:sz w:val="20"/>
          <w:szCs w:val="20"/>
          <w:color w:val="auto"/>
        </w:rPr>
      </w:pPr>
    </w:p>
    <w:p>
      <w:pPr>
        <w:ind w:left="200" w:right="80" w:firstLine="885"/>
        <w:spacing w:after="0" w:line="237" w:lineRule="auto"/>
        <w:tabs>
          <w:tab w:leader="none" w:pos="134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cause the Proxy Statement to be mailed to the Company’s stockholders as promptly as practicable after the Registration Statement is declared effective under the Securities Act. If Milan,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Company’s stockholders.</w:t>
      </w:r>
    </w:p>
    <w:p>
      <w:pPr>
        <w:spacing w:after="0" w:line="97" w:lineRule="exact"/>
        <w:rPr>
          <w:rFonts w:ascii="Arial" w:cs="Arial" w:eastAsia="Arial" w:hAnsi="Arial"/>
          <w:sz w:val="18"/>
          <w:szCs w:val="18"/>
          <w:color w:val="auto"/>
        </w:rPr>
      </w:pPr>
    </w:p>
    <w:p>
      <w:pPr>
        <w:ind w:left="200" w:firstLine="885"/>
        <w:spacing w:after="0" w:line="236" w:lineRule="auto"/>
        <w:tabs>
          <w:tab w:leader="none" w:pos="135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and Milan shall reasonably cooperate with each other and provide, and cause each of their respective Representatives to provide, to the other Party and its Representatives, such true, correct and complete information regarding the Company or Milan, as the case may be, that is reasonably requested by the other Party, or as may be required by Law or appropriate for inclusion in (i) the Registration Statement, (ii) the Form F-6, or (iii) any prospectus, admission or listing document or other similar document with respect to the Contemplated Transactions required to be filed or published by or on behalf of Milan under applicable foreign Law. Without limiting the foregoing, each of Milan and the Company will use commercially reasonable efforts to supply, and cause such Party’s independent accounting firm to supply, to the other Party, as soon as reasonably practicable after the date of this Agreement and from time to time thereafter, all information and schedules reasonably requested by the other Party to prepare consolidated pro forma financial information as required in connection with the Registration Statement or any prospectus, admission or listing document or other similar document with respect to the Contemplated Transactions required to be filed or published by or on behalf of Milan under applicable foreign Law.</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5.2 Company Stockholder Meeting</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6" w:lineRule="auto"/>
        <w:tabs>
          <w:tab w:leader="none" w:pos="135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take all action necessary under applicable Law to call, give notice of and hold a meeting of the holders of Company Common Stock to consider and vote to approve this Agreement and the Contemplated Transactions (collectively, the “</w:t>
      </w:r>
      <w:r>
        <w:rPr>
          <w:rFonts w:ascii="Arial" w:cs="Arial" w:eastAsia="Arial" w:hAnsi="Arial"/>
          <w:sz w:val="18"/>
          <w:szCs w:val="18"/>
          <w:b w:val="1"/>
          <w:bCs w:val="1"/>
          <w:i w:val="1"/>
          <w:iCs w:val="1"/>
          <w:color w:val="auto"/>
        </w:rPr>
        <w:t>Company Stockholder Matters</w:t>
      </w:r>
      <w:r>
        <w:rPr>
          <w:rFonts w:ascii="Arial" w:cs="Arial" w:eastAsia="Arial" w:hAnsi="Arial"/>
          <w:sz w:val="18"/>
          <w:szCs w:val="18"/>
          <w:color w:val="auto"/>
        </w:rPr>
        <w:t>” and such meeting, the “</w:t>
      </w:r>
      <w:r>
        <w:rPr>
          <w:rFonts w:ascii="Arial" w:cs="Arial" w:eastAsia="Arial" w:hAnsi="Arial"/>
          <w:sz w:val="18"/>
          <w:szCs w:val="18"/>
          <w:b w:val="1"/>
          <w:bCs w:val="1"/>
          <w:i w:val="1"/>
          <w:iCs w:val="1"/>
          <w:color w:val="auto"/>
        </w:rPr>
        <w:t>Company Stockholder Meeting</w:t>
      </w:r>
      <w:r>
        <w:rPr>
          <w:rFonts w:ascii="Arial" w:cs="Arial" w:eastAsia="Arial" w:hAnsi="Arial"/>
          <w:sz w:val="18"/>
          <w:szCs w:val="18"/>
          <w:color w:val="auto"/>
        </w:rPr>
        <w:t>”). The Company Stockholder Meeting shall be held as promptly as practicable after the Registration Statement is declared effective under the Securities Act, and in any event no later than forty-five (45) days after the effective date of the Registration Statement. The Company shall take reasonable measures to ensure that all proxies solicited in connection with the Company Stockholder Meeting are solicited in compliance with all applicable Law. Notwithstanding anything to the contrary contained herein, if on the date of the Company Stockholder Meeting, or a date preceding the date on which the Company Stockholder Meeting is scheduled, the Company reasonably believes that (i) it will not receive proxies sufficient to obtain the Required Company Stockholder Vote, whether or not a quorum would be present or (ii) it will not have sufficient shares of Company Common Stock represented (whether in person or by proxy) to constitute a quorum necessary to conduct the business of the Company Stockholder Meeting, the Company may postpone or adjourn, or make one or more successive postponements or adjournments of, the Company Stockholder Meeting as long as the date of the Company Stockholder Meeting is not postponed or adjourned more than an aggregate of 30 calendar days in connection with any postponements or adjournments.</w:t>
      </w:r>
    </w:p>
    <w:p>
      <w:pPr>
        <w:spacing w:after="0" w:line="95" w:lineRule="exact"/>
        <w:rPr>
          <w:rFonts w:ascii="Arial" w:cs="Arial" w:eastAsia="Arial" w:hAnsi="Arial"/>
          <w:sz w:val="18"/>
          <w:szCs w:val="18"/>
          <w:color w:val="auto"/>
        </w:rPr>
      </w:pPr>
    </w:p>
    <w:p>
      <w:pPr>
        <w:ind w:left="200" w:right="160" w:firstLine="885"/>
        <w:spacing w:after="0" w:line="238" w:lineRule="auto"/>
        <w:tabs>
          <w:tab w:leader="none" w:pos="135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The Company agrees that, subject to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(i) the Company Board shall recommend that the Company’s stockholders vote to approve the Company Stockholder Matters and shall use commercially reasonable efforts to solicit such approval within the time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(the recommendation of the Company Board that the Company’s stockholders vote to adopt and approve this Agreement being referred to as the “</w:t>
      </w:r>
      <w:r>
        <w:rPr>
          <w:rFonts w:ascii="Arial" w:cs="Arial" w:eastAsia="Arial" w:hAnsi="Arial"/>
          <w:sz w:val="18"/>
          <w:szCs w:val="18"/>
          <w:b w:val="1"/>
          <w:bCs w:val="1"/>
          <w:i w:val="1"/>
          <w:iCs w:val="1"/>
          <w:color w:val="auto"/>
        </w:rPr>
        <w:t>Company Board Recommendation</w:t>
      </w:r>
      <w:r>
        <w:rPr>
          <w:rFonts w:ascii="Arial" w:cs="Arial" w:eastAsia="Arial" w:hAnsi="Arial"/>
          <w:sz w:val="18"/>
          <w:szCs w:val="18"/>
          <w:color w:val="auto"/>
        </w:rPr>
        <w:t>”); and (ii) the Company Board Recommendation shall not be withdrawn or modified (and the Company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20"/>
          </w:cols>
          <w:pgMar w:left="240" w:top="459" w:right="43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Board shall not publicly propose to withdraw or modify the Company Board Recommendation) in a manner adverse to Milan, and no resolution by the Company Board or any committee thereof to withdraw or modify the Company Board Recommendation in a manner adverse to Milan or to adopt, approve or recommend (or publicly propose to adopt, approve or recommend) any Acquisition Proposal shall be adopted or proposed.</w:t>
      </w:r>
    </w:p>
    <w:p>
      <w:pPr>
        <w:spacing w:after="0" w:line="94" w:lineRule="exact"/>
        <w:rPr>
          <w:sz w:val="20"/>
          <w:szCs w:val="20"/>
          <w:color w:val="auto"/>
        </w:rPr>
      </w:pPr>
    </w:p>
    <w:p>
      <w:pPr>
        <w:ind w:left="200" w:firstLine="885"/>
        <w:spacing w:after="0" w:line="235" w:lineRule="auto"/>
        <w:tabs>
          <w:tab w:leader="none" w:pos="13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w:t>
      </w:r>
      <w:r>
        <w:rPr>
          <w:rFonts w:ascii="Arial" w:cs="Arial" w:eastAsia="Arial" w:hAnsi="Arial"/>
          <w:sz w:val="18"/>
          <w:szCs w:val="18"/>
          <w:color w:val="auto"/>
        </w:rPr>
        <w:t>, if at any time prior to the approval of the Company Stockholder Matters by the Required Company Stockholder Vote, the Company receives a bona fide written Superior Offer, the Company Board may withhold, amend, withdraw or modify the Company Board Recommendation (or publicly propose to withhold, amend, withdraw or modify the Company Board Recommendation) in a manner adverse to Milan (collectively, a “</w:t>
      </w:r>
      <w:r>
        <w:rPr>
          <w:rFonts w:ascii="Arial" w:cs="Arial" w:eastAsia="Arial" w:hAnsi="Arial"/>
          <w:sz w:val="18"/>
          <w:szCs w:val="18"/>
          <w:b w:val="1"/>
          <w:bCs w:val="1"/>
          <w:i w:val="1"/>
          <w:iCs w:val="1"/>
          <w:color w:val="auto"/>
        </w:rPr>
        <w:t>Company Board Adverse Recommendation Change</w:t>
      </w:r>
      <w:r>
        <w:rPr>
          <w:rFonts w:ascii="Arial" w:cs="Arial" w:eastAsia="Arial" w:hAnsi="Arial"/>
          <w:sz w:val="18"/>
          <w:szCs w:val="18"/>
          <w:color w:val="auto"/>
        </w:rPr>
        <w:t xml:space="preserve">”) if, but only if, following the receipt of and on account of such Superior Offer, (i) the Company Board determines in good faith, having consulted with its outside legal counsel, that the failure to withhold, amend, withdraw or modify such recommendation would be reasonably likely to be inconsistent with its fiduciary duties under applicable Law, (ii) the Company has, and has caused its financial advisors and outside legal counsel to, during the Notice Period (as defined below), negotiate with Milan in good faith to make such adjustments to the terms and conditions of this Agreement so that such Acquisition Proposal ceases to constitute a Superior Offer, and (iii) if after Milan shall have delivered to the Company a written offer to alter the terms or conditions of this Agreement during the Notice Period, the Company Board shall have determined in good faith, having consulted with its outside legal counsel, that the failure to withhold, amend, withdraw or modify the Company Board Recommendation would result in a breach of its fiduciary duties under applicable Law (after taking into account such alterations of the terms and conditions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Milan receives written notice from the Company confirming that the Company Board has determined to change its recommendation at least four (4) Business Days in advance of the Company Board Adverse Recommendation Change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Notice Period, Milan shall be entitled to deliver to the Company one or more counterproposals to such Acquisition Proposal and the Company will, and request its Representatives to, negotiate with Milan in good faith (to the extent Milan desires to negotiate) to make such adjustments to the terms and conditions of this Agreement so that the applicable Acquisition Proposal ceases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Milan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and the Company Board shall not make a Company Board Adverse Recommendation Change prior to the end of such Notice Period as so extended (it being understood that there may be multiple extensions).</w:t>
      </w:r>
    </w:p>
    <w:p>
      <w:pPr>
        <w:spacing w:after="0" w:line="101" w:lineRule="exact"/>
        <w:rPr>
          <w:rFonts w:ascii="Arial" w:cs="Arial" w:eastAsia="Arial" w:hAnsi="Arial"/>
          <w:sz w:val="18"/>
          <w:szCs w:val="18"/>
          <w:color w:val="auto"/>
        </w:rPr>
      </w:pPr>
    </w:p>
    <w:p>
      <w:pPr>
        <w:ind w:left="1360" w:hanging="275"/>
        <w:spacing w:after="0"/>
        <w:tabs>
          <w:tab w:leader="none" w:pos="13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Company’s obligation to call, give notice of and hold the Company Stockholder Meeting in accordance with</w:t>
      </w:r>
    </w:p>
    <w:p>
      <w:pPr>
        <w:ind w:left="200" w:right="140"/>
        <w:spacing w:after="0" w:line="246" w:lineRule="auto"/>
        <w:rPr>
          <w:sz w:val="20"/>
          <w:szCs w:val="20"/>
          <w:color w:val="auto"/>
        </w:rPr>
      </w:pP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89" w:lineRule="exact"/>
        <w:rPr>
          <w:sz w:val="20"/>
          <w:szCs w:val="20"/>
          <w:color w:val="auto"/>
        </w:rPr>
      </w:pPr>
    </w:p>
    <w:p>
      <w:pPr>
        <w:ind w:left="200" w:right="240" w:firstLine="885"/>
        <w:spacing w:after="0" w:line="246" w:lineRule="auto"/>
        <w:tabs>
          <w:tab w:leader="none" w:pos="135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prohibit the Company or the Company Board from complying with duties owed under applicable Law.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5.3 Milan Shareholder Meeting</w:t>
      </w:r>
      <w:r>
        <w:rPr>
          <w:rFonts w:ascii="Arial" w:cs="Arial" w:eastAsia="Arial" w:hAnsi="Arial"/>
          <w:sz w:val="18"/>
          <w:szCs w:val="18"/>
          <w:color w:val="auto"/>
        </w:rPr>
        <w:t>.</w:t>
      </w:r>
    </w:p>
    <w:p>
      <w:pPr>
        <w:spacing w:after="0" w:line="126" w:lineRule="exact"/>
        <w:rPr>
          <w:sz w:val="20"/>
          <w:szCs w:val="20"/>
          <w:color w:val="auto"/>
        </w:rPr>
      </w:pPr>
    </w:p>
    <w:p>
      <w:pPr>
        <w:ind w:left="200" w:right="160" w:firstLine="885"/>
        <w:spacing w:after="0" w:line="246" w:lineRule="auto"/>
        <w:tabs>
          <w:tab w:leader="none" w:pos="135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Milan shall take all action necessary under applicable Law to call, give notice of and hold a meeting of the holders of Milan Ordinary Shares to consider and vote to approve this Agreement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20"/>
          </w:cols>
          <w:pgMar w:left="240" w:top="459" w:right="43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Contemplated Transactions and any matters considered by the Milan Board to be necessary in connection therewith or otherwise required by applicable Law, the Depositary or otherwise required in connection with the issuance or trading of the Milan Depositary Shares, including (i) the issuance of the Milan Depositary Shares and the allotment and issuance of the Milan Ordinary Shares underlying the Milan Depositary Shares to be issued in the Merger, and (ii) the grant of the Milan CVRs to the stockholders of the Company pursuant to the terms of this Agreement (collectively, the “</w:t>
      </w:r>
      <w:r>
        <w:rPr>
          <w:rFonts w:ascii="Arial" w:cs="Arial" w:eastAsia="Arial" w:hAnsi="Arial"/>
          <w:sz w:val="18"/>
          <w:szCs w:val="18"/>
          <w:b w:val="1"/>
          <w:bCs w:val="1"/>
          <w:i w:val="1"/>
          <w:iCs w:val="1"/>
          <w:color w:val="auto"/>
        </w:rPr>
        <w:t>Milan Shareholder Matters</w:t>
      </w:r>
      <w:r>
        <w:rPr>
          <w:rFonts w:ascii="Arial" w:cs="Arial" w:eastAsia="Arial" w:hAnsi="Arial"/>
          <w:sz w:val="18"/>
          <w:szCs w:val="18"/>
          <w:color w:val="auto"/>
        </w:rPr>
        <w:t>” and such meeting, the “</w:t>
      </w:r>
      <w:r>
        <w:rPr>
          <w:rFonts w:ascii="Arial" w:cs="Arial" w:eastAsia="Arial" w:hAnsi="Arial"/>
          <w:sz w:val="18"/>
          <w:szCs w:val="18"/>
          <w:b w:val="1"/>
          <w:bCs w:val="1"/>
          <w:i w:val="1"/>
          <w:iCs w:val="1"/>
          <w:color w:val="auto"/>
        </w:rPr>
        <w:t>Milan Shareholder Meeting</w:t>
      </w:r>
      <w:r>
        <w:rPr>
          <w:rFonts w:ascii="Arial" w:cs="Arial" w:eastAsia="Arial" w:hAnsi="Arial"/>
          <w:sz w:val="18"/>
          <w:szCs w:val="18"/>
          <w:color w:val="auto"/>
        </w:rPr>
        <w:t>”). The Milan Shareholder Meeting, if so required, shall be held as promptly as practicable after the Registration Statement is declared effective under the Securities Act, and in any event no later than forty-five (45) days after the effective date of the Registration Statement. Milan shall take reasonable measures to ensure compliance with applicable Law in connection with the convening and holding of the Milan Shareholder Meeting. Notwithstanding anything to the contrary contained herein, if on the date of the Milan Shareholder Meeting, or a date preceding the date on which the Milan Shareholder Meeting is scheduled, Milan reasonably believes that (i) it will not receive proxies sufficient to obtain the Required Milan Shareholder Vote, whether or not a quorum would be present or (ii) it will not have sufficient Milan Ordinary Shares represented (whether in person or by proxy) to constitute a quorum necessary to conduct the business of the Milan Shareholder Meeting, Milan shall promptly inform the Company and may postpone or adjourn, or make one or more successive postponements or adjournments of, the Milan Shareholder Meeting as long as the date of the Milan Shareholder Meeting is not postponed or adjourned more than an aggregate of 30 calendar days in connection with any postponements or adjournments.</w:t>
      </w:r>
    </w:p>
    <w:p>
      <w:pPr>
        <w:spacing w:after="0" w:line="94" w:lineRule="exact"/>
        <w:rPr>
          <w:sz w:val="20"/>
          <w:szCs w:val="20"/>
          <w:color w:val="auto"/>
        </w:rPr>
      </w:pPr>
    </w:p>
    <w:p>
      <w:pPr>
        <w:ind w:left="200" w:firstLine="885"/>
        <w:spacing w:after="0" w:line="236" w:lineRule="auto"/>
        <w:tabs>
          <w:tab w:leader="none" w:pos="135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Milan agrees that, if a Milan Shareholder Meeting is required pursuant to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(i) the Milan Board shall recommend that the holders of Milan Ordinary Shares vote to approve the Milan Shareholder Matters and shall use commercially reasonable efforts to solicit such approval within the time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above, (ii) the Proxy Statement shall include a statement to the effect that the Milan Board recommends that Milan’s shareholders vote to approve the Milan Shareholder Matters (the recommendation of the Milan Board being referred to as the “</w:t>
      </w:r>
      <w:r>
        <w:rPr>
          <w:rFonts w:ascii="Arial" w:cs="Arial" w:eastAsia="Arial" w:hAnsi="Arial"/>
          <w:sz w:val="18"/>
          <w:szCs w:val="18"/>
          <w:b w:val="1"/>
          <w:bCs w:val="1"/>
          <w:i w:val="1"/>
          <w:iCs w:val="1"/>
          <w:color w:val="auto"/>
        </w:rPr>
        <w:t>Milan Board Recommendation</w:t>
      </w:r>
      <w:r>
        <w:rPr>
          <w:rFonts w:ascii="Arial" w:cs="Arial" w:eastAsia="Arial" w:hAnsi="Arial"/>
          <w:sz w:val="18"/>
          <w:szCs w:val="18"/>
          <w:color w:val="auto"/>
        </w:rPr>
        <w:t>”); and (iii) the Milan Board Recommendation shall not be withheld, amended, withdrawn or modified (and the Milan Board shall not publicly propose to withhold, amend, withdraw or modify the Milan Board Recommendation) in a manner adverse to the Company, and no resolution by the Milan Board or any committee thereof to withdraw or modify the Milan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8"/>
          <w:szCs w:val="18"/>
          <w:b w:val="1"/>
          <w:bCs w:val="1"/>
          <w:i w:val="1"/>
          <w:iCs w:val="1"/>
          <w:color w:val="auto"/>
        </w:rPr>
        <w:t>Milan Board Adverse Recommendation Change</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00" w:right="40" w:firstLine="885"/>
        <w:spacing w:after="0" w:line="236" w:lineRule="auto"/>
        <w:tabs>
          <w:tab w:leader="none" w:pos="134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5.3(b)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at any time prior to the approval of the Milan Shareholder Matters by the Required Milan Shareholder Vote, Milan receives a bona fide written Superior Offer, the Milan Board may make a Milan Board Adverse Recommendation Change if, but only if, following the receipt of and on account of such Superior Offer, the Milan Board determines in good faith, having consulted with its outside legal counsel, that the failure to make a Milan Board Adverse Recommendation Change would be reasonably likely to be inconsistent with its fiduciary duties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the Company receives written notice from Milan confirming that the Milan Board has determined to change its recommendation during the Notice Period, which notice shall include a description in reasonable detail of the reasons for such Milan Board Adverse Recommendation Change; (y) during any Notice Period, the Company shall be entitled to deliver to Milan one or more counterproposals to such Acquisition Proposal and Milan will, and will request its Representatives to, negotiate with the Company in good faith (to the extent the Company desires to negotiate) to make such adjustments to the terms and conditions of this Agreement so that the applicable Acquisition Proposal ceases to constitute a Superior Offer; and (z) in the event of any material amendment to any Superior Offer (including any revision in price or percentage of the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20"/>
          </w:cols>
          <w:pgMar w:left="240" w:top="460" w:right="43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combined company that Milan’s shareholders would receive as a result of such potential Superior Offer), Milan shall be required to provide the Company with notice of such material amendment and the Notice Period shall be extended, if applicable, to ensure that at least two</w:t>
      </w:r>
    </w:p>
    <w:p>
      <w:pPr>
        <w:spacing w:after="0" w:line="2" w:lineRule="exact"/>
        <w:rPr>
          <w:sz w:val="20"/>
          <w:szCs w:val="20"/>
          <w:color w:val="auto"/>
        </w:rPr>
      </w:pPr>
    </w:p>
    <w:p>
      <w:pPr>
        <w:ind w:left="200" w:right="140" w:firstLine="4"/>
        <w:spacing w:after="0"/>
        <w:tabs>
          <w:tab w:leader="none" w:pos="47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and the Milan Board shall not make a Milan Board Adverse Recommendation Change prior to the end of such Notice Period as so extended (it being understood that there may be multiple extensions).</w:t>
      </w:r>
    </w:p>
    <w:p>
      <w:pPr>
        <w:spacing w:after="0" w:line="94" w:lineRule="exact"/>
        <w:rPr>
          <w:rFonts w:ascii="Arial" w:cs="Arial" w:eastAsia="Arial" w:hAnsi="Arial"/>
          <w:sz w:val="18"/>
          <w:szCs w:val="18"/>
          <w:color w:val="auto"/>
        </w:rPr>
      </w:pPr>
    </w:p>
    <w:p>
      <w:pPr>
        <w:ind w:left="200" w:right="140" w:firstLine="885"/>
        <w:spacing w:after="0"/>
        <w:tabs>
          <w:tab w:leader="none" w:pos="135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Milan’s obligation to call, give notice of and hold the Milan Shareholder Meeting in accordance with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Milan Board Adverse Recommendation Change.</w:t>
      </w:r>
    </w:p>
    <w:p>
      <w:pPr>
        <w:spacing w:after="0" w:line="94" w:lineRule="exact"/>
        <w:rPr>
          <w:rFonts w:ascii="Arial" w:cs="Arial" w:eastAsia="Arial" w:hAnsi="Arial"/>
          <w:sz w:val="18"/>
          <w:szCs w:val="18"/>
          <w:color w:val="auto"/>
        </w:rPr>
      </w:pPr>
    </w:p>
    <w:p>
      <w:pPr>
        <w:ind w:left="200" w:right="720" w:firstLine="885"/>
        <w:spacing w:after="0" w:line="246" w:lineRule="auto"/>
        <w:tabs>
          <w:tab w:leader="none" w:pos="135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prohibit Milan or the Milan Board from complying with duties owed under applicable Law.</w:t>
      </w:r>
    </w:p>
    <w:p>
      <w:pPr>
        <w:spacing w:after="0" w:line="175"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b w:val="1"/>
          <w:bCs w:val="1"/>
          <w:color w:val="auto"/>
        </w:rPr>
        <w:t>5.4 Regulatory Approvals</w:t>
      </w:r>
      <w:r>
        <w:rPr>
          <w:rFonts w:ascii="Arial" w:cs="Arial" w:eastAsia="Arial" w:hAnsi="Arial"/>
          <w:sz w:val="18"/>
          <w:szCs w:val="18"/>
          <w:color w:val="auto"/>
        </w:rPr>
        <w:t>. Each Party shall use commercially reasonable efforts to file or otherwise submit, as soon as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promptly after the date of this Agreement, prepare and file, if applicable, any notification or other document required to be filed in connection with the Merger under any applicable foreign Law relating to antitrust or competition matters. The Company and Milan shall respond as promptly as is practicable to respond in compliance with: (i) any inquiries or requests received from the Federal Trade Commission or the Department of Justice for additional information or documentation; and (ii) any inquiries or requests received from any state attorney general, foreign antitrust or competition authority or other Governmental Authority in connection with antitrust or competition matters.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5.5 Company Equity Awards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36" w:lineRule="auto"/>
        <w:tabs>
          <w:tab w:leader="none" w:pos="135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At or immediately prior to the Effective Time, each Company Option that is outstanding and unexercised, whether or not vested, shall be canceled and converted into the right to receive, subject to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(i) the excess, if any, of the Merger Consideration over the applicable exercise price of such canceled Company Option, multiplied by (ii) the number of shares of Company Common Stock subject to such Company Option immediately prior to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excess will be determined by subtracting from the Share Consideration a number of Milan Ordinary Shares equal to the quotient of the aggregate exercise price applicable to the Company Option divided by the Milan Dollar VWAP. For the avoidance of doubt, each Company Option that has a per-share exercise price that is higher than the Merger Consideration (each, an “</w:t>
      </w:r>
      <w:r>
        <w:rPr>
          <w:rFonts w:ascii="Arial" w:cs="Arial" w:eastAsia="Arial" w:hAnsi="Arial"/>
          <w:sz w:val="18"/>
          <w:szCs w:val="18"/>
          <w:b w:val="1"/>
          <w:bCs w:val="1"/>
          <w:i w:val="1"/>
          <w:iCs w:val="1"/>
          <w:color w:val="auto"/>
        </w:rPr>
        <w:t>Underwater Option</w:t>
      </w:r>
      <w:r>
        <w:rPr>
          <w:rFonts w:ascii="Arial" w:cs="Arial" w:eastAsia="Arial" w:hAnsi="Arial"/>
          <w:sz w:val="18"/>
          <w:szCs w:val="18"/>
          <w:color w:val="auto"/>
        </w:rPr>
        <w:t xml:space="preserve">”) shall be canceled at the Effective Time for no consideration. The Parties acknowledge that the treatment of the Company Options pursuant to this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is intended to comply with the requirements of Section 409A of the Code and the rules and regulations thereunder so as to not be subject to the penalties thereunder.</w:t>
      </w:r>
    </w:p>
    <w:p>
      <w:pPr>
        <w:spacing w:after="0" w:line="98" w:lineRule="exact"/>
        <w:rPr>
          <w:rFonts w:ascii="Arial" w:cs="Arial" w:eastAsia="Arial" w:hAnsi="Arial"/>
          <w:sz w:val="18"/>
          <w:szCs w:val="18"/>
          <w:color w:val="auto"/>
        </w:rPr>
      </w:pPr>
    </w:p>
    <w:p>
      <w:pPr>
        <w:ind w:left="200" w:firstLine="885"/>
        <w:spacing w:after="0" w:line="237" w:lineRule="auto"/>
        <w:tabs>
          <w:tab w:leader="none" w:pos="135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Prior to the Closing, the Company Board shall have adopted appropriate resolutions and taken all other actions necessary and appropriate to provide that as of immediately prior to the Effective Time, each award of Company RSUs shall be cancelled and the holder thereof shall be entitled to receive, immediately prior to the Effective Time and subject to the occurrence of the Closing, a number of shares of Company Common Stock equal to the number of Company RSUs subject to such award. Notwithstanding anything herein to the contrary, the tax withholding obligations for each holder receiving shares of Company Common Stock in accordance with the preceding sentence shall be satisfied by the Company withholding from issuance that number of shares of Company Common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20"/>
          </w:cols>
          <w:pgMar w:left="240" w:top="459" w:right="43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Stock calculated by multiplying the maximum statutory withholding rate for such holder in connection with such issuance by the number of shares of Company Common Stock to be issued in accordance with the preceding sentence, and rounding up to the nearest whole share and remitting such withholding in cash to the appropriate Tax Authority.</w:t>
      </w:r>
    </w:p>
    <w:p>
      <w:pPr>
        <w:spacing w:after="0" w:line="95" w:lineRule="exact"/>
        <w:rPr>
          <w:sz w:val="20"/>
          <w:szCs w:val="20"/>
          <w:color w:val="auto"/>
        </w:rPr>
      </w:pPr>
    </w:p>
    <w:p>
      <w:pPr>
        <w:jc w:val="both"/>
        <w:ind w:left="200" w:right="560" w:firstLine="885"/>
        <w:spacing w:after="0" w:line="261" w:lineRule="auto"/>
        <w:tabs>
          <w:tab w:leader="none" w:pos="134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Prior to the Effective Time, the Company shall take all actions that may be necessary (under the Company Plans and otherwise) to effectuate the provisions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and to ensure that, from and after the Effective Time, holders of Company Options and Company RSUs have no rights with respect thereto other than those specifically provided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64"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5.6 Employee Benefits</w:t>
      </w:r>
      <w:r>
        <w:rPr>
          <w:rFonts w:ascii="Arial" w:cs="Arial" w:eastAsia="Arial" w:hAnsi="Arial"/>
          <w:sz w:val="18"/>
          <w:szCs w:val="18"/>
          <w:color w:val="auto"/>
        </w:rPr>
        <w:t>. The Company shall comply with the terms of any employment, severance, retention, change of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specified on Section 2.17(d) of the Company Disclosure Schedule, subject to the provisions of such agreements.</w:t>
      </w:r>
    </w:p>
    <w:p>
      <w:pPr>
        <w:spacing w:after="0" w:line="154"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5.7 Employee Stock Purchase Plan</w:t>
      </w:r>
      <w:r>
        <w:rPr>
          <w:rFonts w:ascii="Arial" w:cs="Arial" w:eastAsia="Arial" w:hAnsi="Arial"/>
          <w:sz w:val="18"/>
          <w:szCs w:val="18"/>
          <w:color w:val="auto"/>
        </w:rPr>
        <w:t>. Prior to the Effective Time, the Company Board or the appropriate committee thereof shall</w:t>
      </w:r>
      <w:r>
        <w:rPr>
          <w:rFonts w:ascii="Arial" w:cs="Arial" w:eastAsia="Arial" w:hAnsi="Arial"/>
          <w:sz w:val="18"/>
          <w:szCs w:val="18"/>
          <w:b w:val="1"/>
          <w:bCs w:val="1"/>
          <w:color w:val="auto"/>
        </w:rPr>
        <w:t xml:space="preserve"> </w:t>
      </w:r>
      <w:r>
        <w:rPr>
          <w:rFonts w:ascii="Arial" w:cs="Arial" w:eastAsia="Arial" w:hAnsi="Arial"/>
          <w:sz w:val="18"/>
          <w:szCs w:val="18"/>
          <w:color w:val="auto"/>
        </w:rPr>
        <w:t>take all actions necessary or appropriate, including adopting any resolutions or amendments and providing any notices to participants (which resolutions, amendments and notices, if applicable, shall be reasonably satisfactory to Milan) with respect to the ESPP to: (i) cause the Offering Period (as defined in the ESPP) ongoing as of the date of this Agreement to be the final Offering Period under the ESPP and the options under the ESPP to be exercised on the earlier of (x) the scheduled purchase date for such Offering Period and (y) the date that is ten (10) Business Days prior to the Effective Time (with any participant payroll deductions not applied to the purchase of shares of Company Common Stock promptly returned to the participant), (ii) prohibit any individual who is not participating in the ESPP as of the date of this Agreement from commencing participation in the ESPP following the date of this Agreement, (iii) prohibit participants in the ESPP from increasing their payroll deductions from those in effect as of the date of this Agreement and (iv) terminate the ESPP effective immediately prior to the Effective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5.8 Indemnification of Officers and Directors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6" w:lineRule="auto"/>
        <w:tabs>
          <w:tab w:leader="none" w:pos="135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From the Effective Time through the sixth anniversary of the date on which the Effective Time occurs, each of Milan and the Surviving Corporation shall indemnify and hold harmless each person who is now, or has been at any time prior to the date hereof, or who becomes prior to the Effective Time, a director or officer of Milan or the Company, respectively (the “</w:t>
      </w:r>
      <w:r>
        <w:rPr>
          <w:rFonts w:ascii="Arial" w:cs="Arial" w:eastAsia="Arial" w:hAnsi="Arial"/>
          <w:sz w:val="18"/>
          <w:szCs w:val="18"/>
          <w:b w:val="1"/>
          <w:bCs w:val="1"/>
          <w:i w:val="1"/>
          <w:iCs w:val="1"/>
          <w:color w:val="auto"/>
        </w:rPr>
        <w:t>D&amp;O Indemnified Parties</w:t>
      </w:r>
      <w:r>
        <w:rPr>
          <w:rFonts w:ascii="Arial" w:cs="Arial" w:eastAsia="Arial" w:hAnsi="Arial"/>
          <w:sz w:val="18"/>
          <w:szCs w:val="18"/>
          <w:color w:val="auto"/>
        </w:rPr>
        <w:t>”), against all claims, losses, liabilities, damages, judgments, fines and reasonable fees, costs and expenses, including attorneys’ fees and disbursements (collectively, “</w:t>
      </w:r>
      <w:r>
        <w:rPr>
          <w:rFonts w:ascii="Arial" w:cs="Arial" w:eastAsia="Arial" w:hAnsi="Arial"/>
          <w:sz w:val="18"/>
          <w:szCs w:val="18"/>
          <w:b w:val="1"/>
          <w:bCs w:val="1"/>
          <w:i w:val="1"/>
          <w:iCs w:val="1"/>
          <w:color w:val="auto"/>
        </w:rPr>
        <w:t>Costs</w:t>
      </w:r>
      <w:r>
        <w:rPr>
          <w:rFonts w:ascii="Arial" w:cs="Arial" w:eastAsia="Arial" w:hAnsi="Arial"/>
          <w:sz w:val="18"/>
          <w:szCs w:val="18"/>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Milan or of the Company,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Milan and the Surviving Corporation, jointly and severally, upon receipt by Milan or the Surviving Corporation from the D&amp;O Indemnified Party of a request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to whom expenses are advanced provides an undertaking to Milan, to the extent then required by applicable Law, to repay such advances if it is ultimately determined that such person is not entitled to indemnification.</w:t>
      </w:r>
    </w:p>
    <w:p>
      <w:pPr>
        <w:spacing w:after="0" w:line="96" w:lineRule="exact"/>
        <w:rPr>
          <w:rFonts w:ascii="Arial" w:cs="Arial" w:eastAsia="Arial" w:hAnsi="Arial"/>
          <w:sz w:val="18"/>
          <w:szCs w:val="18"/>
          <w:color w:val="auto"/>
        </w:rPr>
      </w:pPr>
    </w:p>
    <w:p>
      <w:pPr>
        <w:ind w:left="200" w:right="120" w:firstLine="885"/>
        <w:spacing w:after="0" w:line="238" w:lineRule="auto"/>
        <w:tabs>
          <w:tab w:leader="none" w:pos="135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provisions of the articles of association of Milan with respect to indemnification, advancement of expenses and exculpation of present and former directors and officers of Milan that are presently set forth in the articles of association of Milan shall not be amended, modified or repealed for a period of six years from the Effective Time in a manner that would adversely affect the rights thereunder of individuals who, at or prior to the Effective Time, were officers or directors of Milan, unless such modification is required by applicable Law. The certificate of incorporation and bylaws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00"/>
          </w:cols>
          <w:pgMar w:left="24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Surviving Corporation shall contain, and Milan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the Company.</w:t>
      </w:r>
    </w:p>
    <w:p>
      <w:pPr>
        <w:spacing w:after="0" w:line="95" w:lineRule="exact"/>
        <w:rPr>
          <w:sz w:val="20"/>
          <w:szCs w:val="20"/>
          <w:color w:val="auto"/>
        </w:rPr>
      </w:pPr>
    </w:p>
    <w:p>
      <w:pPr>
        <w:ind w:left="200" w:firstLine="885"/>
        <w:spacing w:after="0" w:line="237" w:lineRule="auto"/>
        <w:tabs>
          <w:tab w:leader="none" w:pos="134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Milan shall fulfill and honor in all respects the obligations of Milan to its D&amp;O Indemnified Parties as of immediately prior to the Closing pursuant to any indemnification provisions under Milan’s Organizational Documents and pursuant to any indemnification agreements between Milan and such D&amp;O Indemnified Parties, with respect to claims arising out of matters occurring at or prior to the Effective Time.</w:t>
      </w:r>
    </w:p>
    <w:p>
      <w:pPr>
        <w:spacing w:after="0" w:line="95" w:lineRule="exact"/>
        <w:rPr>
          <w:rFonts w:ascii="Arial" w:cs="Arial" w:eastAsia="Arial" w:hAnsi="Arial"/>
          <w:sz w:val="18"/>
          <w:szCs w:val="18"/>
          <w:color w:val="auto"/>
        </w:rPr>
      </w:pPr>
    </w:p>
    <w:p>
      <w:pPr>
        <w:ind w:left="200" w:right="20" w:firstLine="885"/>
        <w:spacing w:after="0" w:line="236" w:lineRule="auto"/>
        <w:tabs>
          <w:tab w:leader="none" w:pos="135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From and after the Effective Time, Milan shall maintain directors’ and officers’ liability insurance policies, with an effective date as of the Closing Date, on commercially available terms and conditions and with coverage limits customary for public limited companies similarly situated to Milan. In addition, the Company shall purchase, prior to the Effective Time, a six-year prepaid “D&amp;O tail policy” for the non-cancellable extension of the directors’ and officers’ liability coverage of the Company’s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the Company’s existing policies as of the date of this Agreement with respect to any actual or alleged error, misstatement, misleading statement, act, omission, neglect, breach of duty or any matter claimed against a director or officer of the Company by reason of him or her serving in such capacity that existed or occurred at or prior to the Effective Time (including in connection with this Agreement or the Contemplated Transactions or in connection with the Company’s initial public offering of shares of Company Common Stock).</w:t>
      </w:r>
    </w:p>
    <w:p>
      <w:pPr>
        <w:spacing w:after="0" w:line="97" w:lineRule="exact"/>
        <w:rPr>
          <w:rFonts w:ascii="Arial" w:cs="Arial" w:eastAsia="Arial" w:hAnsi="Arial"/>
          <w:sz w:val="18"/>
          <w:szCs w:val="18"/>
          <w:color w:val="auto"/>
        </w:rPr>
      </w:pPr>
    </w:p>
    <w:p>
      <w:pPr>
        <w:jc w:val="both"/>
        <w:ind w:left="200" w:right="220" w:firstLine="885"/>
        <w:spacing w:after="0" w:line="246" w:lineRule="auto"/>
        <w:tabs>
          <w:tab w:leader="none" w:pos="135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From and after the Effective Time, Milan shall pay all expenses, including reasonable attorneys’ fees, that are incurred by the persons referred to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in connection with their enforcement of the rights provided to such persons in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20" w:firstLine="885"/>
        <w:spacing w:after="0"/>
        <w:tabs>
          <w:tab w:leader="none" w:pos="130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Milan and the Company by law, charter, statute, bylaw or agreement, and shall operate for the benefit of, and shall be enforceable by, each of the D&amp;O Indemnified Parties, their heirs and their representatives.</w:t>
      </w:r>
    </w:p>
    <w:p>
      <w:pPr>
        <w:spacing w:after="0" w:line="94" w:lineRule="exact"/>
        <w:rPr>
          <w:rFonts w:ascii="Arial" w:cs="Arial" w:eastAsia="Arial" w:hAnsi="Arial"/>
          <w:sz w:val="18"/>
          <w:szCs w:val="18"/>
          <w:color w:val="auto"/>
        </w:rPr>
      </w:pPr>
    </w:p>
    <w:p>
      <w:pPr>
        <w:ind w:left="200" w:right="480" w:firstLine="885"/>
        <w:spacing w:after="0" w:line="234" w:lineRule="auto"/>
        <w:tabs>
          <w:tab w:leader="none" w:pos="135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the event Milan or the Surviving Corporation or any of their respective successors or assigns (i) consolidates with or merges into any other Person and shall not be the continuing or surviving corporation or entity of such consolidation or merger, or</w:t>
      </w:r>
    </w:p>
    <w:p>
      <w:pPr>
        <w:spacing w:after="0" w:line="1" w:lineRule="exact"/>
        <w:rPr>
          <w:rFonts w:ascii="Arial" w:cs="Arial" w:eastAsia="Arial" w:hAnsi="Arial"/>
          <w:sz w:val="18"/>
          <w:szCs w:val="18"/>
          <w:color w:val="auto"/>
        </w:rPr>
      </w:pPr>
    </w:p>
    <w:p>
      <w:pPr>
        <w:jc w:val="both"/>
        <w:ind w:left="200" w:right="100" w:firstLine="4"/>
        <w:spacing w:after="0" w:line="239" w:lineRule="auto"/>
        <w:tabs>
          <w:tab w:leader="none" w:pos="45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transfers all or substantially all of its properties and assets to any Person, then, and in each such case, proper provision shall be made so that the successors and assigns of Milan or the Surviving Corporation, as the case may be, shall succeed to the obligations set forth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Milan shall cause the Surviving Corporation to perform all of the obligations of the Surviving Corporation under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0" w:lineRule="exact"/>
        <w:rPr>
          <w:sz w:val="20"/>
          <w:szCs w:val="20"/>
          <w:color w:val="auto"/>
        </w:rPr>
      </w:pPr>
    </w:p>
    <w:p>
      <w:pPr>
        <w:ind w:left="200" w:right="180" w:firstLine="441"/>
        <w:spacing w:after="0" w:line="244" w:lineRule="auto"/>
        <w:rPr>
          <w:sz w:val="20"/>
          <w:szCs w:val="20"/>
          <w:color w:val="auto"/>
        </w:rPr>
      </w:pPr>
      <w:r>
        <w:rPr>
          <w:rFonts w:ascii="Arial" w:cs="Arial" w:eastAsia="Arial" w:hAnsi="Arial"/>
          <w:sz w:val="18"/>
          <w:szCs w:val="18"/>
          <w:b w:val="1"/>
          <w:bCs w:val="1"/>
          <w:color w:val="auto"/>
        </w:rPr>
        <w:t>5.9 Additional Agreements</w:t>
      </w:r>
      <w:r>
        <w:rPr>
          <w:rFonts w:ascii="Arial" w:cs="Arial" w:eastAsia="Arial" w:hAnsi="Arial"/>
          <w:sz w:val="18"/>
          <w:szCs w:val="18"/>
          <w:color w:val="auto"/>
        </w:rPr>
        <w:t>. The Parties shall use commercially reasonable efforts to cause to be taken all actions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Contemplated Transactions. Without limiting the generality of the foregoing, each Party: (a) shall make all filings and other submissions (if any) and give all notices (if any) required to be made and given by such Party in connection with the Contemplated Transactions; (b) shall use commercially reasonable efforts to obtain each Consent (if any) reasonably required to be obtained (pursuant to any applicable Law or Contract, or otherwise) by such Party in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20"/>
          </w:cols>
          <w:pgMar w:left="240" w:top="459" w:right="43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60"/>
        <w:spacing w:after="0"/>
        <w:rPr>
          <w:sz w:val="20"/>
          <w:szCs w:val="20"/>
          <w:color w:val="auto"/>
        </w:rPr>
      </w:pPr>
      <w:r>
        <w:rPr>
          <w:rFonts w:ascii="Arial" w:cs="Arial" w:eastAsia="Arial" w:hAnsi="Arial"/>
          <w:sz w:val="18"/>
          <w:szCs w:val="18"/>
          <w:color w:val="auto"/>
        </w:rPr>
        <w:t>connection with the Contemplated Transactions or for such Contract to remain in full force and effect; (c) shall use commercially reasonable efforts to lift any injunction prohibiting, or any other legal bar to, the Contemplated Transactions; and (d) shall use commercially reasonable efforts to satisfy the conditions precedent to the consummation of this Agreement.</w:t>
      </w:r>
    </w:p>
    <w:p>
      <w:pPr>
        <w:spacing w:after="0" w:line="181"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b w:val="1"/>
          <w:bCs w:val="1"/>
          <w:color w:val="auto"/>
        </w:rPr>
        <w:t>5.10 Disclosure</w:t>
      </w:r>
      <w:r>
        <w:rPr>
          <w:rFonts w:ascii="Arial" w:cs="Arial" w:eastAsia="Arial" w:hAnsi="Arial"/>
          <w:sz w:val="18"/>
          <w:szCs w:val="18"/>
          <w:color w:val="auto"/>
        </w:rPr>
        <w:t>. Without limiting any Party’s obligations under the Confidentiality Agreement, no Party shall, and no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 any of its Subsidiaries or any Representative of such Party to, issue any press release or make any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(to the extent practicable or permissible under applicable Law to delay such disclosure by seeking such advice), that such disclosure is required by applicable Law and, to the extent practicable and permissible under applicable Law, before such press release or disclosure is issued or made, such Party advises the other Party of, and consults with the other Party regarding, the text of such press release or disclosure;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applicable Law, each of the Company and Milan may make (i) any public statement in response to specific questions by the press, analysts, investors or those attending industry conferences or financial analyst conference calls and (ii) any disclosure to any other third party, including, without limitation, to employees, customers or vendors of such Party, in each case, so long as any such statements are consistent with previous press releases, public disclosures or public statements made by the Company or Milan in compliance with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84" w:lineRule="exact"/>
        <w:rPr>
          <w:sz w:val="20"/>
          <w:szCs w:val="20"/>
          <w:color w:val="auto"/>
        </w:rPr>
      </w:pPr>
    </w:p>
    <w:p>
      <w:pPr>
        <w:ind w:left="200" w:firstLine="441"/>
        <w:spacing w:after="0" w:line="241" w:lineRule="auto"/>
        <w:rPr>
          <w:sz w:val="20"/>
          <w:szCs w:val="20"/>
          <w:color w:val="auto"/>
        </w:rPr>
      </w:pPr>
      <w:r>
        <w:rPr>
          <w:rFonts w:ascii="Arial" w:cs="Arial" w:eastAsia="Arial" w:hAnsi="Arial"/>
          <w:sz w:val="18"/>
          <w:szCs w:val="18"/>
          <w:b w:val="1"/>
          <w:bCs w:val="1"/>
          <w:color w:val="auto"/>
        </w:rPr>
        <w:t>5.11 Listing</w:t>
      </w:r>
      <w:r>
        <w:rPr>
          <w:rFonts w:ascii="Arial" w:cs="Arial" w:eastAsia="Arial" w:hAnsi="Arial"/>
          <w:sz w:val="18"/>
          <w:szCs w:val="18"/>
          <w:color w:val="auto"/>
        </w:rPr>
        <w:t>. Milan shall take all reasonable steps within its power necessary to ensure that (i) the Milan Depositary Shares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issued in the Merger are approved for listing (subject to notice of issuance) on Nasdaq and (ii) the Milan Ordinary Shares underlying the Milan Depositary Shares to be issued in the Merger are approved for admission to trading on AIM and satisfy any other requirements of the London Stock Exchange in respect of the Contemplated Transactions, in each case at or prior to the Effective Time. The Company will cooperate with Milan as reasonably requested by Milan with respect to each listing application and promptly furnish to Milan all information concerning the Company and its stockholders that may be required or reasonably requested in connection with any action contemplated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Milan agrees to pay all Nasdaq and AIM fees associated with any action contemplated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9"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b w:val="1"/>
          <w:bCs w:val="1"/>
          <w:color w:val="auto"/>
        </w:rPr>
        <w:t>5.12 Legends</w:t>
      </w:r>
      <w:r>
        <w:rPr>
          <w:rFonts w:ascii="Arial" w:cs="Arial" w:eastAsia="Arial" w:hAnsi="Arial"/>
          <w:sz w:val="18"/>
          <w:szCs w:val="18"/>
          <w:color w:val="auto"/>
        </w:rPr>
        <w:t>. Milan shall be entitled to place appropriate legends on the book entries or certificates evidencing any Milan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Shares to be received in the Merger by equityholders of the Company who may be considered “affiliates” of Milan for purposes of Rules 144 and 145 under the Securities Act reflecting the restrictions set forth in Rules 144 and 145 and to issue appropriate stop transfer instructions to the transfer agent for such Milan Depositary Shares.</w:t>
      </w:r>
    </w:p>
    <w:p>
      <w:pPr>
        <w:spacing w:after="0" w:line="174"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5.13 Directors</w:t>
      </w:r>
      <w:r>
        <w:rPr>
          <w:rFonts w:ascii="Arial" w:cs="Arial" w:eastAsia="Arial" w:hAnsi="Arial"/>
          <w:sz w:val="18"/>
          <w:szCs w:val="18"/>
          <w:color w:val="auto"/>
        </w:rPr>
        <w:t>. Until successors are duly elected or appointed and qualified in accordance with applicable Law, the Parties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best efforts and take all necessary action so that the Persons listed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are elected as directors of Milan to serve in such positions effective as of the Effective Time. If any Person listed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unable or unwilling to serve as a director of Milan, the Party appointing such Person (as 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 shall designate a successor (which shall, in case the Company is appointing such Person, be reasonably acceptable to Milan). For the avoidance of doubt the Parties intend, and shall take all necessary corporate action to cause, effective as of the Closing, that (i) the board of directors of each of Milan and the Surviving Corporation shall be expanded to ten persons and (ii) the two vacancies created by such expansion shall be filled by two persons designated by the Company (and reasonably acceptable to Milan) prior to the Closing, each of whom shall meet (A) Milan’s independence criteria and (B) Nasdaq’s independence criteria, each as in effect as of such time.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00"/>
          </w:cols>
          <w:pgMar w:left="24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firstLine="441"/>
        <w:spacing w:after="0" w:line="242" w:lineRule="auto"/>
        <w:rPr>
          <w:sz w:val="20"/>
          <w:szCs w:val="20"/>
          <w:color w:val="auto"/>
        </w:rPr>
      </w:pPr>
      <w:r>
        <w:rPr>
          <w:rFonts w:ascii="Arial" w:cs="Arial" w:eastAsia="Arial" w:hAnsi="Arial"/>
          <w:sz w:val="18"/>
          <w:szCs w:val="18"/>
          <w:b w:val="1"/>
          <w:bCs w:val="1"/>
          <w:color w:val="auto"/>
        </w:rPr>
        <w:t>5.14 Net Cash and Management Accounts</w:t>
      </w:r>
      <w:r>
        <w:rPr>
          <w:rFonts w:ascii="Arial" w:cs="Arial" w:eastAsia="Arial" w:hAnsi="Arial"/>
          <w:sz w:val="18"/>
          <w:szCs w:val="18"/>
          <w:color w:val="auto"/>
        </w:rPr>
        <w:t>. Within fifteen (15) calendar days of the end of each calendar month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of this Agreement, the Company shall provide Milan in writing (i) management accounts, in a form consistent with the monthly management accounts prepared by the Company and delivered to Milan prior to the date of this Agreement, and (ii) a detailed calculation and accounting of Net Cash, calculated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which shall be in a form consistent with the sample calculation set forth on </w:t>
      </w:r>
      <w:r>
        <w:rPr>
          <w:rFonts w:ascii="Arial" w:cs="Arial" w:eastAsia="Arial" w:hAnsi="Arial"/>
          <w:sz w:val="18"/>
          <w:szCs w:val="18"/>
          <w:b w:val="1"/>
          <w:bCs w:val="1"/>
          <w:color w:val="auto"/>
        </w:rPr>
        <w:t>Exhibit F</w:t>
      </w:r>
      <w:r>
        <w:rPr>
          <w:rFonts w:ascii="Arial" w:cs="Arial" w:eastAsia="Arial" w:hAnsi="Arial"/>
          <w:sz w:val="18"/>
          <w:szCs w:val="18"/>
          <w:color w:val="auto"/>
        </w:rPr>
        <w:t>. The Company shall, from time to time upon request by Milan, promptly make available its principal financial and accounting officer to discuss any such calculation and accounting with representatives of Milan.</w:t>
      </w:r>
    </w:p>
    <w:p>
      <w:pPr>
        <w:spacing w:after="0" w:line="179" w:lineRule="exact"/>
        <w:rPr>
          <w:sz w:val="20"/>
          <w:szCs w:val="20"/>
          <w:color w:val="auto"/>
        </w:rPr>
      </w:pPr>
    </w:p>
    <w:p>
      <w:pPr>
        <w:ind w:left="200" w:right="20" w:firstLine="441"/>
        <w:spacing w:after="0" w:line="247" w:lineRule="auto"/>
        <w:rPr>
          <w:sz w:val="20"/>
          <w:szCs w:val="20"/>
          <w:color w:val="auto"/>
        </w:rPr>
      </w:pPr>
      <w:r>
        <w:rPr>
          <w:rFonts w:ascii="Arial" w:cs="Arial" w:eastAsia="Arial" w:hAnsi="Arial"/>
          <w:sz w:val="18"/>
          <w:szCs w:val="18"/>
          <w:b w:val="1"/>
          <w:bCs w:val="1"/>
          <w:color w:val="auto"/>
        </w:rPr>
        <w:t>5.15 Section 16 Matters</w:t>
      </w:r>
      <w:r>
        <w:rPr>
          <w:rFonts w:ascii="Arial" w:cs="Arial" w:eastAsia="Arial" w:hAnsi="Arial"/>
          <w:sz w:val="18"/>
          <w:szCs w:val="18"/>
          <w:color w:val="auto"/>
        </w:rPr>
        <w:t>. Prior to the Effective Time, the Company shall take all such steps as may be required to cause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of Company Common Stock (including derivative securities of Company Common Stock) in connection with the Contemplated Transactions, by each individual who is subject to the reporting requirements of Section 16(a) of the Exchange Act with respect to the Company, to be exempt under Rule 16b-3 promulgated under the Exchange Act.</w:t>
      </w:r>
    </w:p>
    <w:p>
      <w:pPr>
        <w:spacing w:after="0" w:line="174" w:lineRule="exact"/>
        <w:rPr>
          <w:sz w:val="20"/>
          <w:szCs w:val="20"/>
          <w:color w:val="auto"/>
        </w:rPr>
      </w:pPr>
    </w:p>
    <w:p>
      <w:pPr>
        <w:ind w:left="200" w:right="200" w:firstLine="441"/>
        <w:spacing w:after="0" w:line="243" w:lineRule="auto"/>
        <w:rPr>
          <w:sz w:val="20"/>
          <w:szCs w:val="20"/>
          <w:color w:val="auto"/>
        </w:rPr>
      </w:pPr>
      <w:r>
        <w:rPr>
          <w:rFonts w:ascii="Arial" w:cs="Arial" w:eastAsia="Arial" w:hAnsi="Arial"/>
          <w:sz w:val="18"/>
          <w:szCs w:val="18"/>
          <w:b w:val="1"/>
          <w:bCs w:val="1"/>
          <w:color w:val="auto"/>
        </w:rPr>
        <w:t>5.16 CVR and Deposit Agreements</w:t>
      </w:r>
      <w:r>
        <w:rPr>
          <w:rFonts w:ascii="Arial" w:cs="Arial" w:eastAsia="Arial" w:hAnsi="Arial"/>
          <w:sz w:val="18"/>
          <w:szCs w:val="18"/>
          <w:color w:val="auto"/>
        </w:rPr>
        <w:t>. At or prior to the Effective Time, Milan shall cause (i) the CVR Agreement (if applicable,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accordance with the immediately subsequent sentence) to be duly authorized, executed and delivered by Milan and a rights agent selected by Milan with the Company’s prior approval (such approval not to be unreasonably withheld, delayed or conditioned) and</w:t>
      </w:r>
    </w:p>
    <w:p>
      <w:pPr>
        <w:spacing w:after="0" w:line="1" w:lineRule="exact"/>
        <w:rPr>
          <w:sz w:val="20"/>
          <w:szCs w:val="20"/>
          <w:color w:val="auto"/>
        </w:rPr>
      </w:pPr>
    </w:p>
    <w:p>
      <w:pPr>
        <w:ind w:left="200" w:right="80" w:firstLine="4"/>
        <w:spacing w:after="0" w:line="237" w:lineRule="auto"/>
        <w:tabs>
          <w:tab w:leader="none" w:pos="4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the Deposit Agreement to be duly authorized, executed and delivered by and among Milan, the Depositary, and all holders and beneficial owners of Milan Depositary Shares issued thereunder. If the TIGIT Milestone (as defined in the form of the CVR Agreement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has occurred prior to the Effective Time, then each Party shall reasonably cooperate with the other Party to amend the CVR Agreement accordingly. For the avoidance of doubt, such amendments would delete all TIGIT-related definitions, payment mechanics, covenants and other operative sections and all references to any of the foregoing from the CVR Agreement such that no TIGIT Milestone Payment (as defined in the form of CVR Agreement set forth on </w:t>
      </w:r>
      <w:r>
        <w:rPr>
          <w:rFonts w:ascii="Arial" w:cs="Arial" w:eastAsia="Arial" w:hAnsi="Arial"/>
          <w:sz w:val="18"/>
          <w:szCs w:val="18"/>
          <w:b w:val="1"/>
          <w:bCs w:val="1"/>
          <w:color w:val="auto"/>
        </w:rPr>
        <w:t>Exhibit B</w:t>
      </w:r>
      <w:r>
        <w:rPr>
          <w:rFonts w:ascii="Arial" w:cs="Arial" w:eastAsia="Arial" w:hAnsi="Arial"/>
          <w:sz w:val="18"/>
          <w:szCs w:val="18"/>
          <w:color w:val="auto"/>
        </w:rPr>
        <w:t>) would be payable thereunder.</w:t>
      </w:r>
    </w:p>
    <w:p>
      <w:pPr>
        <w:spacing w:after="0" w:line="183" w:lineRule="exact"/>
        <w:rPr>
          <w:sz w:val="20"/>
          <w:szCs w:val="20"/>
          <w:color w:val="auto"/>
        </w:rPr>
      </w:pPr>
    </w:p>
    <w:p>
      <w:pPr>
        <w:ind w:left="200" w:right="480" w:firstLine="441"/>
        <w:spacing w:after="0" w:line="253" w:lineRule="auto"/>
        <w:rPr>
          <w:sz w:val="20"/>
          <w:szCs w:val="20"/>
          <w:color w:val="auto"/>
        </w:rPr>
      </w:pPr>
      <w:r>
        <w:rPr>
          <w:rFonts w:ascii="Arial" w:cs="Arial" w:eastAsia="Arial" w:hAnsi="Arial"/>
          <w:sz w:val="18"/>
          <w:szCs w:val="18"/>
          <w:b w:val="1"/>
          <w:bCs w:val="1"/>
          <w:color w:val="auto"/>
        </w:rPr>
        <w:t>5.17 Cooperation</w:t>
      </w:r>
      <w:r>
        <w:rPr>
          <w:rFonts w:ascii="Arial" w:cs="Arial" w:eastAsia="Arial" w:hAnsi="Arial"/>
          <w:sz w:val="18"/>
          <w:szCs w:val="18"/>
          <w:color w:val="auto"/>
        </w:rPr>
        <w:t>. Each Party shall cooperate reasonably with the other Party and shall provide the other Party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p>
    <w:p>
      <w:pPr>
        <w:spacing w:after="0" w:line="126"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8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6.1 Effectiveness of Registration Statement</w:t>
      </w:r>
      <w:r>
        <w:rPr>
          <w:rFonts w:ascii="Arial" w:cs="Arial" w:eastAsia="Arial" w:hAnsi="Arial"/>
          <w:sz w:val="18"/>
          <w:szCs w:val="18"/>
          <w:color w:val="auto"/>
        </w:rPr>
        <w:t>. The Registration Statement shall have become effective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Securities Act, and shall not be subject to any stop order or proceeding (or threatened proceeding by the SEC) seeking a stop order with respect to the Registration Statement that has not been withdrawn.</w:t>
      </w:r>
    </w:p>
    <w:p>
      <w:pPr>
        <w:spacing w:after="0" w:line="169" w:lineRule="exact"/>
        <w:rPr>
          <w:sz w:val="20"/>
          <w:szCs w:val="20"/>
          <w:color w:val="auto"/>
        </w:rPr>
      </w:pPr>
    </w:p>
    <w:p>
      <w:pPr>
        <w:ind w:left="200" w:right="100" w:firstLine="441"/>
        <w:spacing w:after="0" w:line="247" w:lineRule="auto"/>
        <w:rPr>
          <w:sz w:val="20"/>
          <w:szCs w:val="20"/>
          <w:color w:val="auto"/>
        </w:rPr>
      </w:pPr>
      <w:r>
        <w:rPr>
          <w:rFonts w:ascii="Arial" w:cs="Arial" w:eastAsia="Arial" w:hAnsi="Arial"/>
          <w:sz w:val="18"/>
          <w:szCs w:val="18"/>
          <w:b w:val="1"/>
          <w:bCs w:val="1"/>
          <w:color w:val="auto"/>
        </w:rPr>
        <w:t>6.2 No Restraints</w:t>
      </w:r>
      <w:r>
        <w:rPr>
          <w:rFonts w:ascii="Arial" w:cs="Arial" w:eastAsia="Arial" w:hAnsi="Arial"/>
          <w:sz w:val="18"/>
          <w:szCs w:val="18"/>
          <w:color w:val="auto"/>
        </w:rPr>
        <w:t>. No temporary restraining order, preliminary or permanent injunction or other order preventing the consummation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174" w:lineRule="exact"/>
        <w:rPr>
          <w:sz w:val="20"/>
          <w:szCs w:val="20"/>
          <w:color w:val="auto"/>
        </w:rPr>
      </w:pPr>
    </w:p>
    <w:p>
      <w:pPr>
        <w:ind w:left="200" w:right="340" w:firstLine="441"/>
        <w:spacing w:after="0" w:line="271" w:lineRule="auto"/>
        <w:rPr>
          <w:sz w:val="20"/>
          <w:szCs w:val="20"/>
          <w:color w:val="auto"/>
        </w:rPr>
      </w:pPr>
      <w:r>
        <w:rPr>
          <w:rFonts w:ascii="Arial" w:cs="Arial" w:eastAsia="Arial" w:hAnsi="Arial"/>
          <w:sz w:val="18"/>
          <w:szCs w:val="18"/>
          <w:b w:val="1"/>
          <w:bCs w:val="1"/>
          <w:color w:val="auto"/>
        </w:rPr>
        <w:t>6.3 Equityholder Approval</w:t>
      </w:r>
      <w:r>
        <w:rPr>
          <w:rFonts w:ascii="Arial" w:cs="Arial" w:eastAsia="Arial" w:hAnsi="Arial"/>
          <w:sz w:val="18"/>
          <w:szCs w:val="18"/>
          <w:color w:val="auto"/>
        </w:rPr>
        <w:t>. (a) Milan shall have obtained the Required Milan Shareholder Vote and (b) the Company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the Required Company Stockholder Vote.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20"/>
          </w:cols>
          <w:pgMar w:left="240" w:top="459" w:right="43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b w:val="1"/>
          <w:bCs w:val="1"/>
          <w:color w:val="auto"/>
        </w:rPr>
        <w:t>6.4 Listing</w:t>
      </w:r>
      <w:r>
        <w:rPr>
          <w:rFonts w:ascii="Arial" w:cs="Arial" w:eastAsia="Arial" w:hAnsi="Arial"/>
          <w:sz w:val="18"/>
          <w:szCs w:val="18"/>
          <w:color w:val="auto"/>
        </w:rPr>
        <w:t>. The Milan Depositary Shares to be issued in the Merger pursuant to this Agreement shall have been approved for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official notice of issuance) on Nasdaq. The Milan Ordinary Shares underlying the Milan Depositary Shares to be issued in the Merger pursuant to this Agreement shall have been approved for admission to trading on AIM and any other requirements of the London Stock Exchange in respect of the Contemplated Transactions shall have been satisfied.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ILAN AND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w:t>
      </w:r>
    </w:p>
    <w:p>
      <w:pPr>
        <w:spacing w:after="0" w:line="126"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The obligations of Milan, HoldCo and Merger Sub to effect the Merger and otherwise consummate the transactions to be consummated at the Closing are subject to the satisfaction or the written waiver by Milan, at or prior to the Closing, of each of the following conditions:</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Each of the Company Fundamental Representations shall have been true and correct in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minimis</w:t>
      </w:r>
      <w:r>
        <w:rPr>
          <w:rFonts w:ascii="Arial" w:cs="Arial" w:eastAsia="Arial" w:hAnsi="Arial"/>
          <w:sz w:val="18"/>
          <w:szCs w:val="18"/>
          <w:color w:val="auto"/>
        </w:rPr>
        <w:t>, individually or in the aggregate, (y) for those representations and warranties which address matters only as of a particular date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representations and warranties shall have been true and correct, subject to the qualifications as set forth in the preceding clause (x), as of such particular date) or (z) as expressly required or permitted by this Agreement.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83"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The Company shall have performed or complied with in all material respects all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required to be performed or complied with by it under this Agreement at or prior to the Effective Time.</w:t>
      </w:r>
    </w:p>
    <w:p>
      <w:pPr>
        <w:spacing w:after="0" w:line="15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b w:val="1"/>
          <w:bCs w:val="1"/>
          <w:color w:val="auto"/>
        </w:rPr>
        <w:t>7.3 Closing Certificate</w:t>
      </w:r>
      <w:r>
        <w:rPr>
          <w:rFonts w:ascii="Arial" w:cs="Arial" w:eastAsia="Arial" w:hAnsi="Arial"/>
          <w:sz w:val="18"/>
          <w:szCs w:val="18"/>
          <w:color w:val="auto"/>
        </w:rPr>
        <w:t>. Milan shall have received a certificate executed by the chief executive officer and chief financial officer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 is no chief financial officer at such time, the principal financial and accounting officer) of the Company certifying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w:t>
      </w:r>
    </w:p>
    <w:p>
      <w:pPr>
        <w:spacing w:after="0" w:line="169" w:lineRule="exact"/>
        <w:rPr>
          <w:sz w:val="20"/>
          <w:szCs w:val="20"/>
          <w:color w:val="auto"/>
        </w:rPr>
      </w:pPr>
    </w:p>
    <w:p>
      <w:pPr>
        <w:ind w:left="200" w:right="1080" w:firstLine="441"/>
        <w:spacing w:after="0" w:line="271" w:lineRule="auto"/>
        <w:rPr>
          <w:sz w:val="20"/>
          <w:szCs w:val="20"/>
          <w:color w:val="auto"/>
        </w:rPr>
      </w:pPr>
      <w:r>
        <w:rPr>
          <w:rFonts w:ascii="Arial" w:cs="Arial" w:eastAsia="Arial" w:hAnsi="Arial"/>
          <w:sz w:val="18"/>
          <w:szCs w:val="18"/>
          <w:b w:val="1"/>
          <w:bCs w:val="1"/>
          <w:color w:val="auto"/>
        </w:rPr>
        <w:t>7.4 FIRPTA Certificate</w:t>
      </w:r>
      <w:r>
        <w:rPr>
          <w:rFonts w:ascii="Arial" w:cs="Arial" w:eastAsia="Arial" w:hAnsi="Arial"/>
          <w:sz w:val="18"/>
          <w:szCs w:val="18"/>
          <w:color w:val="auto"/>
        </w:rPr>
        <w:t>. Milan shall have received from the Company a form of notice to the IRS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Treasury Regulation Section 1.897-2(h) and in form and substance reasonably acceptable to Milan.</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b w:val="1"/>
          <w:bCs w:val="1"/>
          <w:color w:val="auto"/>
        </w:rPr>
        <w:t>7.5 No Company Material Adverse Effect</w:t>
      </w:r>
      <w:r>
        <w:rPr>
          <w:rFonts w:ascii="Arial" w:cs="Arial" w:eastAsia="Arial" w:hAnsi="Arial"/>
          <w:sz w:val="18"/>
          <w:szCs w:val="18"/>
          <w:color w:val="auto"/>
        </w:rPr>
        <w:t>. Since the date of this Agreement, there shall not have occurred any Company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20"/>
          </w:cols>
          <w:pgMar w:left="240" w:top="459" w:right="43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7.6 Net Cash</w:t>
      </w:r>
      <w:r>
        <w:rPr>
          <w:rFonts w:ascii="Arial" w:cs="Arial" w:eastAsia="Arial" w:hAnsi="Arial"/>
          <w:sz w:val="18"/>
          <w:szCs w:val="18"/>
          <w:color w:val="auto"/>
        </w:rPr>
        <w:t>. The Net Cash calculation shall be finally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8.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126"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wavier by the Company, at or prior to the Closing, of each of the following conditions:</w:t>
      </w:r>
    </w:p>
    <w:p>
      <w:pPr>
        <w:spacing w:after="0" w:line="17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8.1 Accuracy of Representations</w:t>
      </w:r>
      <w:r>
        <w:rPr>
          <w:rFonts w:ascii="Arial" w:cs="Arial" w:eastAsia="Arial" w:hAnsi="Arial"/>
          <w:sz w:val="18"/>
          <w:szCs w:val="18"/>
          <w:color w:val="auto"/>
        </w:rPr>
        <w:t>. Each of the Milan Fundamental Representations shall have been true and correct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Milan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8"/>
          <w:szCs w:val="18"/>
          <w:i w:val="1"/>
          <w:iCs w:val="1"/>
          <w:color w:val="auto"/>
        </w:rPr>
        <w:t>de minimis</w:t>
      </w:r>
      <w:r>
        <w:rPr>
          <w:rFonts w:ascii="Arial" w:cs="Arial" w:eastAsia="Arial" w:hAnsi="Arial"/>
          <w:sz w:val="18"/>
          <w:szCs w:val="18"/>
          <w:color w:val="auto"/>
        </w:rPr>
        <w:t>,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this Agreement. The representations and warranties of Milan and Merger Sub contained in this Agreement (other than the Milan Fundamental Representations and the Milan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Milan Material Adverse Effect (without giving effect to any references therein to any Milan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Milan Disclosure Schedule made or purported to have been made after the date of this Agreement shall be disregarded).</w:t>
      </w:r>
    </w:p>
    <w:p>
      <w:pPr>
        <w:spacing w:after="0" w:line="183" w:lineRule="exact"/>
        <w:rPr>
          <w:sz w:val="20"/>
          <w:szCs w:val="20"/>
          <w:color w:val="auto"/>
        </w:rPr>
      </w:pPr>
    </w:p>
    <w:p>
      <w:pPr>
        <w:jc w:val="both"/>
        <w:ind w:left="200" w:right="280" w:firstLine="441"/>
        <w:spacing w:after="0" w:line="253"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Milan and Merger Sub shall have performed or complied with in all material respects all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covenants required to be performed or complied with by each of them under this Agreement at or prior to the Effective Time.</w:t>
      </w:r>
    </w:p>
    <w:p>
      <w:pPr>
        <w:spacing w:after="0" w:line="169"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8.3 Documents</w:t>
      </w:r>
      <w:r>
        <w:rPr>
          <w:rFonts w:ascii="Arial" w:cs="Arial" w:eastAsia="Arial" w:hAnsi="Arial"/>
          <w:sz w:val="18"/>
          <w:szCs w:val="18"/>
          <w:color w:val="auto"/>
        </w:rPr>
        <w:t>. The Company shall have received a certificate executed by the chief executive officer and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Milan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have been duly satisfied.</w:t>
      </w:r>
    </w:p>
    <w:p>
      <w:pPr>
        <w:spacing w:after="0" w:line="154"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8"/>
          <w:szCs w:val="18"/>
          <w:b w:val="1"/>
          <w:bCs w:val="1"/>
          <w:color w:val="auto"/>
        </w:rPr>
        <w:t>8.4 No Milan Material Adverse Effect</w:t>
      </w:r>
      <w:r>
        <w:rPr>
          <w:rFonts w:ascii="Arial" w:cs="Arial" w:eastAsia="Arial" w:hAnsi="Arial"/>
          <w:sz w:val="18"/>
          <w:szCs w:val="18"/>
          <w:color w:val="auto"/>
        </w:rPr>
        <w:t>. Since the date of this Agreement, there shall not have occurred any Milan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5"/>
          <w:szCs w:val="15"/>
          <w:b w:val="1"/>
          <w:bCs w:val="1"/>
          <w:color w:val="auto"/>
        </w:rPr>
        <w:t>ERMINATION</w:t>
      </w:r>
    </w:p>
    <w:p>
      <w:pPr>
        <w:spacing w:after="0" w:line="104" w:lineRule="exact"/>
        <w:rPr>
          <w:sz w:val="20"/>
          <w:szCs w:val="20"/>
          <w:color w:val="auto"/>
        </w:rPr>
      </w:pPr>
    </w:p>
    <w:p>
      <w:pPr>
        <w:ind w:left="200" w:right="240" w:firstLine="441"/>
        <w:spacing w:after="0" w:line="253" w:lineRule="auto"/>
        <w:rPr>
          <w:sz w:val="20"/>
          <w:szCs w:val="20"/>
          <w:color w:val="auto"/>
        </w:rPr>
      </w:pPr>
      <w:r>
        <w:rPr>
          <w:rFonts w:ascii="Arial" w:cs="Arial" w:eastAsia="Arial" w:hAnsi="Arial"/>
          <w:sz w:val="18"/>
          <w:szCs w:val="18"/>
          <w:b w:val="1"/>
          <w:bCs w:val="1"/>
          <w:color w:val="auto"/>
        </w:rPr>
        <w:t>9.1 Termination</w:t>
      </w:r>
      <w:r>
        <w:rPr>
          <w:rFonts w:ascii="Arial" w:cs="Arial" w:eastAsia="Arial" w:hAnsi="Arial"/>
          <w:sz w:val="18"/>
          <w:szCs w:val="18"/>
          <w:color w:val="auto"/>
        </w:rPr>
        <w:t>. This Agreement may be terminated prior to the Effective Time (whether before or after approval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Matters by the Company’s stockholders and whether before or after approval of the Milan Shareholder Matters by Milan’s shareholders, unless otherwise specified below):</w:t>
      </w:r>
    </w:p>
    <w:p>
      <w:pPr>
        <w:spacing w:after="0" w:line="83" w:lineRule="exact"/>
        <w:rPr>
          <w:sz w:val="20"/>
          <w:szCs w:val="20"/>
          <w:color w:val="auto"/>
        </w:rPr>
      </w:pPr>
    </w:p>
    <w:p>
      <w:pPr>
        <w:ind w:left="1360" w:hanging="275"/>
        <w:spacing w:after="0"/>
        <w:tabs>
          <w:tab w:leader="none" w:pos="13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by mutual written consent of Milan and the Company;</w:t>
      </w:r>
    </w:p>
    <w:p>
      <w:pPr>
        <w:spacing w:after="0" w:line="103" w:lineRule="exact"/>
        <w:rPr>
          <w:rFonts w:ascii="Arial" w:cs="Arial" w:eastAsia="Arial" w:hAnsi="Arial"/>
          <w:sz w:val="18"/>
          <w:szCs w:val="18"/>
          <w:color w:val="auto"/>
        </w:rPr>
      </w:pPr>
    </w:p>
    <w:p>
      <w:pPr>
        <w:ind w:left="200" w:right="80" w:firstLine="885"/>
        <w:spacing w:after="0" w:line="246" w:lineRule="auto"/>
        <w:tabs>
          <w:tab w:leader="none" w:pos="135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by either Milan or the Company if the Merger shall not have been consummated by September 4, 2019 (subject to possible extension as provided in this </w:t>
      </w:r>
      <w:r>
        <w:rPr>
          <w:rFonts w:ascii="Arial" w:cs="Arial" w:eastAsia="Arial" w:hAnsi="Arial"/>
          <w:sz w:val="18"/>
          <w:szCs w:val="18"/>
          <w:u w:val="single" w:color="auto"/>
          <w:color w:val="auto"/>
        </w:rPr>
        <w:t>Section 9.1(b)</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End Date</w:t>
      </w:r>
      <w:r>
        <w:rPr>
          <w:rFonts w:ascii="Arial" w:cs="Arial" w:eastAsia="Arial" w:hAnsi="Arial"/>
          <w:sz w:val="18"/>
          <w:szCs w:val="18"/>
          <w:color w:val="auto"/>
        </w:rPr>
        <w: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00"/>
          </w:cols>
          <w:pgMar w:left="240" w:top="459" w:right="45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the Company or Milan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Party’s action or failure to act has been a principal cause of the failure of the Merger to occur on or before the End Date and such action or failure to act constitutes a breach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SEC has not declared effective under the Securities Act the Registration Statement by the date which is sixty (60) days prior to the End Date, then either the Company or Milan shall be entitled to extend the End Date for an additional sixty (60) days;</w:t>
      </w:r>
    </w:p>
    <w:p>
      <w:pPr>
        <w:spacing w:after="0" w:line="95" w:lineRule="exact"/>
        <w:rPr>
          <w:sz w:val="20"/>
          <w:szCs w:val="20"/>
          <w:color w:val="auto"/>
        </w:rPr>
      </w:pPr>
    </w:p>
    <w:p>
      <w:pPr>
        <w:ind w:left="200" w:right="60" w:firstLine="885"/>
        <w:spacing w:after="0"/>
        <w:tabs>
          <w:tab w:leader="none" w:pos="134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by either Milan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94" w:lineRule="exact"/>
        <w:rPr>
          <w:rFonts w:ascii="Arial" w:cs="Arial" w:eastAsia="Arial" w:hAnsi="Arial"/>
          <w:sz w:val="18"/>
          <w:szCs w:val="18"/>
          <w:color w:val="auto"/>
        </w:rPr>
      </w:pPr>
    </w:p>
    <w:p>
      <w:pPr>
        <w:ind w:left="200" w:right="40" w:firstLine="885"/>
        <w:spacing w:after="0" w:line="237" w:lineRule="auto"/>
        <w:tabs>
          <w:tab w:leader="none" w:pos="135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by either Milan or the Company if (i) the Company Stockholder Meeting (including any adjournments and postponements thereof) shall have been held and completed and the Company’s stockholders shall have taken a final vote on the Company Stockholder Matters and (ii) the Company Stockholder Matters shall not have been approved at the Company Stockholder Meeting (or at any adjournment or postponement thereof) by the Required Company Stockholder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shall not be available to the Company where the failure to obtain the Required Company Stockholder Vote shall have been caused by the action or failure to act of the Company and such action or failure to act constitutes a material breach by the Company of this Agreement;</w:t>
      </w:r>
    </w:p>
    <w:p>
      <w:pPr>
        <w:spacing w:after="0" w:line="95" w:lineRule="exact"/>
        <w:rPr>
          <w:rFonts w:ascii="Arial" w:cs="Arial" w:eastAsia="Arial" w:hAnsi="Arial"/>
          <w:sz w:val="18"/>
          <w:szCs w:val="18"/>
          <w:color w:val="auto"/>
        </w:rPr>
      </w:pPr>
    </w:p>
    <w:p>
      <w:pPr>
        <w:ind w:left="200" w:right="80" w:firstLine="885"/>
        <w:spacing w:after="0" w:line="234" w:lineRule="auto"/>
        <w:tabs>
          <w:tab w:leader="none" w:pos="1351" w:val="left"/>
        </w:tabs>
        <w:numPr>
          <w:ilvl w:val="1"/>
          <w:numId w:val="318"/>
        </w:numPr>
        <w:rPr>
          <w:rFonts w:ascii="Arial" w:cs="Arial" w:eastAsia="Arial" w:hAnsi="Arial"/>
          <w:sz w:val="18"/>
          <w:szCs w:val="18"/>
          <w:color w:val="auto"/>
        </w:rPr>
      </w:pPr>
      <w:r>
        <w:rPr>
          <w:rFonts w:ascii="Arial" w:cs="Arial" w:eastAsia="Arial" w:hAnsi="Arial"/>
          <w:sz w:val="18"/>
          <w:szCs w:val="18"/>
          <w:color w:val="auto"/>
        </w:rPr>
        <w:t>by either Milan or the Company if (i) the Milan Shareholder Meeting (including any adjournments and postponements thereof) shall have been held and completed and Milan’s shareholders shall have taken a final vote on the Milan Shareholder Matters and</w:t>
      </w:r>
    </w:p>
    <w:p>
      <w:pPr>
        <w:spacing w:after="0" w:line="1" w:lineRule="exact"/>
        <w:rPr>
          <w:rFonts w:ascii="Arial" w:cs="Arial" w:eastAsia="Arial" w:hAnsi="Arial"/>
          <w:sz w:val="18"/>
          <w:szCs w:val="18"/>
          <w:color w:val="auto"/>
        </w:rPr>
      </w:pPr>
    </w:p>
    <w:p>
      <w:pPr>
        <w:ind w:left="200" w:right="180" w:firstLine="4"/>
        <w:spacing w:after="0" w:line="239" w:lineRule="auto"/>
        <w:tabs>
          <w:tab w:leader="none" w:pos="45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Milan Shareholder Matters shall not have been approved at the Milan Shareholder Meeting (or at any adjournment or postponement thereof) by the Required Milan Shareholder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shall not be available to Milan where the failure to obtain the Required Milan Shareholder Vote shall have been caused by the action or failure to act of Milan and such action or failure to act constitutes a material breach by Milan of this Agreement;</w:t>
      </w:r>
    </w:p>
    <w:p>
      <w:pPr>
        <w:spacing w:after="0" w:line="93" w:lineRule="exact"/>
        <w:rPr>
          <w:rFonts w:ascii="Arial" w:cs="Arial" w:eastAsia="Arial" w:hAnsi="Arial"/>
          <w:sz w:val="18"/>
          <w:szCs w:val="18"/>
          <w:color w:val="auto"/>
        </w:rPr>
      </w:pPr>
    </w:p>
    <w:p>
      <w:pPr>
        <w:ind w:left="200" w:firstLine="885"/>
        <w:spacing w:after="0" w:line="246" w:lineRule="auto"/>
        <w:tabs>
          <w:tab w:leader="none" w:pos="130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Milan Shareholder Matters by the Required Milan Shareholder Vote) if a Milan Triggering Event shall have occurred;</w:t>
      </w:r>
    </w:p>
    <w:p>
      <w:pPr>
        <w:spacing w:after="0" w:line="88" w:lineRule="exact"/>
        <w:rPr>
          <w:rFonts w:ascii="Arial" w:cs="Arial" w:eastAsia="Arial" w:hAnsi="Arial"/>
          <w:sz w:val="18"/>
          <w:szCs w:val="18"/>
          <w:color w:val="auto"/>
        </w:rPr>
      </w:pPr>
    </w:p>
    <w:p>
      <w:pPr>
        <w:ind w:left="200" w:right="440" w:firstLine="885"/>
        <w:spacing w:after="0" w:line="246" w:lineRule="auto"/>
        <w:tabs>
          <w:tab w:leader="none" w:pos="135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by Milan (at any time prior to the approval of the Company Stockholder Matters by the Required Company Stockholder Vote) if a Company Triggering Event shall have occurred;</w:t>
      </w:r>
    </w:p>
    <w:p>
      <w:pPr>
        <w:spacing w:after="0" w:line="88" w:lineRule="exact"/>
        <w:rPr>
          <w:rFonts w:ascii="Arial" w:cs="Arial" w:eastAsia="Arial" w:hAnsi="Arial"/>
          <w:sz w:val="18"/>
          <w:szCs w:val="18"/>
          <w:color w:val="auto"/>
        </w:rPr>
      </w:pPr>
    </w:p>
    <w:p>
      <w:pPr>
        <w:ind w:left="200" w:right="80" w:firstLine="885"/>
        <w:spacing w:after="0" w:line="236" w:lineRule="auto"/>
        <w:tabs>
          <w:tab w:leader="none" w:pos="135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by the Company, upon a breach of any representation, warranty, covenant or agreement set forth in this Agreement by Milan or Merger Sub or if any representation or warranty of Milan or Merger Sub shall have become inaccurate, in either case, such that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would not be satisfied as of the time of such breach or as of the time such representation or warranty shall have become inaccurate;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then in material breach of any representation, warranty, covenant or agreement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such inaccuracy in Milan’s or Merger Sub’s representations and warranties or breach by Milan or Merger Sub is curable by Milan or Merger Sub, then this Agreement shall not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as a result of such particular breach or inaccuracy until the earlier of (i) the expiration of a 30-day period commencing upon delivery of written notice from the Company to Milan or Merger Sub of such breach or inaccuracy and its intention to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and (ii) Milan or Merger Sub (as applicable) ceasing to exercise commercially reasonable efforts to cure such breach following delivery of written notice from the Company to Milan or Merger Sub of such breach or inaccuracy and its intention to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(it being understood that this Agreement shall not terminate pursuant to this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20"/>
          </w:cols>
          <w:pgMar w:left="240" w:top="459" w:right="43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as a result of such particular breach or inaccuracy if such breach by Milan or Merger Sub is cured prior to such termination becoming effective); or</w:t>
      </w:r>
    </w:p>
    <w:p>
      <w:pPr>
        <w:spacing w:after="0" w:line="89" w:lineRule="exact"/>
        <w:rPr>
          <w:sz w:val="20"/>
          <w:szCs w:val="20"/>
          <w:color w:val="auto"/>
        </w:rPr>
      </w:pPr>
    </w:p>
    <w:p>
      <w:pPr>
        <w:ind w:left="200" w:firstLine="885"/>
        <w:spacing w:after="0" w:line="236" w:lineRule="auto"/>
        <w:tabs>
          <w:tab w:leader="none" w:pos="129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by Milan,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would not be satisfied as of the time of such breach or as of the time such representation or warranty shall have become inaccurate;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Milan is not then in material breach of any representation, warranty, covenant or agreement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such inaccuracy in the Company’s representations and warranties or breach by the Company is curable by the Company then this Agreement shall not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as a result of such particular breach or inaccuracy until the earlier of (i) the expiration of a 30-day period commencing upon delivery of written notice from Milan to the Company of such breach or inaccuracy and its intention to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and (ii) the Company ceasing to exercise commercially reasonable efforts to cure such breach following delivery of written notice from Milan to the Company of such breach or inaccuracy and its intention to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(it being understood that this Agreement shall not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as a result of such particular breach or inaccuracy if such breach by the Company is cured prior to such termination becoming effective).</w:t>
      </w:r>
    </w:p>
    <w:p>
      <w:pPr>
        <w:spacing w:after="0" w:line="205"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shall give a notice of such termination to the other Party specifying the provisions hereof pursuant to which such termination is made and the basis therefor described in reasonable detail.</w:t>
      </w:r>
    </w:p>
    <w:p>
      <w:pPr>
        <w:spacing w:after="0" w:line="181" w:lineRule="exact"/>
        <w:rPr>
          <w:sz w:val="20"/>
          <w:szCs w:val="20"/>
          <w:color w:val="auto"/>
        </w:rPr>
      </w:pPr>
    </w:p>
    <w:p>
      <w:pPr>
        <w:ind w:left="200" w:right="220" w:firstLine="441"/>
        <w:spacing w:after="0" w:line="244" w:lineRule="auto"/>
        <w:rPr>
          <w:sz w:val="20"/>
          <w:szCs w:val="20"/>
          <w:color w:val="auto"/>
        </w:rPr>
      </w:pPr>
      <w:r>
        <w:rPr>
          <w:rFonts w:ascii="Arial" w:cs="Arial" w:eastAsia="Arial" w:hAnsi="Arial"/>
          <w:sz w:val="18"/>
          <w:szCs w:val="18"/>
          <w:b w:val="1"/>
          <w:bCs w:val="1"/>
          <w:color w:val="auto"/>
        </w:rPr>
        <w:t>9.2 Effect of Termination</w:t>
      </w:r>
      <w:r>
        <w:rPr>
          <w:rFonts w:ascii="Arial" w:cs="Arial" w:eastAsia="Arial" w:hAnsi="Arial"/>
          <w:sz w:val="18"/>
          <w:szCs w:val="18"/>
          <w:color w:val="auto"/>
        </w:rPr>
        <w:t>. In the event of the termination of this Agreement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further force or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termination of this Agreement and shall remain in full force and effect, and (b) the termination of this Agreement and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9.3 Expenses; Termination Fees</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8" w:lineRule="auto"/>
        <w:tabs>
          <w:tab w:leader="none" w:pos="135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all fees and expenses incurred in connection with this Agreement and the Contemplated Transactions shall be paid by the Party incurring such expenses, whether or not the Merger is consummated;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Milan and the Company shall share equally all fees and expenses incurred in relation to the printing and filing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of the Registration Statement (including any financial statements and exhibits) and any amendments or supplements thereto and paid to a financial printer or the SEC.</w:t>
      </w:r>
    </w:p>
    <w:p>
      <w:pPr>
        <w:spacing w:after="0" w:line="94" w:lineRule="exact"/>
        <w:rPr>
          <w:rFonts w:ascii="Arial" w:cs="Arial" w:eastAsia="Arial" w:hAnsi="Arial"/>
          <w:sz w:val="18"/>
          <w:szCs w:val="18"/>
          <w:color w:val="auto"/>
        </w:rPr>
      </w:pPr>
    </w:p>
    <w:p>
      <w:pPr>
        <w:ind w:left="200" w:right="140" w:firstLine="885"/>
        <w:spacing w:after="0" w:line="252" w:lineRule="auto"/>
        <w:tabs>
          <w:tab w:leader="none" w:pos="135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Milan or the Company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or by the Company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(ii) except in the case of a termination by the Company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at any time after the date of this Agreement and prior to the Milan Shareholder Meeting an Acquisition Proposal with respect to Milan shall have been publicly announced, disclosed or otherwise communicated to the Milan Board (and shall not have been withdrawn) and (iii) in the event this Agreement is terminated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within twelve (12) months after the date of such termination, Milan enters into a definitive agreement with respect to a Subsequent Transaction or consummates a Subsequent Transaction, then Milan shall pay to the Company, within ten (10) Business Days after termination (or, if applicable, upon such entry into a definitive agreement or consummation of a Subsequent Transaction), a nonrefundable fee in an amount equal to $1,721,193 (the “</w:t>
      </w:r>
      <w:r>
        <w:rPr>
          <w:rFonts w:ascii="Arial" w:cs="Arial" w:eastAsia="Arial" w:hAnsi="Arial"/>
          <w:sz w:val="17"/>
          <w:szCs w:val="17"/>
          <w:b w:val="1"/>
          <w:bCs w:val="1"/>
          <w:i w:val="1"/>
          <w:iCs w:val="1"/>
          <w:color w:val="auto"/>
        </w:rPr>
        <w:t>Company Termination Fee</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200" w:right="20" w:firstLine="885"/>
        <w:spacing w:after="0" w:line="246" w:lineRule="auto"/>
        <w:tabs>
          <w:tab w:leader="none" w:pos="134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If (i) this Agreement is terminated by Milan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(ii) except in the case of a termination by Milan pursuant to </w:t>
      </w:r>
      <w:r>
        <w:rPr>
          <w:rFonts w:ascii="Arial" w:cs="Arial" w:eastAsia="Arial" w:hAnsi="Arial"/>
          <w:sz w:val="18"/>
          <w:szCs w:val="18"/>
          <w:u w:val="single" w:color="auto"/>
          <w:color w:val="auto"/>
        </w:rPr>
        <w:t>Section 9.1(g)</w:t>
      </w:r>
      <w:r>
        <w:rPr>
          <w:rFonts w:ascii="Arial" w:cs="Arial" w:eastAsia="Arial" w:hAnsi="Arial"/>
          <w:sz w:val="18"/>
          <w:szCs w:val="18"/>
          <w:color w:val="auto"/>
        </w:rPr>
        <w:t>, at any time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00"/>
          </w:cols>
          <w:pgMar w:left="24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8"/>
          <w:szCs w:val="18"/>
          <w:u w:val="single" w:color="auto"/>
          <w:color w:val="auto"/>
        </w:rPr>
        <w:t>Section 9.1(d)</w:t>
      </w:r>
      <w:r>
        <w:rPr>
          <w:rFonts w:ascii="Arial" w:cs="Arial" w:eastAsia="Arial" w:hAnsi="Arial"/>
          <w:sz w:val="18"/>
          <w:szCs w:val="18"/>
          <w:color w:val="auto"/>
        </w:rPr>
        <w:t>, within twelve (12) months after the date of such termination, the Company enters into a definitive agreement with respect to a Subsequent Transaction or consummates a Subsequent Transaction, then the Company shall pay to Milan, within ten (10) Business Days after termination (or, if applicable, upon such entry into a definitive agreement or consummation of a Subsequent Transaction), a nonrefundable fee in an amount equal to $1,721,193 (the “</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Termination Fee</w:t>
      </w:r>
      <w:r>
        <w:rPr>
          <w:rFonts w:ascii="Arial" w:cs="Arial" w:eastAsia="Arial" w:hAnsi="Arial"/>
          <w:sz w:val="18"/>
          <w:szCs w:val="18"/>
          <w:color w:val="auto"/>
        </w:rPr>
        <w:t>”).</w:t>
      </w:r>
    </w:p>
    <w:p>
      <w:pPr>
        <w:spacing w:after="0" w:line="95" w:lineRule="exact"/>
        <w:rPr>
          <w:sz w:val="20"/>
          <w:szCs w:val="20"/>
          <w:color w:val="auto"/>
        </w:rPr>
      </w:pPr>
    </w:p>
    <w:p>
      <w:pPr>
        <w:ind w:left="200" w:right="20" w:firstLine="885"/>
        <w:spacing w:after="0" w:line="237" w:lineRule="auto"/>
        <w:tabs>
          <w:tab w:leader="none" w:pos="135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9.1(h)</w:t>
      </w:r>
      <w:r>
        <w:rPr>
          <w:rFonts w:ascii="Arial" w:cs="Arial" w:eastAsia="Arial" w:hAnsi="Arial"/>
          <w:sz w:val="18"/>
          <w:szCs w:val="18"/>
          <w:color w:val="auto"/>
        </w:rPr>
        <w:t>, Milan shall (in addition to payment of the Company Termination Fee) reimburse the Company for all reasonable out-of-pocket fees and expenses incurred by the Company in connection with this Agreement and the Contemplated Transactions, up to a maximum of $750,000, by wire transfer of same-day funds within ten (10) Business Days following the date on which the Company submits to Milan true and correct copies of reasonable documentation supporting such expenses. For the avoidance of doubt, such reimbursement shall be in addition to payment by the Company to Milan of the Milan Termination Fee.</w:t>
      </w:r>
    </w:p>
    <w:p>
      <w:pPr>
        <w:spacing w:after="0" w:line="97" w:lineRule="exact"/>
        <w:rPr>
          <w:rFonts w:ascii="Arial" w:cs="Arial" w:eastAsia="Arial" w:hAnsi="Arial"/>
          <w:sz w:val="18"/>
          <w:szCs w:val="18"/>
          <w:color w:val="auto"/>
        </w:rPr>
      </w:pPr>
    </w:p>
    <w:p>
      <w:pPr>
        <w:ind w:left="200" w:right="40" w:firstLine="885"/>
        <w:spacing w:after="0" w:line="238" w:lineRule="auto"/>
        <w:tabs>
          <w:tab w:leader="none" w:pos="135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Milan pursuant to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9.1(i)</w:t>
      </w:r>
      <w:r>
        <w:rPr>
          <w:rFonts w:ascii="Arial" w:cs="Arial" w:eastAsia="Arial" w:hAnsi="Arial"/>
          <w:sz w:val="18"/>
          <w:szCs w:val="18"/>
          <w:color w:val="auto"/>
        </w:rPr>
        <w:t>, the Company shall reimburse Milan for all reasonable out-of-pocket fees and expenses incurred by Milan in connection with this Agreement and the Contemplated Transactions, up to a maximum of $750,000, by wire transfer of same-day funds within ten (10) Business Days following the date on which Milan submits to the Company true and correct copies of reasonable documentation supporting such expenses. For the avoidance of doubt, such reimbursement shall be in addition to payment by Milan to the Company of the Company Termination Fee.</w:t>
      </w:r>
    </w:p>
    <w:p>
      <w:pPr>
        <w:spacing w:after="0" w:line="94" w:lineRule="exact"/>
        <w:rPr>
          <w:rFonts w:ascii="Arial" w:cs="Arial" w:eastAsia="Arial" w:hAnsi="Arial"/>
          <w:sz w:val="18"/>
          <w:szCs w:val="18"/>
          <w:color w:val="auto"/>
        </w:rPr>
      </w:pPr>
    </w:p>
    <w:p>
      <w:pPr>
        <w:ind w:left="200" w:firstLine="885"/>
        <w:spacing w:after="0" w:line="237" w:lineRule="auto"/>
        <w:tabs>
          <w:tab w:leader="none" w:pos="130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If either Party fails to pay when due any amount payable by it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three percent.</w:t>
      </w:r>
    </w:p>
    <w:p>
      <w:pPr>
        <w:spacing w:after="0" w:line="95" w:lineRule="exact"/>
        <w:rPr>
          <w:rFonts w:ascii="Arial" w:cs="Arial" w:eastAsia="Arial" w:hAnsi="Arial"/>
          <w:sz w:val="18"/>
          <w:szCs w:val="18"/>
          <w:color w:val="auto"/>
        </w:rPr>
      </w:pPr>
    </w:p>
    <w:p>
      <w:pPr>
        <w:ind w:left="200" w:right="60" w:firstLine="885"/>
        <w:spacing w:after="0" w:line="236" w:lineRule="auto"/>
        <w:tabs>
          <w:tab w:leader="none" w:pos="135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The Parties agree that,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the payment of the fees and expenses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be the sole and exclusive remedy of each Party following a termination of this Agreement under the circumstances described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it being understood that in no event shall either Milan or the Company be required to pay the individual fees or damages payable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on more than one occasion.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following the payment of the fees and expenses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equityholder,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80"/>
          </w:cols>
          <w:pgMar w:left="240" w:top="459" w:right="47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 xml:space="preserve">termination or the failure of the Contemplated Transactions to be consummated. Each of the Parties acknowledges that (x) the agreements contained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is not a penalty, but rather is liquidated damages in a reasonable amount that will compensate the Parties in the circumstances in which such amount is payable.</w:t>
      </w:r>
    </w:p>
    <w:p>
      <w:pPr>
        <w:spacing w:after="0" w:line="94" w:lineRule="exact"/>
        <w:rPr>
          <w:sz w:val="20"/>
          <w:szCs w:val="20"/>
          <w:color w:val="auto"/>
        </w:rPr>
      </w:pPr>
    </w:p>
    <w:p>
      <w:pPr>
        <w:jc w:val="both"/>
        <w:ind w:left="200" w:right="20" w:firstLine="885"/>
        <w:spacing w:after="0" w:line="248" w:lineRule="auto"/>
        <w:tabs>
          <w:tab w:leader="none" w:pos="1351" w:val="left"/>
        </w:tabs>
        <w:numPr>
          <w:ilvl w:val="1"/>
          <w:numId w:val="323"/>
        </w:numPr>
        <w:rPr>
          <w:rFonts w:ascii="Arial" w:cs="Arial" w:eastAsia="Arial" w:hAnsi="Arial"/>
          <w:sz w:val="17"/>
          <w:szCs w:val="17"/>
          <w:color w:val="auto"/>
        </w:rPr>
      </w:pPr>
      <w:r>
        <w:rPr>
          <w:rFonts w:ascii="Arial" w:cs="Arial" w:eastAsia="Arial" w:hAnsi="Arial"/>
          <w:sz w:val="17"/>
          <w:szCs w:val="17"/>
          <w:color w:val="auto"/>
        </w:rPr>
        <w:t xml:space="preserve">The Parties intend and shall use all reasonable endeavors to secure that any sum paid under </w:t>
      </w:r>
      <w:r>
        <w:rPr>
          <w:rFonts w:ascii="Arial" w:cs="Arial" w:eastAsia="Arial" w:hAnsi="Arial"/>
          <w:sz w:val="17"/>
          <w:szCs w:val="17"/>
          <w:u w:val="single" w:color="auto"/>
          <w:color w:val="auto"/>
        </w:rPr>
        <w:t>Sections 9.3(b)</w:t>
      </w:r>
      <w:r>
        <w:rPr>
          <w:rFonts w:ascii="Arial" w:cs="Arial" w:eastAsia="Arial" w:hAnsi="Arial"/>
          <w:sz w:val="17"/>
          <w:szCs w:val="17"/>
          <w:color w:val="auto"/>
        </w:rPr>
        <w:t>-</w:t>
      </w:r>
      <w:r>
        <w:rPr>
          <w:rFonts w:ascii="Arial" w:cs="Arial" w:eastAsia="Arial" w:hAnsi="Arial"/>
          <w:sz w:val="17"/>
          <w:szCs w:val="17"/>
          <w:u w:val="single" w:color="auto"/>
          <w:color w:val="auto"/>
        </w:rPr>
        <w:t>9.3(f)</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Termination Payment</w:t>
      </w:r>
      <w:r>
        <w:rPr>
          <w:rFonts w:ascii="Arial" w:cs="Arial" w:eastAsia="Arial" w:hAnsi="Arial"/>
          <w:sz w:val="17"/>
          <w:szCs w:val="17"/>
          <w:color w:val="auto"/>
        </w:rPr>
        <w:t>”), if paid, being compensatory in nature, shall not be treated for VAT purposes as consideration for a taxable supply. If, however, the Termination Payment is treated by any Tax Authority, in whole or in part, as consideration for a taxable supply, then</w:t>
      </w:r>
    </w:p>
    <w:p>
      <w:pPr>
        <w:spacing w:after="0" w:line="1" w:lineRule="exact"/>
        <w:rPr>
          <w:rFonts w:ascii="Arial" w:cs="Arial" w:eastAsia="Arial" w:hAnsi="Arial"/>
          <w:sz w:val="17"/>
          <w:szCs w:val="17"/>
          <w:color w:val="auto"/>
        </w:rPr>
      </w:pPr>
    </w:p>
    <w:p>
      <w:pPr>
        <w:ind w:left="200" w:firstLine="4"/>
        <w:spacing w:after="0" w:line="235" w:lineRule="auto"/>
        <w:tabs>
          <w:tab w:leader="none" w:pos="41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if it is determined by a Tax Authority to be consideration for a taxable supply in respect of which any recipient of the Termination Payment (or the representative member of the group of which any recipient of the Termination Payment is a member) is liable to account for VAT, to the extent that such VAT is recoverable by the payor of the Termination Payment (or the representative member of the group of which the payor is a member) by repayment or credit, the amount of the Termination Payment shall be increased to such amount so that the amount of the relevant fee (including any amount in respect of VAT) less the amount of such repayment or credit equals the amount of the Termination Payment had no such VAT arisen; for the avoidance of doubt if and to the extent that such VAT is irrecoverable by the payor (or the representative member of the group of which the payor is a member) then no additional amount shall to that extent be paid in respect of such VAT and the Termination Payment shall, to that extent, be VAT inclusive; and (ii) if a Tax Authority determines that VAT is due from the payor of the Termination Payment (or the representative member of the group of which the payor is a party) under the reverse charge mechanism or under any similar mechanism outside the European Union, to the extent that any VAT chargeable on the supply is not recoverable by such payor (or the representative member of the group of which the payor is a member) by repayment or credit, the amount of the Termination Payment shall be reduced to such amount so that the aggregate of the Termination Payment and such irrecoverable reverse charge VAT equals the amount of the relevant fee had no such irrecoverable reverse charge VAT arisen. Such adjusting payment as may be required between the Parties to give effect to this </w:t>
      </w:r>
      <w:r>
        <w:rPr>
          <w:rFonts w:ascii="Arial" w:cs="Arial" w:eastAsia="Arial" w:hAnsi="Arial"/>
          <w:sz w:val="18"/>
          <w:szCs w:val="18"/>
          <w:u w:val="single" w:color="auto"/>
          <w:color w:val="auto"/>
        </w:rPr>
        <w:t>Section 9.3(h)</w:t>
      </w:r>
      <w:r>
        <w:rPr>
          <w:rFonts w:ascii="Arial" w:cs="Arial" w:eastAsia="Arial" w:hAnsi="Arial"/>
          <w:sz w:val="18"/>
          <w:szCs w:val="18"/>
          <w:color w:val="auto"/>
        </w:rPr>
        <w:t xml:space="preserve"> shall be made five (5) Business Days after the date on which the determination by the Tax Authority has been communicated to the party required to make the payment (together with such evidence of it as is reasonable in the circumstances to provide and, where subparagraph (i) applies, together with the provision of a valid VAT invoice) or, if later (in the case of subparagraph (i)) five (5) Business Days after the VAT is recovered or (in the case of subparagraph (ii)) five (5) Business Days before the VAT is required to be accounted for.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10. 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10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10.1 Non-Survival of Representations and Warranties</w:t>
      </w:r>
      <w:r>
        <w:rPr>
          <w:rFonts w:ascii="Arial" w:cs="Arial" w:eastAsia="Arial" w:hAnsi="Arial"/>
          <w:sz w:val="18"/>
          <w:szCs w:val="18"/>
          <w:color w:val="auto"/>
        </w:rPr>
        <w:t>. The representations and warranties of the Company, Milan and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Effective Time.</w:t>
      </w:r>
    </w:p>
    <w:p>
      <w:pPr>
        <w:spacing w:after="0" w:line="169" w:lineRule="exact"/>
        <w:rPr>
          <w:sz w:val="20"/>
          <w:szCs w:val="20"/>
          <w:color w:val="auto"/>
        </w:rPr>
      </w:pPr>
    </w:p>
    <w:p>
      <w:pPr>
        <w:ind w:left="200" w:right="100" w:firstLine="441"/>
        <w:spacing w:after="0" w:line="242" w:lineRule="auto"/>
        <w:rPr>
          <w:sz w:val="20"/>
          <w:szCs w:val="20"/>
          <w:color w:val="auto"/>
        </w:rPr>
      </w:pPr>
      <w:r>
        <w:rPr>
          <w:rFonts w:ascii="Arial" w:cs="Arial" w:eastAsia="Arial" w:hAnsi="Arial"/>
          <w:sz w:val="18"/>
          <w:szCs w:val="18"/>
          <w:b w:val="1"/>
          <w:bCs w:val="1"/>
          <w:color w:val="auto"/>
        </w:rPr>
        <w:t>10.2 Amendment</w:t>
      </w:r>
      <w:r>
        <w:rPr>
          <w:rFonts w:ascii="Arial" w:cs="Arial" w:eastAsia="Arial" w:hAnsi="Arial"/>
          <w:sz w:val="18"/>
          <w:szCs w:val="18"/>
          <w:color w:val="auto"/>
        </w:rPr>
        <w:t>. This Agreement may be amended with the approval of the respective Boards of Directors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Merger Sub, HoldCo and Milan at any time (whether before or after the adoption and approval of this Agreement by the Company’s stockholders or before or after obtaining the Required Milan Shareholder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any such approval of this Agreement by a Party’s equityholders, no amendment shall be made which by law requires further approval of such equityholders without the further approval of such equityholders. This Agreement may not be amended except by an instrument in writing signed on behalf of each of the Company, Merger Sub, HoldCo and Milan.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20"/>
          </w:cols>
          <w:pgMar w:left="240" w:top="459" w:right="43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10.3 Waiver</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8" w:lineRule="auto"/>
        <w:tabs>
          <w:tab w:leader="none" w:pos="135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94" w:lineRule="exact"/>
        <w:rPr>
          <w:rFonts w:ascii="Arial" w:cs="Arial" w:eastAsia="Arial" w:hAnsi="Arial"/>
          <w:sz w:val="18"/>
          <w:szCs w:val="18"/>
          <w:color w:val="auto"/>
        </w:rPr>
      </w:pPr>
    </w:p>
    <w:p>
      <w:pPr>
        <w:jc w:val="both"/>
        <w:ind w:left="200" w:right="140" w:firstLine="885"/>
        <w:spacing w:after="0" w:line="239" w:lineRule="auto"/>
        <w:tabs>
          <w:tab w:leader="none" w:pos="135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0" w:lineRule="exact"/>
        <w:rPr>
          <w:sz w:val="20"/>
          <w:szCs w:val="20"/>
          <w:color w:val="auto"/>
        </w:rPr>
      </w:pPr>
    </w:p>
    <w:p>
      <w:pPr>
        <w:ind w:left="200" w:right="40" w:firstLine="441"/>
        <w:spacing w:after="0" w:line="241" w:lineRule="auto"/>
        <w:rPr>
          <w:sz w:val="20"/>
          <w:szCs w:val="20"/>
          <w:color w:val="auto"/>
        </w:rPr>
      </w:pPr>
      <w:r>
        <w:rPr>
          <w:rFonts w:ascii="Arial" w:cs="Arial" w:eastAsia="Arial" w:hAnsi="Arial"/>
          <w:sz w:val="18"/>
          <w:szCs w:val="18"/>
          <w:b w:val="1"/>
          <w:bCs w:val="1"/>
          <w:color w:val="auto"/>
        </w:rPr>
        <w:t>10.4 Entire Agreement; Counterparts; Exchanges by Facsimile</w:t>
      </w:r>
      <w:r>
        <w:rPr>
          <w:rFonts w:ascii="Arial" w:cs="Arial" w:eastAsia="Arial" w:hAnsi="Arial"/>
          <w:sz w:val="18"/>
          <w:szCs w:val="18"/>
          <w:color w:val="auto"/>
        </w:rPr>
        <w:t>. This Agreement and the other agreements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10.5 Applicable Law; Jurisdiction</w:t>
      </w:r>
      <w:r>
        <w:rPr>
          <w:rFonts w:ascii="Arial" w:cs="Arial" w:eastAsia="Arial" w:hAnsi="Arial"/>
          <w:sz w:val="18"/>
          <w:szCs w:val="18"/>
          <w:color w:val="auto"/>
        </w:rPr>
        <w:t>. This Agreement shall be governed by, and construed in accordance with,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New York,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of this Agreement; and (f) irrevocably waives the right to trial by jury.</w:t>
      </w:r>
    </w:p>
    <w:p>
      <w:pPr>
        <w:spacing w:after="0" w:line="181" w:lineRule="exact"/>
        <w:rPr>
          <w:sz w:val="20"/>
          <w:szCs w:val="20"/>
          <w:color w:val="auto"/>
        </w:rPr>
      </w:pPr>
    </w:p>
    <w:p>
      <w:pPr>
        <w:ind w:left="200" w:right="600" w:firstLine="441"/>
        <w:spacing w:after="0" w:line="253" w:lineRule="auto"/>
        <w:rPr>
          <w:sz w:val="20"/>
          <w:szCs w:val="20"/>
          <w:color w:val="auto"/>
        </w:rPr>
      </w:pPr>
      <w:r>
        <w:rPr>
          <w:rFonts w:ascii="Arial" w:cs="Arial" w:eastAsia="Arial" w:hAnsi="Arial"/>
          <w:sz w:val="18"/>
          <w:szCs w:val="18"/>
          <w:b w:val="1"/>
          <w:bCs w:val="1"/>
          <w:color w:val="auto"/>
        </w:rPr>
        <w:t>10.6 Attorneys’ Fees</w:t>
      </w:r>
      <w:r>
        <w:rPr>
          <w:rFonts w:ascii="Arial" w:cs="Arial" w:eastAsia="Arial" w:hAnsi="Arial"/>
          <w:sz w:val="18"/>
          <w:szCs w:val="18"/>
          <w:color w:val="auto"/>
        </w:rPr>
        <w:t>. In any action at law or suit in equity to enforce this Agreement or the rights of any of the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in such action or suit (as determined by a court of competent jurisdiction) shall be entitled to recover its reasonable out-of-pocket attorneys’ fees and all other reasonable costs and expenses incurred in such action or suit.</w:t>
      </w:r>
    </w:p>
    <w:p>
      <w:pPr>
        <w:spacing w:after="0" w:line="169"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color w:val="auto"/>
        </w:rPr>
        <w:t>10.7 Assignability</w:t>
      </w:r>
      <w:r>
        <w:rPr>
          <w:rFonts w:ascii="Arial" w:cs="Arial" w:eastAsia="Arial" w:hAnsi="Arial"/>
          <w:sz w:val="18"/>
          <w:szCs w:val="18"/>
          <w:color w:val="auto"/>
        </w:rPr>
        <w:t>. This Agreement shall be binding upon, and shall be enforceable by and inure solely to the benefit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00"/>
          </w:cols>
          <w:pgMar w:left="240" w:top="459" w:right="45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441"/>
        <w:spacing w:after="0" w:line="244" w:lineRule="auto"/>
        <w:rPr>
          <w:sz w:val="20"/>
          <w:szCs w:val="20"/>
          <w:color w:val="auto"/>
        </w:rPr>
      </w:pPr>
      <w:r>
        <w:rPr>
          <w:rFonts w:ascii="Arial" w:cs="Arial" w:eastAsia="Arial" w:hAnsi="Arial"/>
          <w:sz w:val="18"/>
          <w:szCs w:val="18"/>
          <w:b w:val="1"/>
          <w:bCs w:val="1"/>
          <w:color w:val="auto"/>
        </w:rPr>
        <w:t>10.8 Notices</w:t>
      </w:r>
      <w:r>
        <w:rPr>
          <w:rFonts w:ascii="Arial" w:cs="Arial" w:eastAsia="Arial" w:hAnsi="Arial"/>
          <w:sz w:val="18"/>
          <w:szCs w:val="18"/>
          <w:color w:val="auto"/>
        </w:rPr>
        <w:t>. All notices and other communications hereunder shall be in writing and shall be deemed to have been duly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5:00 p.m. New York City time, otherwise on the next succeeding Business Day, in each case to the intended recipient as set forth below:</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Milan, HoldCo or Merger Sub:</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Mereo BioPharma Group plc</w:t>
      </w:r>
    </w:p>
    <w:p>
      <w:pPr>
        <w:ind w:left="1080"/>
        <w:spacing w:after="0" w:line="234" w:lineRule="auto"/>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1 Cavendish Place</w:t>
      </w:r>
    </w:p>
    <w:p>
      <w:pPr>
        <w:ind w:left="1080"/>
        <w:spacing w:after="0" w:line="235" w:lineRule="auto"/>
        <w:rPr>
          <w:sz w:val="20"/>
          <w:szCs w:val="20"/>
          <w:color w:val="auto"/>
        </w:rPr>
      </w:pPr>
      <w:r>
        <w:rPr>
          <w:rFonts w:ascii="Arial" w:cs="Arial" w:eastAsia="Arial" w:hAnsi="Arial"/>
          <w:sz w:val="18"/>
          <w:szCs w:val="18"/>
          <w:color w:val="auto"/>
        </w:rPr>
        <w:t>London WIG 0QF</w:t>
      </w:r>
    </w:p>
    <w:p>
      <w:pPr>
        <w:ind w:left="1080"/>
        <w:spacing w:after="0" w:line="235" w:lineRule="auto"/>
        <w:rPr>
          <w:sz w:val="20"/>
          <w:szCs w:val="20"/>
          <w:color w:val="auto"/>
        </w:rPr>
      </w:pPr>
      <w:r>
        <w:rPr>
          <w:rFonts w:ascii="Arial" w:cs="Arial" w:eastAsia="Arial" w:hAnsi="Arial"/>
          <w:sz w:val="18"/>
          <w:szCs w:val="18"/>
          <w:color w:val="auto"/>
        </w:rPr>
        <w:t>Attention: Chief Executive Officer and Legal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dsk@mereobiopharma.com; legal@mereobiopharma.com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constitute notice):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Davis Polk &amp; Wardwell London LLP</w:t>
      </w:r>
    </w:p>
    <w:p>
      <w:pPr>
        <w:ind w:left="1080"/>
        <w:spacing w:after="0" w:line="234" w:lineRule="auto"/>
        <w:rPr>
          <w:sz w:val="20"/>
          <w:szCs w:val="20"/>
          <w:color w:val="auto"/>
        </w:rPr>
      </w:pPr>
      <w:r>
        <w:rPr>
          <w:rFonts w:ascii="Arial" w:cs="Arial" w:eastAsia="Arial" w:hAnsi="Arial"/>
          <w:sz w:val="18"/>
          <w:szCs w:val="18"/>
          <w:color w:val="auto"/>
        </w:rPr>
        <w:t>5 Aldermanbury Square</w:t>
      </w:r>
    </w:p>
    <w:p>
      <w:pPr>
        <w:ind w:left="1080"/>
        <w:spacing w:after="0" w:line="235" w:lineRule="auto"/>
        <w:rPr>
          <w:sz w:val="20"/>
          <w:szCs w:val="20"/>
          <w:color w:val="auto"/>
        </w:rPr>
      </w:pPr>
      <w:r>
        <w:rPr>
          <w:rFonts w:ascii="Arial" w:cs="Arial" w:eastAsia="Arial" w:hAnsi="Arial"/>
          <w:sz w:val="18"/>
          <w:szCs w:val="18"/>
          <w:color w:val="auto"/>
        </w:rPr>
        <w:t>London EC2V 7HR</w:t>
      </w:r>
    </w:p>
    <w:p>
      <w:pPr>
        <w:ind w:left="1080"/>
        <w:spacing w:after="0" w:line="235" w:lineRule="auto"/>
        <w:rPr>
          <w:sz w:val="20"/>
          <w:szCs w:val="20"/>
          <w:color w:val="auto"/>
        </w:rPr>
      </w:pPr>
      <w:r>
        <w:rPr>
          <w:rFonts w:ascii="Arial" w:cs="Arial" w:eastAsia="Arial" w:hAnsi="Arial"/>
          <w:sz w:val="18"/>
          <w:szCs w:val="18"/>
          <w:color w:val="auto"/>
        </w:rPr>
        <w:t>Attention: Simon Witty, Leo Borchardt and Michael Davis</w:t>
      </w:r>
    </w:p>
    <w:p>
      <w:pPr>
        <w:ind w:left="1080"/>
        <w:spacing w:after="0" w:line="235" w:lineRule="auto"/>
        <w:rPr>
          <w:sz w:val="20"/>
          <w:szCs w:val="20"/>
          <w:color w:val="auto"/>
        </w:rPr>
      </w:pPr>
      <w:r>
        <w:rPr>
          <w:rFonts w:ascii="Arial" w:cs="Arial" w:eastAsia="Arial" w:hAnsi="Arial"/>
          <w:sz w:val="18"/>
          <w:szCs w:val="18"/>
          <w:color w:val="auto"/>
        </w:rPr>
        <w:t>Email: simon.witty@davispolk.com; leo.borchardt@davispolk.com;</w:t>
      </w:r>
    </w:p>
    <w:p>
      <w:pPr>
        <w:ind w:left="1080"/>
        <w:spacing w:after="0"/>
        <w:rPr>
          <w:sz w:val="20"/>
          <w:szCs w:val="20"/>
          <w:color w:val="auto"/>
        </w:rPr>
      </w:pPr>
      <w:r>
        <w:rPr>
          <w:rFonts w:ascii="Arial" w:cs="Arial" w:eastAsia="Arial" w:hAnsi="Arial"/>
          <w:sz w:val="18"/>
          <w:szCs w:val="18"/>
          <w:color w:val="auto"/>
        </w:rPr>
        <w:t>michael.davis@davispolk.com</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Company:</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OncoMed Pharmaceuticals, Inc.</w:t>
      </w:r>
    </w:p>
    <w:p>
      <w:pPr>
        <w:ind w:left="1080"/>
        <w:spacing w:after="0" w:line="234" w:lineRule="auto"/>
        <w:rPr>
          <w:sz w:val="20"/>
          <w:szCs w:val="20"/>
          <w:color w:val="auto"/>
        </w:rPr>
      </w:pPr>
      <w:r>
        <w:rPr>
          <w:rFonts w:ascii="Arial" w:cs="Arial" w:eastAsia="Arial" w:hAnsi="Arial"/>
          <w:sz w:val="18"/>
          <w:szCs w:val="18"/>
          <w:color w:val="auto"/>
        </w:rPr>
        <w:t>800 Chesapeake Drive</w:t>
      </w:r>
    </w:p>
    <w:p>
      <w:pPr>
        <w:ind w:left="1080"/>
        <w:spacing w:after="0" w:line="235" w:lineRule="auto"/>
        <w:rPr>
          <w:sz w:val="20"/>
          <w:szCs w:val="20"/>
          <w:color w:val="auto"/>
        </w:rPr>
      </w:pPr>
      <w:r>
        <w:rPr>
          <w:rFonts w:ascii="Arial" w:cs="Arial" w:eastAsia="Arial" w:hAnsi="Arial"/>
          <w:sz w:val="18"/>
          <w:szCs w:val="18"/>
          <w:color w:val="auto"/>
        </w:rPr>
        <w:t>Redwood City, California 94063</w:t>
      </w:r>
    </w:p>
    <w:p>
      <w:pPr>
        <w:ind w:left="1080"/>
        <w:spacing w:after="0" w:line="235" w:lineRule="auto"/>
        <w:rPr>
          <w:sz w:val="20"/>
          <w:szCs w:val="20"/>
          <w:color w:val="auto"/>
        </w:rPr>
      </w:pPr>
      <w:r>
        <w:rPr>
          <w:rFonts w:ascii="Arial" w:cs="Arial" w:eastAsia="Arial" w:hAnsi="Arial"/>
          <w:sz w:val="18"/>
          <w:szCs w:val="18"/>
          <w:color w:val="auto"/>
        </w:rPr>
        <w:t>Attention: Chief Executive Officer and Legal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john.lewicki@oncomed.com; legal@oncomed.com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constitute notice):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Latham &amp; Watkins LLP</w:t>
      </w:r>
    </w:p>
    <w:p>
      <w:pPr>
        <w:ind w:left="1080"/>
        <w:spacing w:after="0" w:line="234" w:lineRule="auto"/>
        <w:rPr>
          <w:sz w:val="20"/>
          <w:szCs w:val="20"/>
          <w:color w:val="auto"/>
        </w:rPr>
      </w:pPr>
      <w:r>
        <w:rPr>
          <w:rFonts w:ascii="Arial" w:cs="Arial" w:eastAsia="Arial" w:hAnsi="Arial"/>
          <w:sz w:val="18"/>
          <w:szCs w:val="18"/>
          <w:color w:val="auto"/>
        </w:rPr>
        <w:t>140 Scott Drive</w:t>
      </w:r>
    </w:p>
    <w:p>
      <w:pPr>
        <w:ind w:left="1080"/>
        <w:spacing w:after="0" w:line="235" w:lineRule="auto"/>
        <w:rPr>
          <w:sz w:val="20"/>
          <w:szCs w:val="20"/>
          <w:color w:val="auto"/>
        </w:rPr>
      </w:pPr>
      <w:r>
        <w:rPr>
          <w:rFonts w:ascii="Arial" w:cs="Arial" w:eastAsia="Arial" w:hAnsi="Arial"/>
          <w:sz w:val="18"/>
          <w:szCs w:val="18"/>
          <w:color w:val="auto"/>
        </w:rPr>
        <w:t>Menlo Park, California 94025</w:t>
      </w:r>
    </w:p>
    <w:p>
      <w:pPr>
        <w:ind w:left="1080"/>
        <w:spacing w:after="0" w:line="235" w:lineRule="auto"/>
        <w:rPr>
          <w:sz w:val="20"/>
          <w:szCs w:val="20"/>
          <w:color w:val="auto"/>
        </w:rPr>
      </w:pPr>
      <w:r>
        <w:rPr>
          <w:rFonts w:ascii="Arial" w:cs="Arial" w:eastAsia="Arial" w:hAnsi="Arial"/>
          <w:sz w:val="18"/>
          <w:szCs w:val="18"/>
          <w:color w:val="auto"/>
        </w:rPr>
        <w:t>Fax: (650) 463-2600</w:t>
      </w:r>
    </w:p>
    <w:p>
      <w:pPr>
        <w:ind w:left="1080"/>
        <w:spacing w:after="0" w:line="235" w:lineRule="auto"/>
        <w:rPr>
          <w:sz w:val="20"/>
          <w:szCs w:val="20"/>
          <w:color w:val="auto"/>
        </w:rPr>
      </w:pPr>
      <w:r>
        <w:rPr>
          <w:rFonts w:ascii="Arial" w:cs="Arial" w:eastAsia="Arial" w:hAnsi="Arial"/>
          <w:sz w:val="18"/>
          <w:szCs w:val="18"/>
          <w:color w:val="auto"/>
        </w:rPr>
        <w:t>Attention: Alan Mendelson, Chad Rolston and Richard Butterwick</w:t>
      </w:r>
    </w:p>
    <w:p>
      <w:pPr>
        <w:ind w:left="1080"/>
        <w:spacing w:after="0" w:line="235" w:lineRule="auto"/>
        <w:rPr>
          <w:sz w:val="20"/>
          <w:szCs w:val="20"/>
          <w:color w:val="auto"/>
        </w:rPr>
      </w:pPr>
      <w:r>
        <w:rPr>
          <w:rFonts w:ascii="Arial" w:cs="Arial" w:eastAsia="Arial" w:hAnsi="Arial"/>
          <w:sz w:val="18"/>
          <w:szCs w:val="18"/>
          <w:color w:val="auto"/>
        </w:rPr>
        <w:t>Email: alan.mendelson@lw.com; chad.rolston@lw.com;</w:t>
      </w:r>
    </w:p>
    <w:p>
      <w:pPr>
        <w:ind w:left="1680"/>
        <w:spacing w:after="0"/>
        <w:rPr>
          <w:sz w:val="20"/>
          <w:szCs w:val="20"/>
          <w:color w:val="auto"/>
        </w:rPr>
      </w:pPr>
      <w:r>
        <w:rPr>
          <w:rFonts w:ascii="Arial" w:cs="Arial" w:eastAsia="Arial" w:hAnsi="Arial"/>
          <w:sz w:val="18"/>
          <w:szCs w:val="18"/>
          <w:color w:val="auto"/>
        </w:rPr>
        <w:t>richard.butterwick@lw.com</w:t>
      </w:r>
    </w:p>
    <w:p>
      <w:pPr>
        <w:spacing w:after="0" w:line="19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10.9 Cooperation</w:t>
      </w:r>
      <w:r>
        <w:rPr>
          <w:rFonts w:ascii="Arial" w:cs="Arial" w:eastAsia="Arial" w:hAnsi="Arial"/>
          <w:sz w:val="18"/>
          <w:szCs w:val="18"/>
          <w:color w:val="auto"/>
        </w:rPr>
        <w:t>. Each Party agrees to cooperate fully with the other Party and to execute and deliver such further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agreements and instruments and to take such other actions as may be reasonably requested by the other Party to evidence or reflect the Contemplated Transactions and to carry out the intent and purposes of this Agreement.</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7"/>
          <w:szCs w:val="17"/>
          <w:b w:val="1"/>
          <w:bCs w:val="1"/>
          <w:color w:val="auto"/>
        </w:rPr>
        <w:t>10.10 Severability</w:t>
      </w:r>
      <w:r>
        <w:rPr>
          <w:rFonts w:ascii="Arial" w:cs="Arial" w:eastAsia="Arial" w:hAnsi="Arial"/>
          <w:sz w:val="17"/>
          <w:szCs w:val="17"/>
          <w:color w:val="auto"/>
        </w:rPr>
        <w:t>. Any term or provision of this Agreement that is invalid or unenforceable in any situation in any jurisdiction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20"/>
          </w:cols>
          <w:pgMar w:left="240" w:top="460" w:right="43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b w:val="1"/>
          <w:bCs w:val="1"/>
          <w:color w:val="auto"/>
        </w:rPr>
        <w:t>10.11 Other Remedies; Specific Performance</w:t>
      </w:r>
      <w:r>
        <w:rPr>
          <w:rFonts w:ascii="Arial" w:cs="Arial" w:eastAsia="Arial" w:hAnsi="Arial"/>
          <w:sz w:val="18"/>
          <w:szCs w:val="18"/>
          <w:color w:val="auto"/>
        </w:rPr>
        <w:t>. Except as otherwise provided herein, any and all remedies herein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10.12 No Third Party Beneficiaries</w:t>
      </w:r>
      <w:r>
        <w:rPr>
          <w:rFonts w:ascii="Arial" w:cs="Arial" w:eastAsia="Arial" w:hAnsi="Arial"/>
          <w:sz w:val="18"/>
          <w:szCs w:val="18"/>
          <w:color w:val="auto"/>
        </w:rPr>
        <w:t>. Nothing in this Agreement, express or implied, is intended to or shall confer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the 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10.13 Construction</w:t>
      </w:r>
      <w:r>
        <w:rPr>
          <w:rFonts w:ascii="Arial" w:cs="Arial" w:eastAsia="Arial" w:hAnsi="Arial"/>
          <w:sz w:val="18"/>
          <w:szCs w:val="18"/>
          <w:color w:val="auto"/>
        </w:rPr>
        <w:t>.</w:t>
      </w:r>
    </w:p>
    <w:p>
      <w:pPr>
        <w:spacing w:after="0" w:line="126" w:lineRule="exact"/>
        <w:rPr>
          <w:sz w:val="20"/>
          <w:szCs w:val="20"/>
          <w:color w:val="auto"/>
        </w:rPr>
      </w:pPr>
    </w:p>
    <w:p>
      <w:pPr>
        <w:jc w:val="both"/>
        <w:ind w:left="200" w:firstLine="885"/>
        <w:spacing w:after="0"/>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94" w:lineRule="exact"/>
        <w:rPr>
          <w:rFonts w:ascii="Arial" w:cs="Arial" w:eastAsia="Arial" w:hAnsi="Arial"/>
          <w:sz w:val="18"/>
          <w:szCs w:val="18"/>
          <w:color w:val="auto"/>
        </w:rPr>
      </w:pPr>
    </w:p>
    <w:p>
      <w:pPr>
        <w:ind w:left="200" w:right="340" w:firstLine="885"/>
        <w:spacing w:after="0" w:line="246" w:lineRule="auto"/>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88" w:lineRule="exact"/>
        <w:rPr>
          <w:rFonts w:ascii="Arial" w:cs="Arial" w:eastAsia="Arial" w:hAnsi="Arial"/>
          <w:sz w:val="18"/>
          <w:szCs w:val="18"/>
          <w:color w:val="auto"/>
        </w:rPr>
      </w:pPr>
    </w:p>
    <w:p>
      <w:pPr>
        <w:ind w:left="200" w:right="220" w:firstLine="885"/>
        <w:spacing w:after="0" w:line="246" w:lineRule="auto"/>
        <w:tabs>
          <w:tab w:leader="none" w:pos="134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88" w:lineRule="exact"/>
        <w:rPr>
          <w:rFonts w:ascii="Arial" w:cs="Arial" w:eastAsia="Arial" w:hAnsi="Arial"/>
          <w:sz w:val="18"/>
          <w:szCs w:val="18"/>
          <w:color w:val="auto"/>
        </w:rPr>
      </w:pPr>
    </w:p>
    <w:p>
      <w:pPr>
        <w:ind w:left="1360" w:hanging="275"/>
        <w:spacing w:after="0"/>
        <w:tabs>
          <w:tab w:leader="none" w:pos="13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use of the word “or” shall not be exclusive.</w:t>
      </w:r>
    </w:p>
    <w:p>
      <w:pPr>
        <w:spacing w:after="0" w:line="103" w:lineRule="exact"/>
        <w:rPr>
          <w:rFonts w:ascii="Arial" w:cs="Arial" w:eastAsia="Arial" w:hAnsi="Arial"/>
          <w:sz w:val="18"/>
          <w:szCs w:val="18"/>
          <w:color w:val="auto"/>
        </w:rPr>
      </w:pPr>
    </w:p>
    <w:p>
      <w:pPr>
        <w:ind w:left="200" w:right="320" w:firstLine="885"/>
        <w:spacing w:after="0" w:line="246" w:lineRule="auto"/>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88" w:lineRule="exact"/>
        <w:rPr>
          <w:rFonts w:ascii="Arial" w:cs="Arial" w:eastAsia="Arial" w:hAnsi="Arial"/>
          <w:sz w:val="18"/>
          <w:szCs w:val="18"/>
          <w:color w:val="auto"/>
        </w:rPr>
      </w:pPr>
    </w:p>
    <w:p>
      <w:pPr>
        <w:ind w:left="200" w:right="220" w:firstLine="885"/>
        <w:spacing w:after="0"/>
        <w:tabs>
          <w:tab w:leader="none" w:pos="130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94" w:lineRule="exact"/>
        <w:rPr>
          <w:rFonts w:ascii="Arial" w:cs="Arial" w:eastAsia="Arial" w:hAnsi="Arial"/>
          <w:sz w:val="18"/>
          <w:szCs w:val="18"/>
          <w:color w:val="auto"/>
        </w:rPr>
      </w:pPr>
    </w:p>
    <w:p>
      <w:pPr>
        <w:ind w:left="200" w:right="280" w:firstLine="885"/>
        <w:spacing w:after="0" w:line="246" w:lineRule="auto"/>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88" w:lineRule="exact"/>
        <w:rPr>
          <w:rFonts w:ascii="Arial" w:cs="Arial" w:eastAsia="Arial" w:hAnsi="Arial"/>
          <w:sz w:val="18"/>
          <w:szCs w:val="18"/>
          <w:color w:val="auto"/>
        </w:rPr>
      </w:pPr>
    </w:p>
    <w:p>
      <w:pPr>
        <w:jc w:val="both"/>
        <w:ind w:left="200" w:right="180" w:firstLine="885"/>
        <w:spacing w:after="0"/>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Parties agree that the Company Disclosure Schedule or Milan Disclosure Schedule shall be arranged in sections and subsections corresponding to the numbered and lettered sections and subsections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respectively. The disclosures in any section or subsection of the Company Disclosure Schedule or the Milan Disclosure Schedule shall qualify other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20"/>
          </w:cols>
          <w:pgMar w:left="24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 xml:space="preserve">sections and subsections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respectively, to the extent it is readily apparent from a reading of the disclosure that such disclosure is applicable to such other sections and subsections.</w:t>
      </w:r>
    </w:p>
    <w:p>
      <w:pPr>
        <w:spacing w:after="0" w:line="89" w:lineRule="exact"/>
        <w:rPr>
          <w:sz w:val="20"/>
          <w:szCs w:val="20"/>
          <w:color w:val="auto"/>
        </w:rPr>
      </w:pPr>
    </w:p>
    <w:p>
      <w:pPr>
        <w:ind w:left="200" w:firstLine="885"/>
        <w:spacing w:after="0" w:line="239" w:lineRule="auto"/>
        <w:tabs>
          <w:tab w:leader="none" w:pos="129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“delivered” or “made available” means, with respect to any documentation, that prior to 11:59 p.m. (New York City time) on the date that is two (2) calendar days prior to the date of this Agreement, a copy of such material has been posted to and made available by a Party to the other Party and its Representatives in the electronic data room maintained by such disclosing Party for the purposes of the Contemplated Transactions.</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80"/>
          </w:cols>
          <w:pgMar w:left="240" w:top="459" w:right="57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3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PLC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Denise Scots-Knight</w:t>
      </w:r>
    </w:p>
    <w:p>
      <w:pPr>
        <w:ind w:left="718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US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Richard Jones</w:t>
      </w:r>
    </w:p>
    <w:p>
      <w:pPr>
        <w:ind w:left="7180"/>
        <w:spacing w:after="0"/>
        <w:tabs>
          <w:tab w:leader="none" w:pos="7740" w:val="left"/>
        </w:tabs>
        <w:rPr>
          <w:sz w:val="20"/>
          <w:szCs w:val="20"/>
          <w:color w:val="auto"/>
        </w:rPr>
      </w:pPr>
      <w:r>
        <w:rPr>
          <w:rFonts w:ascii="Arial" w:cs="Arial" w:eastAsia="Arial" w:hAnsi="Arial"/>
          <w:sz w:val="18"/>
          <w:szCs w:val="18"/>
          <w:color w:val="auto"/>
        </w:rPr>
        <w:t>Title:</w:t>
        <w:tab/>
        <w:t>Secretary</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C</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NE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Richard Jones</w:t>
      </w:r>
    </w:p>
    <w:p>
      <w:pPr>
        <w:ind w:left="7180"/>
        <w:spacing w:after="0"/>
        <w:tabs>
          <w:tab w:leader="none" w:pos="7740" w:val="left"/>
        </w:tabs>
        <w:rPr>
          <w:sz w:val="20"/>
          <w:szCs w:val="20"/>
          <w:color w:val="auto"/>
        </w:rPr>
      </w:pPr>
      <w:r>
        <w:rPr>
          <w:rFonts w:ascii="Arial" w:cs="Arial" w:eastAsia="Arial" w:hAnsi="Arial"/>
          <w:sz w:val="18"/>
          <w:szCs w:val="18"/>
          <w:color w:val="auto"/>
        </w:rPr>
        <w:t>Title:</w:t>
        <w:tab/>
        <w:t>Secretary</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NCOMED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John A. Lewicki, Ph.D.</w:t>
      </w:r>
    </w:p>
    <w:p>
      <w:pPr>
        <w:ind w:left="7180"/>
        <w:spacing w:after="0"/>
        <w:tabs>
          <w:tab w:leader="none" w:pos="7740" w:val="left"/>
        </w:tabs>
        <w:rPr>
          <w:sz w:val="20"/>
          <w:szCs w:val="20"/>
          <w:color w:val="auto"/>
        </w:rPr>
      </w:pPr>
      <w:r>
        <w:rPr>
          <w:rFonts w:ascii="Arial" w:cs="Arial" w:eastAsia="Arial" w:hAnsi="Arial"/>
          <w:sz w:val="18"/>
          <w:szCs w:val="18"/>
          <w:color w:val="auto"/>
        </w:rPr>
        <w:t>Title:</w:t>
        <w:tab/>
        <w:t>President and Chief Executive Officer</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 AND</w:t>
      </w:r>
      <w:r>
        <w:rPr>
          <w:rFonts w:ascii="Arial" w:cs="Arial" w:eastAsia="Arial" w:hAnsi="Arial"/>
          <w:sz w:val="18"/>
          <w:szCs w:val="18"/>
          <w:color w:val="auto"/>
        </w:rPr>
        <w:t xml:space="preserve"> R</w:t>
      </w:r>
      <w:r>
        <w:rPr>
          <w:rFonts w:ascii="Arial" w:cs="Arial" w:eastAsia="Arial" w:hAnsi="Arial"/>
          <w:sz w:val="15"/>
          <w:szCs w:val="15"/>
          <w:color w:val="auto"/>
        </w:rPr>
        <w:t>EORGANIZATION</w:t>
      </w:r>
      <w:r>
        <w:rPr>
          <w:rFonts w:ascii="Arial" w:cs="Arial" w:eastAsia="Arial" w:hAnsi="Arial"/>
          <w:sz w:val="18"/>
          <w:szCs w:val="18"/>
          <w:color w:val="auto"/>
        </w:rPr>
        <w: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0760"/>
          </w:cols>
          <w:pgMar w:left="240" w:top="459" w:right="89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139" w:lineRule="exact"/>
        <w:rPr>
          <w:sz w:val="20"/>
          <w:szCs w:val="20"/>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For purposes of the Agreement (including this Exhibit A):</w:t>
      </w:r>
    </w:p>
    <w:p>
      <w:pPr>
        <w:spacing w:after="0" w:line="190" w:lineRule="exact"/>
        <w:rPr>
          <w:sz w:val="20"/>
          <w:szCs w:val="20"/>
          <w:color w:val="auto"/>
        </w:rPr>
      </w:pPr>
    </w:p>
    <w:p>
      <w:pPr>
        <w:ind w:left="200" w:right="14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Milan, on the other hand, to the other Party) that could reasonably be expected to lead to an Acquisition Proposal.</w:t>
      </w:r>
    </w:p>
    <w:p>
      <w:pPr>
        <w:spacing w:after="0" w:line="169"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Company or any of its Affiliates, on the one hand, or by or on behalf of Milan or any of its Affiliates, on the other hand, to the other Party) contemplating or otherwise relating to any Acquisition Transaction with such Party.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related transactions involving:</w:t>
      </w:r>
    </w:p>
    <w:p>
      <w:pPr>
        <w:spacing w:after="0" w:line="126" w:lineRule="exact"/>
        <w:rPr>
          <w:sz w:val="20"/>
          <w:szCs w:val="20"/>
          <w:color w:val="auto"/>
        </w:rPr>
      </w:pPr>
    </w:p>
    <w:p>
      <w:pPr>
        <w:ind w:left="640" w:firstLine="428"/>
        <w:spacing w:after="0" w:line="253" w:lineRule="auto"/>
        <w:tabs>
          <w:tab w:leader="none" w:pos="133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87" w:lineRule="exact"/>
        <w:rPr>
          <w:rFonts w:ascii="Arial" w:cs="Arial" w:eastAsia="Arial" w:hAnsi="Arial"/>
          <w:sz w:val="17"/>
          <w:szCs w:val="17"/>
          <w:color w:val="auto"/>
        </w:rPr>
      </w:pPr>
    </w:p>
    <w:p>
      <w:pPr>
        <w:ind w:left="640" w:right="180" w:firstLine="428"/>
        <w:spacing w:after="0"/>
        <w:tabs>
          <w:tab w:leader="none" w:pos="133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sale, lease, exchange, transfer, acquisition or disposition of any business or businesses or assets that constitute or account for 20% or more of the consolidated book value or the fair market value of the assets of a Party and its Subsidiaries, taken as a whole.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avoidance of doubt, a licensing transaction shall not be considered an Acquisition Transaction.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have the meaning given to such term in Rule 145 under the Securities Act.</w:t>
      </w:r>
    </w:p>
    <w:p>
      <w:pPr>
        <w:spacing w:after="0" w:line="212" w:lineRule="exact"/>
        <w:rPr>
          <w:sz w:val="20"/>
          <w:szCs w:val="20"/>
          <w:color w:val="auto"/>
        </w:rPr>
      </w:pPr>
    </w:p>
    <w:p>
      <w:pPr>
        <w:ind w:left="200" w:right="7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Agreement and Plan of Merger and Reorganization to which this Exhibit A is attached, as it may be amended from time to time.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AIM</w:t>
      </w:r>
      <w:r>
        <w:rPr>
          <w:rFonts w:ascii="Arial" w:cs="Arial" w:eastAsia="Arial" w:hAnsi="Arial"/>
          <w:sz w:val="18"/>
          <w:szCs w:val="18"/>
          <w:color w:val="auto"/>
        </w:rPr>
        <w:t>” means the Alternative Investment Market operated by the London Stock Exchange.</w:t>
      </w:r>
    </w:p>
    <w:p>
      <w:pPr>
        <w:spacing w:after="0" w:line="212"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AIM Rules</w:t>
      </w:r>
      <w:r>
        <w:rPr>
          <w:rFonts w:ascii="Arial" w:cs="Arial" w:eastAsia="Arial" w:hAnsi="Arial"/>
          <w:sz w:val="18"/>
          <w:szCs w:val="18"/>
          <w:color w:val="auto"/>
        </w:rPr>
        <w:t>” means the rules for AIM companies published by the London Stock Exchange and the rules of nominated advisers to AIM companies published by the London Stock Exchange.</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day on which banks in the United Kingdom or the State of New York are authorized or obligated to be closed.</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20"/>
          </w:cols>
          <w:pgMar w:left="240" w:top="459" w:right="43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means any Person that is (or at any relevant time was) under common control with the Company within the meaning of Sections 414(b), (c), (m) and (o) of the Code, and the regulations issued thereunder.</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means any current or former director, officer or employee of, or independent contractor or consultant to, the Company.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means the board of directors of the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 Stock</w:t>
      </w:r>
      <w:r>
        <w:rPr>
          <w:rFonts w:ascii="Arial" w:cs="Arial" w:eastAsia="Arial" w:hAnsi="Arial"/>
          <w:sz w:val="18"/>
          <w:szCs w:val="18"/>
          <w:color w:val="auto"/>
        </w:rPr>
        <w:t>” means the Company Common Stock and the Company Preferred Stock.</w:t>
      </w:r>
    </w:p>
    <w:p>
      <w:pPr>
        <w:spacing w:after="0" w:line="21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Capitalization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2.6(a)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2.6(d)</w:t>
      </w:r>
      <w:r>
        <w:rPr>
          <w:rFonts w:ascii="Arial" w:cs="Arial" w:eastAsia="Arial" w:hAnsi="Arial"/>
          <w:sz w:val="18"/>
          <w:szCs w:val="18"/>
          <w:color w:val="auto"/>
        </w:rPr>
        <w:t>.</w:t>
      </w:r>
    </w:p>
    <w:p>
      <w:pPr>
        <w:spacing w:after="0" w:line="154" w:lineRule="exact"/>
        <w:rPr>
          <w:sz w:val="20"/>
          <w:szCs w:val="20"/>
          <w:color w:val="auto"/>
        </w:rPr>
      </w:pPr>
    </w:p>
    <w:p>
      <w:pPr>
        <w:jc w:val="both"/>
        <w:ind w:left="200" w:right="4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means any Contract: (a) to which the Company is a Party; (b) by which the Company or any Company IP Rights or any other asset of the Company is or may become bound or under which the Company has, or may become subject to, any obligation; or (c) under which the Company has or may acquire any right or interest.</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w:t>
      </w:r>
      <w:r>
        <w:rPr>
          <w:rFonts w:ascii="Arial" w:cs="Arial" w:eastAsia="Arial" w:hAnsi="Arial"/>
          <w:sz w:val="18"/>
          <w:szCs w:val="18"/>
          <w:color w:val="auto"/>
        </w:rPr>
        <w:t>.</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means all Intellectual Property owned, licensed to, or controlled by the Company that is necessary for or used in the operation of the business of the Company as presently conducted.</w:t>
      </w:r>
    </w:p>
    <w:p>
      <w:pPr>
        <w:spacing w:after="0" w:line="154"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Material Adverse Effect</w:t>
      </w:r>
      <w:r>
        <w:rPr>
          <w:rFonts w:ascii="Arial" w:cs="Arial" w:eastAsia="Arial" w:hAnsi="Arial"/>
          <w:sz w:val="18"/>
          <w:szCs w:val="18"/>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Effects arising or resulting from the following shall not be taken into account in determining whether there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Material Adverse Effect: (a) any rejection or non-acceptance by a Governmental Authority of a registration statement or filing by the Company relating to the Company IP Rights; (b) the announcement of the Agreement or the pendency of the Contemplated Transactions; (c) any change in the share price or trading volume of Company Common Stock (it being understood, however, that any Effect causing or contributing to any change in share price or trading volume of Company Common Stock may be taken into account in determining whether a Company Material Adverse Effect has occurred, unless such Effects are otherwise excepted from this definition);</w:t>
      </w:r>
    </w:p>
    <w:p>
      <w:pPr>
        <w:spacing w:after="0" w:line="6" w:lineRule="exact"/>
        <w:rPr>
          <w:sz w:val="20"/>
          <w:szCs w:val="20"/>
          <w:color w:val="auto"/>
        </w:rPr>
      </w:pPr>
    </w:p>
    <w:p>
      <w:pPr>
        <w:ind w:left="200" w:right="40" w:firstLine="4"/>
        <w:spacing w:after="0" w:line="248" w:lineRule="auto"/>
        <w:tabs>
          <w:tab w:leader="none" w:pos="47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the taking of any action, or the failure to take any action, by the Company that is required to comply with the terms of the Agreement or the taking of any action expressly permitted by </w:t>
      </w:r>
      <w:r>
        <w:rPr>
          <w:rFonts w:ascii="Arial" w:cs="Arial" w:eastAsia="Arial" w:hAnsi="Arial"/>
          <w:sz w:val="17"/>
          <w:szCs w:val="17"/>
          <w:u w:val="single" w:color="auto"/>
          <w:color w:val="auto"/>
        </w:rPr>
        <w:t>Section 4.2(b)</w:t>
      </w:r>
      <w:r>
        <w:rPr>
          <w:rFonts w:ascii="Arial" w:cs="Arial" w:eastAsia="Arial" w:hAnsi="Arial"/>
          <w:sz w:val="17"/>
          <w:szCs w:val="17"/>
          <w:color w:val="auto"/>
        </w:rPr>
        <w:t xml:space="preserve"> of the Company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2" w:lineRule="exact"/>
        <w:rPr>
          <w:rFonts w:ascii="Arial" w:cs="Arial" w:eastAsia="Arial" w:hAnsi="Arial"/>
          <w:sz w:val="17"/>
          <w:szCs w:val="17"/>
          <w:color w:val="auto"/>
        </w:rPr>
      </w:pPr>
    </w:p>
    <w:p>
      <w:pPr>
        <w:ind w:left="200" w:right="80" w:firstLine="4"/>
        <w:spacing w:after="0" w:line="239" w:lineRule="auto"/>
        <w:tabs>
          <w:tab w:leader="none" w:pos="4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change in GAAP or applicable Law or the interpretation thereof; or (g) general economic or political conditions or conditions generally affecting the industries in which the Company operate; except, in each case with respect to clauses (e), (f) and (g), to the extent disproportionately affecting the Company, taken as a whole, relative to other similarly situated companies in the industries in which the Company operate.</w:t>
      </w:r>
    </w:p>
    <w:p>
      <w:pPr>
        <w:spacing w:after="0" w:line="180" w:lineRule="exact"/>
        <w:rPr>
          <w:sz w:val="20"/>
          <w:szCs w:val="20"/>
          <w:color w:val="auto"/>
        </w:rPr>
      </w:pPr>
    </w:p>
    <w:p>
      <w:pPr>
        <w:jc w:val="center"/>
        <w:ind w:right="180"/>
        <w:spacing w:after="0" w:line="4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means options or other rights to purchase shares of Company Capital Stock issued by the Company. A-67</w:t>
      </w:r>
    </w:p>
    <w:p>
      <w:pPr>
        <w:sectPr>
          <w:pgSz w:w="11900" w:h="16838" w:orient="portrait"/>
          <w:cols w:equalWidth="0" w:num="1">
            <w:col w:w="11200"/>
          </w:cols>
          <w:pgMar w:left="240" w:top="460" w:right="45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IP</w:t>
      </w:r>
      <w:r>
        <w:rPr>
          <w:rFonts w:ascii="Arial" w:cs="Arial" w:eastAsia="Arial" w:hAnsi="Arial"/>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69" w:lineRule="exact"/>
        <w:rPr>
          <w:sz w:val="20"/>
          <w:szCs w:val="20"/>
          <w:color w:val="auto"/>
        </w:rPr>
      </w:pPr>
    </w:p>
    <w:p>
      <w:pPr>
        <w:ind w:left="200" w:right="7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RSUs</w:t>
      </w:r>
      <w:r>
        <w:rPr>
          <w:rFonts w:ascii="Arial" w:cs="Arial" w:eastAsia="Arial" w:hAnsi="Arial"/>
          <w:sz w:val="18"/>
          <w:szCs w:val="18"/>
          <w:color w:val="auto"/>
        </w:rPr>
        <w:t>” means restricted stock units that represent the right to receive future shares of Company Common Stock pursuant to any Company Plan.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Support Agreements</w:t>
      </w:r>
      <w:r>
        <w:rPr>
          <w:rFonts w:ascii="Arial" w:cs="Arial" w:eastAsia="Arial" w:hAnsi="Arial"/>
          <w:sz w:val="18"/>
          <w:szCs w:val="18"/>
          <w:color w:val="auto"/>
        </w:rPr>
        <w:t>” shall have the meaning set forth in the recitals.</w:t>
      </w:r>
    </w:p>
    <w:p>
      <w:pPr>
        <w:spacing w:after="0" w:line="212" w:lineRule="exact"/>
        <w:rPr>
          <w:sz w:val="20"/>
          <w:szCs w:val="20"/>
          <w:color w:val="auto"/>
        </w:rPr>
      </w:pPr>
    </w:p>
    <w:p>
      <w:pPr>
        <w:ind w:left="200" w:righ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Triggering Event</w:t>
      </w:r>
      <w:r>
        <w:rPr>
          <w:rFonts w:ascii="Arial" w:cs="Arial" w:eastAsia="Arial" w:hAnsi="Arial"/>
          <w:sz w:val="18"/>
          <w:szCs w:val="18"/>
          <w:color w:val="auto"/>
        </w:rPr>
        <w:t xml:space="preserve">” shall be deemed to have occurred if: (a) the Company shall have failed to include in the Proxy Statement the Company Board Recommendation; (b) the Company Board or any committee thereof shall have made a Company Board Adverse Recommendation Change or approved, endorsed or recommended any Acquisition Proposal; or (b) the Company shall have entered into any letter of intent or similar document or any Contract relating to any Acquisition Proposal (other than a confidentiality agreement permitted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any action required to be taken by the Company pursuant to the DGCL).</w:t>
      </w:r>
    </w:p>
    <w:p>
      <w:pPr>
        <w:spacing w:after="0" w:line="177"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means the unaudited balance sheet of the Company as of September 30, 2018, included in the Company’s Report on Form 10-Q for the fiscal quarter ended September 30, 2018, as filed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Confidentiality Agreement dated October 3, 2018, between the Company and Milan.</w:t>
      </w:r>
    </w:p>
    <w:p>
      <w:pPr>
        <w:spacing w:after="0" w:line="212" w:lineRule="exact"/>
        <w:rPr>
          <w:sz w:val="20"/>
          <w:szCs w:val="20"/>
          <w:color w:val="auto"/>
        </w:rPr>
      </w:pPr>
    </w:p>
    <w:p>
      <w:pPr>
        <w:ind w:left="200" w:right="118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means any approval, consent, ratification, permission, waiver or authorization (including any Governmental Authorization).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Merger and the other transactions contemplated by the Agreement.</w:t>
      </w:r>
    </w:p>
    <w:p>
      <w:pPr>
        <w:spacing w:after="0" w:line="21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69" w:lineRule="exact"/>
        <w:rPr>
          <w:sz w:val="20"/>
          <w:szCs w:val="20"/>
          <w:color w:val="auto"/>
        </w:rPr>
      </w:pPr>
    </w:p>
    <w:p>
      <w:pPr>
        <w:jc w:val="both"/>
        <w:ind w:left="200" w:right="1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Agreement</w:t>
      </w:r>
      <w:r>
        <w:rPr>
          <w:rFonts w:ascii="Arial" w:cs="Arial" w:eastAsia="Arial" w:hAnsi="Arial"/>
          <w:sz w:val="18"/>
          <w:szCs w:val="18"/>
          <w:color w:val="auto"/>
        </w:rPr>
        <w:t>” means the deposit agreement for the Milan Depositary Shares in a form reasonably acceptable to Milan and the Company, to be entered into among Milan, the Depositary, and the holders and beneficial owners of Milan Depositary Shares issued thereunder, as may be amended from time to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12"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00"/>
          </w:cols>
          <w:pgMar w:left="240" w:top="459" w:right="45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 laws of general application relating to bankruptcy, insolvency and the relief of debtors;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 rules of law governing specific performance, injunctive relief and other equitable remedies.</w:t>
      </w:r>
    </w:p>
    <w:p>
      <w:pPr>
        <w:spacing w:after="0" w:line="154" w:lineRule="exact"/>
        <w:rPr>
          <w:sz w:val="20"/>
          <w:szCs w:val="20"/>
          <w:color w:val="auto"/>
        </w:rPr>
      </w:pPr>
    </w:p>
    <w:p>
      <w:pPr>
        <w:ind w:left="200" w:right="220" w:firstLine="44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52" w:lineRule="exact"/>
        <w:rPr>
          <w:sz w:val="20"/>
          <w:szCs w:val="20"/>
          <w:color w:val="auto"/>
        </w:rPr>
      </w:pPr>
    </w:p>
    <w:p>
      <w:pPr>
        <w:ind w:left="20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12" w:lineRule="exact"/>
        <w:rPr>
          <w:sz w:val="20"/>
          <w:szCs w:val="20"/>
          <w:color w:val="auto"/>
        </w:rPr>
      </w:pPr>
    </w:p>
    <w:p>
      <w:pPr>
        <w:ind w:left="200" w:right="3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the following ratio (rounded to four decimal places): the quotient obtained by dividing (a) the Company Adjusted Merger Shares by (b) the Company Outstanding Shares, in which:</w:t>
      </w:r>
    </w:p>
    <w:p>
      <w:pPr>
        <w:spacing w:after="0" w:line="59" w:lineRule="exact"/>
        <w:rPr>
          <w:sz w:val="20"/>
          <w:szCs w:val="20"/>
          <w:color w:val="auto"/>
        </w:rPr>
      </w:pPr>
    </w:p>
    <w:p>
      <w:pPr>
        <w:ind w:left="1060" w:right="440" w:hanging="316"/>
        <w:spacing w:after="0" w:line="271"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Adjusted Merger Shares</w:t>
      </w:r>
      <w:r>
        <w:rPr>
          <w:rFonts w:ascii="Arial" w:cs="Arial" w:eastAsia="Arial" w:hAnsi="Arial"/>
          <w:sz w:val="18"/>
          <w:szCs w:val="18"/>
          <w:color w:val="auto"/>
        </w:rPr>
        <w:t>” means the sum of an amount equal to the number of Company Unadjusted Merger Shares:</w:t>
      </w:r>
    </w:p>
    <w:p>
      <w:pPr>
        <w:spacing w:after="0" w:line="63" w:lineRule="exact"/>
        <w:rPr>
          <w:rFonts w:ascii="Arial" w:cs="Arial" w:eastAsia="Arial" w:hAnsi="Arial"/>
          <w:sz w:val="18"/>
          <w:szCs w:val="18"/>
          <w:color w:val="auto"/>
        </w:rPr>
      </w:pPr>
    </w:p>
    <w:p>
      <w:pPr>
        <w:ind w:left="1620" w:right="180" w:hanging="430"/>
        <w:spacing w:after="0" w:line="267" w:lineRule="auto"/>
        <w:tabs>
          <w:tab w:leader="none" w:pos="16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if Final Net Cash is equal to or greater than Company Target Net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that is the quotient determined by dividing the Company Closing Cash Variance by the Milan Dollar VWAP;</w:t>
      </w:r>
    </w:p>
    <w:p>
      <w:pPr>
        <w:spacing w:after="0" w:line="84" w:lineRule="exact"/>
        <w:rPr>
          <w:rFonts w:ascii="Arial" w:cs="Arial" w:eastAsia="Arial" w:hAnsi="Arial"/>
          <w:sz w:val="18"/>
          <w:szCs w:val="18"/>
          <w:color w:val="auto"/>
        </w:rPr>
      </w:pPr>
    </w:p>
    <w:p>
      <w:pPr>
        <w:ind w:left="1620" w:right="260" w:hanging="430"/>
        <w:spacing w:after="0"/>
        <w:tabs>
          <w:tab w:leader="none" w:pos="16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if Final Net Cash is less than Company Target Net Cash, but equal to or greater than the Company Target Net Cash Collar,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an amount that is the quotient determined by dividing the Company Closing Cash Variance by the Milan Dollar VWAP; or</w:t>
      </w:r>
    </w:p>
    <w:p>
      <w:pPr>
        <w:spacing w:after="0" w:line="90" w:lineRule="exact"/>
        <w:rPr>
          <w:rFonts w:ascii="Arial" w:cs="Arial" w:eastAsia="Arial" w:hAnsi="Arial"/>
          <w:sz w:val="18"/>
          <w:szCs w:val="18"/>
          <w:color w:val="auto"/>
        </w:rPr>
      </w:pPr>
    </w:p>
    <w:p>
      <w:pPr>
        <w:ind w:left="1620" w:hanging="430"/>
        <w:spacing w:after="0" w:line="251" w:lineRule="auto"/>
        <w:tabs>
          <w:tab w:leader="none" w:pos="16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if Final Net Cash is less than the Company Target Net Cash Collar,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sum of (1) 455,928 and (2) an amount that is the quotient determined by dividing (a) the Company Missed Target Variance by (b) the product determined by multiplying (x) the Milan Dollar VWAP by (y) the Company Missed Target Percentage.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Allocation Percentage</w:t>
      </w:r>
      <w:r>
        <w:rPr>
          <w:rFonts w:ascii="Arial" w:cs="Arial" w:eastAsia="Arial" w:hAnsi="Arial"/>
          <w:sz w:val="18"/>
          <w:szCs w:val="18"/>
          <w:color w:val="auto"/>
        </w:rPr>
        <w:t>” means 0.25.</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Closing Cash Variance</w:t>
      </w:r>
      <w:r>
        <w:rPr>
          <w:rFonts w:ascii="Arial" w:cs="Arial" w:eastAsia="Arial" w:hAnsi="Arial"/>
          <w:sz w:val="18"/>
          <w:szCs w:val="18"/>
          <w:color w:val="auto"/>
        </w:rPr>
        <w:t xml:space="preserve">” means the absolute sum of (i) Final Net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Company Target Net Cash.</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Missed Target Percentage</w:t>
      </w:r>
      <w:r>
        <w:rPr>
          <w:rFonts w:ascii="Arial" w:cs="Arial" w:eastAsia="Arial" w:hAnsi="Arial"/>
          <w:sz w:val="18"/>
          <w:szCs w:val="18"/>
          <w:color w:val="auto"/>
        </w:rPr>
        <w:t>” means 0.50.</w:t>
      </w:r>
    </w:p>
    <w:p>
      <w:pPr>
        <w:spacing w:after="0" w:line="117" w:lineRule="exact"/>
        <w:rPr>
          <w:rFonts w:ascii="Arial" w:cs="Arial" w:eastAsia="Arial" w:hAnsi="Arial"/>
          <w:sz w:val="18"/>
          <w:szCs w:val="18"/>
          <w:color w:val="auto"/>
        </w:rPr>
      </w:pPr>
    </w:p>
    <w:p>
      <w:pPr>
        <w:ind w:left="1060" w:right="540" w:hanging="316"/>
        <w:spacing w:after="0" w:line="271"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Missed Target Variance</w:t>
      </w:r>
      <w:r>
        <w:rPr>
          <w:rFonts w:ascii="Arial" w:cs="Arial" w:eastAsia="Arial" w:hAnsi="Arial"/>
          <w:sz w:val="18"/>
          <w:szCs w:val="18"/>
          <w:color w:val="auto"/>
        </w:rPr>
        <w:t xml:space="preserve">” means the absolute sum of (i) Final Net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Company Target Net Cash Collar.</w:t>
      </w:r>
    </w:p>
    <w:p>
      <w:pPr>
        <w:spacing w:after="0" w:line="59" w:lineRule="exact"/>
        <w:rPr>
          <w:rFonts w:ascii="Arial" w:cs="Arial" w:eastAsia="Arial" w:hAnsi="Arial"/>
          <w:sz w:val="18"/>
          <w:szCs w:val="18"/>
          <w:color w:val="auto"/>
        </w:rPr>
      </w:pPr>
    </w:p>
    <w:p>
      <w:pPr>
        <w:ind w:left="1060" w:right="120" w:hanging="316"/>
        <w:spacing w:after="0" w:line="244"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Outstanding Shares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xml:space="preserve">, the total number of shares of Company Capital Stock outstanding immediately prior to the Effective Time expressed on a fully-diluted and as-converted to Company Common Stock basis (excluding each Underwater Option) and assuming, without limitation or duplication, (i) the settlement in shares of each Company Option (other than each Underwater Option) and Company RSU outstanding as of the Effective Time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 solely to the extent that such</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00"/>
          </w:cols>
          <w:pgMar w:left="240" w:top="459" w:right="45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300"/>
        <w:spacing w:after="0"/>
        <w:rPr>
          <w:sz w:val="20"/>
          <w:szCs w:val="20"/>
          <w:color w:val="auto"/>
        </w:rPr>
      </w:pPr>
      <w:r>
        <w:rPr>
          <w:rFonts w:ascii="Arial" w:cs="Arial" w:eastAsia="Arial" w:hAnsi="Arial"/>
          <w:sz w:val="18"/>
          <w:szCs w:val="18"/>
          <w:color w:val="auto"/>
        </w:rPr>
        <w:t>Company Options are not exercised prior thereto and (ii) the issuance of Company Common Stock in respect of all other options (other than each Underwater Option), warrants or rights to receive such shares that will be outstanding immediately prior to the Effective Time.</w:t>
      </w:r>
    </w:p>
    <w:p>
      <w:pPr>
        <w:spacing w:after="0" w:line="86" w:lineRule="exact"/>
        <w:rPr>
          <w:sz w:val="20"/>
          <w:szCs w:val="20"/>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Target Net Cash</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$38,000,000.</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Target Net Cash Collar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$36,500,000.</w:t>
      </w:r>
    </w:p>
    <w:p>
      <w:pPr>
        <w:spacing w:after="0" w:line="117" w:lineRule="exact"/>
        <w:rPr>
          <w:rFonts w:ascii="Arial" w:cs="Arial" w:eastAsia="Arial" w:hAnsi="Arial"/>
          <w:sz w:val="18"/>
          <w:szCs w:val="18"/>
          <w:color w:val="auto"/>
        </w:rPr>
      </w:pPr>
    </w:p>
    <w:p>
      <w:pPr>
        <w:ind w:left="1060" w:right="340" w:hanging="316"/>
        <w:spacing w:after="0" w:line="253" w:lineRule="auto"/>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Unadjusted Merger Shares</w:t>
      </w:r>
      <w:r>
        <w:rPr>
          <w:rFonts w:ascii="Arial" w:cs="Arial" w:eastAsia="Arial" w:hAnsi="Arial"/>
          <w:sz w:val="18"/>
          <w:szCs w:val="18"/>
          <w:color w:val="auto"/>
        </w:rPr>
        <w:t xml:space="preserve">” means the sum of (i) an amount that is the quotient determined by dividing the number of Milan Outstanding Shares by the Milan Allocation Percentage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 amount equal to the number of Milan Outstanding Shares.</w:t>
      </w:r>
    </w:p>
    <w:p>
      <w:pPr>
        <w:spacing w:after="0" w:line="74"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Allocation Percentage</w:t>
      </w:r>
      <w:r>
        <w:rPr>
          <w:rFonts w:ascii="Arial" w:cs="Arial" w:eastAsia="Arial" w:hAnsi="Arial"/>
          <w:sz w:val="18"/>
          <w:szCs w:val="18"/>
          <w:color w:val="auto"/>
        </w:rPr>
        <w:t xml:space="preserve">” means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Company Allocation Percentage.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Dollar VWAP</w:t>
      </w:r>
      <w:r>
        <w:rPr>
          <w:rFonts w:ascii="Arial" w:cs="Arial" w:eastAsia="Arial" w:hAnsi="Arial"/>
          <w:sz w:val="18"/>
          <w:szCs w:val="18"/>
          <w:color w:val="auto"/>
        </w:rPr>
        <w:t>” means $3.29.</w:t>
      </w:r>
    </w:p>
    <w:p>
      <w:pPr>
        <w:spacing w:after="0" w:line="117" w:lineRule="exact"/>
        <w:rPr>
          <w:rFonts w:ascii="Arial" w:cs="Arial" w:eastAsia="Arial" w:hAnsi="Arial"/>
          <w:sz w:val="18"/>
          <w:szCs w:val="18"/>
          <w:color w:val="auto"/>
        </w:rPr>
      </w:pPr>
    </w:p>
    <w:p>
      <w:pPr>
        <w:ind w:left="1060" w:right="780" w:hanging="316"/>
        <w:spacing w:after="0" w:line="271" w:lineRule="auto"/>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Outstanding Shares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the total number of Milan Ordinary Shares issued and outstanding immediately prior to the Effective Time.</w:t>
      </w:r>
    </w:p>
    <w:p>
      <w:pPr>
        <w:spacing w:after="0" w:line="154" w:lineRule="exact"/>
        <w:rPr>
          <w:sz w:val="20"/>
          <w:szCs w:val="20"/>
          <w:color w:val="auto"/>
        </w:rPr>
      </w:pPr>
    </w:p>
    <w:p>
      <w:pPr>
        <w:ind w:left="200" w:right="24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 Authority); or (d) self-regulatory organization (including Nasdaq and the London Stock Exchange).</w:t>
      </w:r>
    </w:p>
    <w:p>
      <w:pPr>
        <w:spacing w:after="0" w:line="177" w:lineRule="exact"/>
        <w:rPr>
          <w:sz w:val="20"/>
          <w:szCs w:val="20"/>
          <w:color w:val="auto"/>
        </w:rPr>
      </w:pPr>
    </w:p>
    <w:p>
      <w:pPr>
        <w:ind w:left="200" w:right="2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69" w:lineRule="exact"/>
        <w:rPr>
          <w:sz w:val="20"/>
          <w:szCs w:val="20"/>
          <w:color w:val="auto"/>
        </w:rPr>
      </w:pPr>
    </w:p>
    <w:p>
      <w:pPr>
        <w:ind w:left="200" w:right="24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 Board</w:t>
      </w:r>
      <w:r>
        <w:rPr>
          <w:rFonts w:ascii="Arial" w:cs="Arial" w:eastAsia="Arial" w:hAnsi="Arial"/>
          <w:sz w:val="18"/>
          <w:szCs w:val="18"/>
          <w:color w:val="auto"/>
        </w:rPr>
        <w:t>” means the board of directors of HoldCo.</w:t>
      </w:r>
    </w:p>
    <w:p>
      <w:pPr>
        <w:spacing w:after="0" w:line="212" w:lineRule="exact"/>
        <w:rPr>
          <w:sz w:val="20"/>
          <w:szCs w:val="20"/>
          <w:color w:val="auto"/>
        </w:rPr>
      </w:pPr>
    </w:p>
    <w:p>
      <w:pPr>
        <w:ind w:left="200" w:right="6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means International Financial Reporting Standards as issued by the International Accounting Standards Board or any successor board or agency, as adopted by the European Union, and the IFRS Interpretation Committee interpretations thereof.</w:t>
      </w:r>
    </w:p>
    <w:p>
      <w:pPr>
        <w:spacing w:after="0" w:line="15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and all goodwill associated therewith,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80"/>
          </w:cols>
          <w:pgMar w:left="240" w:top="459" w:right="47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12" w:lineRule="exact"/>
        <w:rPr>
          <w:sz w:val="20"/>
          <w:szCs w:val="20"/>
          <w:color w:val="auto"/>
        </w:rPr>
      </w:pPr>
    </w:p>
    <w:p>
      <w:pPr>
        <w:ind w:left="200" w:right="3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means, with respect to the Company or Milan, an executive officer of such Party or any employee of such Party that reports directly to the board of directors of such Party or to the chief executive officer or chief operating officer of such Party.</w:t>
      </w:r>
    </w:p>
    <w:p>
      <w:pPr>
        <w:spacing w:after="0" w:line="154" w:lineRule="exact"/>
        <w:rPr>
          <w:sz w:val="20"/>
          <w:szCs w:val="20"/>
          <w:color w:val="auto"/>
        </w:rPr>
      </w:pPr>
    </w:p>
    <w:p>
      <w:pPr>
        <w:jc w:val="both"/>
        <w:ind w:left="200" w:right="8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74" w:lineRule="exact"/>
        <w:rPr>
          <w:sz w:val="20"/>
          <w:szCs w:val="20"/>
          <w:color w:val="auto"/>
        </w:rPr>
      </w:pPr>
    </w:p>
    <w:p>
      <w:pPr>
        <w:ind w:left="200" w:right="2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the Financial Industry Regulatory Authority, the London Stock Exchange or the UK Takeover Panel).</w:t>
      </w:r>
    </w:p>
    <w:p>
      <w:pPr>
        <w:spacing w:after="0" w:line="17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London Stock Exchange</w:t>
      </w:r>
      <w:r>
        <w:rPr>
          <w:rFonts w:ascii="Arial" w:cs="Arial" w:eastAsia="Arial" w:hAnsi="Arial"/>
          <w:sz w:val="18"/>
          <w:szCs w:val="18"/>
          <w:color w:val="auto"/>
        </w:rPr>
        <w:t>” means London Stock Exchange plc.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Board</w:t>
      </w:r>
      <w:r>
        <w:rPr>
          <w:rFonts w:ascii="Arial" w:cs="Arial" w:eastAsia="Arial" w:hAnsi="Arial"/>
          <w:sz w:val="18"/>
          <w:szCs w:val="18"/>
          <w:color w:val="auto"/>
        </w:rPr>
        <w:t>” means the board of directors of Merger Sub.</w:t>
      </w:r>
    </w:p>
    <w:p>
      <w:pPr>
        <w:spacing w:after="0" w:line="212" w:lineRule="exact"/>
        <w:rPr>
          <w:sz w:val="20"/>
          <w:szCs w:val="20"/>
          <w:color w:val="auto"/>
        </w:rPr>
      </w:pPr>
    </w:p>
    <w:p>
      <w:pPr>
        <w:ind w:left="200" w:right="4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Affiliate</w:t>
      </w:r>
      <w:r>
        <w:rPr>
          <w:rFonts w:ascii="Arial" w:cs="Arial" w:eastAsia="Arial" w:hAnsi="Arial"/>
          <w:sz w:val="18"/>
          <w:szCs w:val="18"/>
          <w:color w:val="auto"/>
        </w:rPr>
        <w:t>” means any Person that is (or at any relevant time was) under common control with Milan within the meaning of Sections 414(b), (c), (m) and (o) of the Code, and the regulations issued thereunder.</w:t>
      </w:r>
    </w:p>
    <w:p>
      <w:pPr>
        <w:spacing w:after="0" w:line="154" w:lineRule="exact"/>
        <w:rPr>
          <w:sz w:val="20"/>
          <w:szCs w:val="20"/>
          <w:color w:val="auto"/>
        </w:rPr>
      </w:pPr>
    </w:p>
    <w:p>
      <w:pPr>
        <w:ind w:left="200" w:right="9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Associate</w:t>
      </w:r>
      <w:r>
        <w:rPr>
          <w:rFonts w:ascii="Arial" w:cs="Arial" w:eastAsia="Arial" w:hAnsi="Arial"/>
          <w:sz w:val="18"/>
          <w:szCs w:val="18"/>
          <w:color w:val="auto"/>
        </w:rPr>
        <w:t>” means any current or former employee, independent contractor, officer or director of Milan or any of its Subsidiaries.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Board</w:t>
      </w:r>
      <w:r>
        <w:rPr>
          <w:rFonts w:ascii="Arial" w:cs="Arial" w:eastAsia="Arial" w:hAnsi="Arial"/>
          <w:sz w:val="18"/>
          <w:szCs w:val="18"/>
          <w:color w:val="auto"/>
        </w:rPr>
        <w:t>” means the board of directors of Milan.</w:t>
      </w:r>
    </w:p>
    <w:p>
      <w:pPr>
        <w:spacing w:after="0" w:line="212"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Capitalization Representations</w:t>
      </w:r>
      <w:r>
        <w:rPr>
          <w:rFonts w:ascii="Arial" w:cs="Arial" w:eastAsia="Arial" w:hAnsi="Arial"/>
          <w:sz w:val="18"/>
          <w:szCs w:val="18"/>
          <w:color w:val="auto"/>
        </w:rPr>
        <w:t xml:space="preserve">” means the representations and warranties of Milan and Merger Sub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154" w:lineRule="exact"/>
        <w:rPr>
          <w:sz w:val="20"/>
          <w:szCs w:val="20"/>
          <w:color w:val="auto"/>
        </w:rPr>
      </w:pPr>
    </w:p>
    <w:p>
      <w:pPr>
        <w:ind w:left="20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Contract</w:t>
      </w:r>
      <w:r>
        <w:rPr>
          <w:rFonts w:ascii="Arial" w:cs="Arial" w:eastAsia="Arial" w:hAnsi="Arial"/>
          <w:sz w:val="18"/>
          <w:szCs w:val="18"/>
          <w:color w:val="auto"/>
        </w:rPr>
        <w:t>” means any Contract: (a) to which Milan or any of its Subsidiaries is a Party; (b) by which Milan or any of its Subsidiaries or any Milan IP Rights or any other asset of Milan or its Subsidiaries is or may become bound or under which the Milan or any of its Subsidiaries has, or may become subject to, any obligation; or (c) under which Milan or any of its Subsidiaries has or may acquire any right or interest.</w:t>
      </w:r>
    </w:p>
    <w:p>
      <w:pPr>
        <w:spacing w:after="0" w:line="174" w:lineRule="exact"/>
        <w:rPr>
          <w:sz w:val="20"/>
          <w:szCs w:val="20"/>
          <w:color w:val="auto"/>
        </w:rPr>
      </w:pPr>
    </w:p>
    <w:p>
      <w:pPr>
        <w:ind w:left="200" w:right="3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Fundamental Representations</w:t>
      </w:r>
      <w:r>
        <w:rPr>
          <w:rFonts w:ascii="Arial" w:cs="Arial" w:eastAsia="Arial" w:hAnsi="Arial"/>
          <w:sz w:val="18"/>
          <w:szCs w:val="18"/>
          <w:color w:val="auto"/>
        </w:rPr>
        <w:t xml:space="preserve">” means the representations and warranties of Milan and Merger Sub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3.20</w:t>
      </w:r>
      <w:r>
        <w:rPr>
          <w:rFonts w:ascii="Arial" w:cs="Arial" w:eastAsia="Arial" w:hAnsi="Arial"/>
          <w:sz w:val="18"/>
          <w:szCs w:val="18"/>
          <w:color w:val="auto"/>
        </w:rPr>
        <w:t>.</w:t>
      </w:r>
    </w:p>
    <w:p>
      <w:pPr>
        <w:spacing w:after="0" w:line="154" w:lineRule="exact"/>
        <w:rPr>
          <w:sz w:val="20"/>
          <w:szCs w:val="20"/>
          <w:color w:val="auto"/>
        </w:rPr>
      </w:pPr>
    </w:p>
    <w:p>
      <w:pPr>
        <w:ind w:left="200" w:right="8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IP Rights</w:t>
      </w:r>
      <w:r>
        <w:rPr>
          <w:rFonts w:ascii="Arial" w:cs="Arial" w:eastAsia="Arial" w:hAnsi="Arial"/>
          <w:sz w:val="18"/>
          <w:szCs w:val="18"/>
          <w:color w:val="auto"/>
        </w:rPr>
        <w:t>” means all Intellectual Property owned, licensed to, or controlled by Milan or any of its Subsidiaries that is necessary for or used in the operation of the business of Milan and its Subsidiaries as presently conducted.</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20"/>
          </w:cols>
          <w:pgMar w:left="240" w:top="459" w:right="43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Milan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Milan Material Adverse Effect, has or would reasonably be expected to have a material adverse effect on the business, financial condition, assets, liabilities or results of operations of Milan and its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Effects arising or resulting from the following shall not be taken into account in determining whether there has been a Milan Material Adverse Effect: (a) any rejection or non-acceptance by a Governmental Authority of a registration statement or filing by Milan relating to the Milan IP Rights; (b) the announcement of the Agreement or the pendency of the Contemplated Transactions;</w:t>
      </w:r>
    </w:p>
    <w:p>
      <w:pPr>
        <w:ind w:left="460" w:hanging="256"/>
        <w:spacing w:after="0" w:line="236"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change in the share price or trading volume of Milan Ordinary Shares (it being understood, however, that any Effect causing or</w:t>
      </w:r>
    </w:p>
    <w:p>
      <w:pPr>
        <w:ind w:left="200" w:right="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contributing to any change in share price or trading volume of Milan Ordinary Shares may be taken into account in determining whether a Milan Material Adverse Effect has occurred, unless such Effects are otherwise excepted from this definition); (d) the taking of any action, or the failure to take any action, by Milan that is required to comply with the terms of the Agreement or the taking of any action expressly permitted by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of the Milan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IFRS or applicable Law or the interpretation thereof; (g) general economic or political conditions or conditions generally affecting the industries in which Milan and its Subsidiaries operate; or (h) any change in the cash position of Milan and its Subsidiaries which results from operations in the Ordinary Course of Business; except, in each case with respect to clauses (e), (f) and (g), to the extent disproportionately affecting Milan and its Subsidiaries, taken as a whole, relative to other similarly situated companies in the industries in which Milan and its Subsidiaries operate.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Options</w:t>
      </w:r>
      <w:r>
        <w:rPr>
          <w:rFonts w:ascii="Arial" w:cs="Arial" w:eastAsia="Arial" w:hAnsi="Arial"/>
          <w:sz w:val="18"/>
          <w:szCs w:val="18"/>
          <w:color w:val="auto"/>
        </w:rPr>
        <w:t>” means options or other rights to purchase Milan Ordinary Shares issued by Milan.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Ordinary Shares</w:t>
      </w:r>
      <w:r>
        <w:rPr>
          <w:rFonts w:ascii="Arial" w:cs="Arial" w:eastAsia="Arial" w:hAnsi="Arial"/>
          <w:sz w:val="18"/>
          <w:szCs w:val="18"/>
          <w:color w:val="auto"/>
        </w:rPr>
        <w:t>” means the ordinary shares, £0.003 par value per share, of Milan.</w:t>
      </w:r>
    </w:p>
    <w:p>
      <w:pPr>
        <w:spacing w:after="0" w:line="212" w:lineRule="exact"/>
        <w:rPr>
          <w:sz w:val="20"/>
          <w:szCs w:val="20"/>
          <w:color w:val="auto"/>
        </w:rPr>
      </w:pPr>
    </w:p>
    <w:p>
      <w:pPr>
        <w:jc w:val="both"/>
        <w:ind w:left="200" w:righ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Registered IP</w:t>
      </w:r>
      <w:r>
        <w:rPr>
          <w:rFonts w:ascii="Arial" w:cs="Arial" w:eastAsia="Arial" w:hAnsi="Arial"/>
          <w:sz w:val="18"/>
          <w:szCs w:val="18"/>
          <w:color w:val="auto"/>
        </w:rPr>
        <w:t>” means all Milan IP Rights that are owned or exclusively licensed by Milan that are registered, filed or issued under the authority of, with or by any Governmental Authority, including all patents, registered copyrights and registered trademarks and all applications for any of the foregoing.</w:t>
      </w:r>
    </w:p>
    <w:p>
      <w:pPr>
        <w:spacing w:after="0" w:line="169"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Share Plans</w:t>
      </w:r>
      <w:r>
        <w:rPr>
          <w:rFonts w:ascii="Arial" w:cs="Arial" w:eastAsia="Arial" w:hAnsi="Arial"/>
          <w:sz w:val="18"/>
          <w:szCs w:val="18"/>
          <w:color w:val="auto"/>
        </w:rPr>
        <w:t>” means (i) the Milan Share Option Scheme adopted by the Milan Board on 4 March 2016 (as amended by the Milan Board on 4 April 2017), (ii) the Milan Share Option Scheme adopted by the Milan Board on 8 July 2015, (iii) the Milan Long Term Incentive Plan adopted by the Milan Board on 4 March 2016 and (iv) the Milan Deferred Bonus Share Plan adopted by the Milan Board on 4 March 2016.</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Shareholder Support Agreements</w:t>
      </w:r>
      <w:r>
        <w:rPr>
          <w:rFonts w:ascii="Arial" w:cs="Arial" w:eastAsia="Arial" w:hAnsi="Arial"/>
          <w:sz w:val="18"/>
          <w:szCs w:val="18"/>
          <w:color w:val="auto"/>
        </w:rPr>
        <w:t>” shall have the meaning set forth in the recitals.</w:t>
      </w:r>
    </w:p>
    <w:p>
      <w:pPr>
        <w:spacing w:after="0" w:line="212"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Triggering Event</w:t>
      </w:r>
      <w:r>
        <w:rPr>
          <w:rFonts w:ascii="Arial" w:cs="Arial" w:eastAsia="Arial" w:hAnsi="Arial"/>
          <w:sz w:val="18"/>
          <w:szCs w:val="18"/>
          <w:color w:val="auto"/>
        </w:rPr>
        <w:t xml:space="preserve">” shall be deemed to have occurred if: (a) Milan shall have failed to include in the Proxy Statement the Milan Board Recommendation; (b) the Milan Board or any committee thereof shall have made a Milan Board Adverse Recommendation Change or approved, endorsed or recommended any Acquisition Proposal; or (c) Milan shall have entered into any letter of intent or similar document or any Contract relating to any Acquisition Proposal (other than a confidentiality agreement permitted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any action required to be taken by Milan pursuant to the UK City Code).</w:t>
      </w:r>
    </w:p>
    <w:p>
      <w:pPr>
        <w:spacing w:after="0" w:line="17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Unaudited Interim Balance Sheet</w:t>
      </w:r>
      <w:r>
        <w:rPr>
          <w:rFonts w:ascii="Arial" w:cs="Arial" w:eastAsia="Arial" w:hAnsi="Arial"/>
          <w:sz w:val="18"/>
          <w:szCs w:val="18"/>
          <w:color w:val="auto"/>
        </w:rPr>
        <w:t>” means the consolidated balance sheet included in the unaudited interim results of Milan for the six month period ended June 30, 2018.</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20"/>
          </w:cols>
          <w:pgMar w:left="240" w:top="460" w:right="43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means (a) a “multiemployer plan,” as defined in Section 3(37) or 4001(a)(3) of ERISA, or (b) a plan which if maintained or administered in or otherwise subject to the laws of the United States would be described in paragraph (a).</w:t>
      </w:r>
    </w:p>
    <w:p>
      <w:pPr>
        <w:spacing w:after="0" w:line="15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Multiple Employer Plan</w:t>
      </w:r>
      <w:r>
        <w:rPr>
          <w:rFonts w:ascii="Arial" w:cs="Arial" w:eastAsia="Arial" w:hAnsi="Arial"/>
          <w:sz w:val="18"/>
          <w:szCs w:val="18"/>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Multiple Employer Welfare Arrangement</w:t>
      </w:r>
      <w:r>
        <w:rPr>
          <w:rFonts w:ascii="Arial" w:cs="Arial" w:eastAsia="Arial" w:hAnsi="Arial"/>
          <w:sz w:val="18"/>
          <w:szCs w:val="18"/>
          <w:color w:val="auto"/>
        </w:rPr>
        <w:t>” means (a) a “multiple employer welfare arrangement” within the meaning of</w:t>
      </w:r>
    </w:p>
    <w:p>
      <w:pPr>
        <w:spacing w:after="0" w:line="18"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Section 3(40) of ERISA, or (b) a plan which if maintained or administered in or otherwise subject to the laws of the United States would be described in paragraph (a) of this definition.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21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xml:space="preserve">” shall mean the sum of (a) the sum of (without duplication) in each case as of the Cash Determination Time, (i) the Company’s unrestricted cash and cash equivalents, marketable securities and other short term investments (including any accrued cash interest thereon), accounts receivable, interest and other receivables (including tax receivables), deposits (short term and long term), prepaid expenses and other prepaid assets, in each case, (A) excluding (1) any assets held for resale, (2) any D&amp;O tail policy purchased by the Company as referred to in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(3) any outstanding letters of credit and (4) any prepaid asset in respect of severance, termination, bonus, change in control, dependent care, medical care, or other similar expenses relating to any Company Associate who is not a Retained Employee), and (B) as 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and (ii) expenses paid, or liabilities incurred, prior to Closing, that are approved in writing (without conditions) to be paid to the Company pursuant to any directors’ and officers’ insurance policy,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(without duplication) in each case as of the Cash Determination Time (i) the Company’s accounts payable and accrued liabilities and expenses, including accrued clinical liabilities and expenses solely with respect to services rendered prior to the Effective Time, and the Company’s other liabilities (short term and long term), in each case, (A) excluding any liabilities in respect of current and long term deferred revenue or deferred rent, any accrued liabilities in respect of paid time off or vacation for any Retained Employee, and any clinical liabilities or expenses in respect of services to be rendered following the Effective Time and</w:t>
      </w:r>
    </w:p>
    <w:p>
      <w:pPr>
        <w:spacing w:after="0" w:line="8" w:lineRule="exact"/>
        <w:rPr>
          <w:sz w:val="20"/>
          <w:szCs w:val="20"/>
          <w:color w:val="auto"/>
        </w:rPr>
      </w:pPr>
    </w:p>
    <w:p>
      <w:pPr>
        <w:ind w:left="200" w:right="60" w:firstLine="4"/>
        <w:spacing w:after="0" w:line="236" w:lineRule="auto"/>
        <w:tabs>
          <w:tab w:leader="none" w:pos="49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(ii) any amounts that are owed by the Company to current or former employees, officers or directors pursuant to any indemnification, contribution or similar obligations (whether under an indemnification agreement or otherwise), (iii) any outstanding indebtedness of the Company, (iv) any notice, termination or consent payments, fines or other payments to be made by the Company in order to terminate any existing Contract to which the Company is a party and which termination is expressly required by the terms of this Agreement or to effect the Contemplated Transactions, (v) any brokerage fee, finder’s fee, opinion fee, success fee, transaction fee, service fee or other fee, commission or expense owed to any broker, finder, investment bank, auditor, accountant, counsel, advisor or other third party in connection with the Contemplated Transactions based upon arrangements made by or on behalf of the Company, (v) all accrued and unpaid Taxes of the Company (estimated with respect to current Tax liabilities), (vi) any unpaid amounts payable by the Company to purchase the D&amp;O tail policy referred to in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(vii) any severance, termination, bonus, change in control, dependent care, medical care, or other similar expenses relating to any Company Associate who is not a Retained Employee,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amount of expenditures made by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00"/>
          </w:cols>
          <w:pgMar w:left="240" w:top="459" w:right="45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 xml:space="preserve">the Company between the date of this Agreement and the Cash Determination Time that are contemplated under the heading “Net Cash Expenditures” in the budget set forth on Section B of the Company Disclosure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expenditures exceeding the amounts set forth under the column entitled “Q1’19” of such budget be included for purposes of this clause (c). A sample calculation of Net Cash as of September 30, 2018 is set forth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for illustrative purposes only.</w:t>
      </w:r>
    </w:p>
    <w:p>
      <w:pPr>
        <w:spacing w:after="0" w:line="180" w:lineRule="exact"/>
        <w:rPr>
          <w:sz w:val="20"/>
          <w:szCs w:val="20"/>
          <w:color w:val="auto"/>
        </w:rPr>
      </w:pPr>
    </w:p>
    <w:p>
      <w:pPr>
        <w:jc w:val="both"/>
        <w:ind w:left="200" w:right="6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judgment, order, writ, injunction, ruling, decision or decree of, or any plea agreement, corporate integrity agreement, resolution agreement, or deferred prosecution agreement with, or any settlement under the jurisdiction of, any court or Governmental Authority.</w:t>
      </w:r>
    </w:p>
    <w:p>
      <w:pPr>
        <w:spacing w:after="0" w:line="169" w:lineRule="exact"/>
        <w:rPr>
          <w:sz w:val="20"/>
          <w:szCs w:val="20"/>
          <w:color w:val="auto"/>
        </w:rPr>
      </w:pPr>
    </w:p>
    <w:p>
      <w:pPr>
        <w:jc w:val="both"/>
        <w:ind w:left="200" w:right="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the case of each of the Company and Milan, such actions taken in the ordinary course of its normal operations and consistent with its past practices (which, in the case of the Company, shall include the potential wind down of its operations).</w:t>
      </w:r>
    </w:p>
    <w:p>
      <w:pPr>
        <w:spacing w:after="0" w:line="169" w:lineRule="exact"/>
        <w:rPr>
          <w:sz w:val="20"/>
          <w:szCs w:val="20"/>
          <w:color w:val="auto"/>
        </w:rPr>
      </w:pPr>
    </w:p>
    <w:p>
      <w:pPr>
        <w:ind w:left="200" w:right="2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the Company, Merger Sub, HoldCo and Milan.</w:t>
      </w:r>
    </w:p>
    <w:p>
      <w:pPr>
        <w:spacing w:after="0" w:line="21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means (a) any liens for current Taxes not yet due and payable or for Taxes that are being contested in good faith and for which adequate reserves have been made on the Company Unaudited Interim Balance Sheet or the Milan Unaudited Interim Balance Sheet, as applicable; (b) minor liens that have arisen in the Ordinary Course of Business and that do not (in any case or in the aggregate) materially detract from the value of the assets subject thereto or materially impair the operations of the Company or Milan, as applicable; (c) statutory liens to secure obligations to landlords, lessors or renters under leases or rental agreements; (d) deposits or pledges made in connection with, or to secure payment of, workers’ compensation, unemployment insurance or similar programs mandated by Law; and (e) statutory liens in favor of carriers, warehousemen, mechanics and materialmen, to secure claims for labor, materials or supplies.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Authority.</w:t>
      </w:r>
    </w:p>
    <w:p>
      <w:pPr>
        <w:spacing w:after="0" w:line="212" w:lineRule="exact"/>
        <w:rPr>
          <w:sz w:val="20"/>
          <w:szCs w:val="20"/>
          <w:color w:val="auto"/>
        </w:rPr>
      </w:pPr>
    </w:p>
    <w:p>
      <w:pPr>
        <w:ind w:left="200" w:right="7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directors, officers, employees, agents, attorneys, accountants, investment bankers, advisors and representatives.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Employee</w:t>
      </w:r>
      <w:r>
        <w:rPr>
          <w:rFonts w:ascii="Arial" w:cs="Arial" w:eastAsia="Arial" w:hAnsi="Arial"/>
          <w:sz w:val="18"/>
          <w:szCs w:val="18"/>
          <w:color w:val="auto"/>
        </w:rPr>
        <w:t>” means any Company employee or consultant identified on Schedule C of the Company Disclosure Schedule.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2" w:lineRule="exact"/>
        <w:rPr>
          <w:sz w:val="20"/>
          <w:szCs w:val="20"/>
          <w:color w:val="auto"/>
        </w:rPr>
      </w:pPr>
    </w:p>
    <w:p>
      <w:pPr>
        <w:ind w:left="200" w:right="9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00"/>
          </w:cols>
          <w:pgMar w:left="24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firstLine="441"/>
        <w:spacing w:after="0" w:line="247"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74"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Milan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Milan’s shareholders or the Company’s stockholders, as applicable, than the terms of the Contemplated Transactions and is not subject to any financing conditions (and if financing is required, such financing is then fully committed to the third party).</w:t>
      </w:r>
    </w:p>
    <w:p>
      <w:pPr>
        <w:spacing w:after="0" w:line="181"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77"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Authority (a “</w:t>
      </w:r>
      <w:r>
        <w:rPr>
          <w:rFonts w:ascii="Arial" w:cs="Arial" w:eastAsia="Arial" w:hAnsi="Arial"/>
          <w:sz w:val="18"/>
          <w:szCs w:val="18"/>
          <w:b w:val="1"/>
          <w:bCs w:val="1"/>
          <w:i w:val="1"/>
          <w:iCs w:val="1"/>
          <w:color w:val="auto"/>
        </w:rPr>
        <w:t>Tax Authority</w:t>
      </w:r>
      <w:r>
        <w:rPr>
          <w:rFonts w:ascii="Arial" w:cs="Arial" w:eastAsia="Arial" w:hAnsi="Arial"/>
          <w:sz w:val="18"/>
          <w:szCs w:val="18"/>
          <w:color w:val="auto"/>
        </w:rPr>
        <w:t>”) in connection with the determination, assessment, collection or payment of any Tax or in connection with the administration, implementation or enforcement of or compliance with any Law relating to any Tax.</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Takeover Panel</w:t>
      </w:r>
      <w:r>
        <w:rPr>
          <w:rFonts w:ascii="Arial" w:cs="Arial" w:eastAsia="Arial" w:hAnsi="Arial"/>
          <w:sz w:val="18"/>
          <w:szCs w:val="18"/>
          <w:color w:val="auto"/>
        </w:rPr>
        <w:t>” means the United Kingdom Panel on Takeovers and Mergers.</w:t>
      </w:r>
    </w:p>
    <w:p>
      <w:pPr>
        <w:spacing w:after="0" w:line="212"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City Code</w:t>
      </w:r>
      <w:r>
        <w:rPr>
          <w:rFonts w:ascii="Arial" w:cs="Arial" w:eastAsia="Arial" w:hAnsi="Arial"/>
          <w:sz w:val="18"/>
          <w:szCs w:val="18"/>
          <w:color w:val="auto"/>
        </w:rPr>
        <w:t>” means the UK City Code on Takeovers and Mergers, as it may be amended from time to time and any successor legislation thereto.</w:t>
      </w:r>
    </w:p>
    <w:p>
      <w:pPr>
        <w:spacing w:after="0" w:line="15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VAT</w:t>
      </w:r>
      <w:r>
        <w:rPr>
          <w:rFonts w:ascii="Arial" w:cs="Arial" w:eastAsia="Arial" w:hAnsi="Arial"/>
          <w:sz w:val="18"/>
          <w:szCs w:val="18"/>
          <w:color w:val="auto"/>
        </w:rPr>
        <w:t>” means any tax imposed in compliance with the Council Directive of 28 November 2006 on the common system of value added tax (EC Directive 2006/112) and any other tax of a similar nature whether imposed in a member state of the European Union in substitution for, or levied in addition to, such tax, or imposed elsewhere.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200"/>
          </w:cols>
          <w:pgMar w:left="24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424"/>
        <w:spacing w:after="0"/>
        <w:tabs>
          <w:tab w:leader="none" w:pos="10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26"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Term</w:t>
            </w:r>
          </w:p>
        </w:tc>
        <w:tc>
          <w:tcPr>
            <w:tcW w:w="5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409A Plan</w:t>
            </w:r>
          </w:p>
        </w:tc>
        <w:tc>
          <w:tcPr>
            <w:tcW w:w="1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2.17(n)</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Accounting Firm</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1.7(e)</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Anticipated Closing Date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Capitalization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3.6(a)(a)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Determination Time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Certificate of Merger</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Closing</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Closing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Board Adverse Recommendation Change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5.2(c)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Board Recommendation</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Certifications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2.7(a)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Common Stock</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Disclosure Schedule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Section 2</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Employee Plan</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2.17(d)</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Material Contract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Permits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2.14(b)</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Plans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2.6(c)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Preferred Stock</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Product Candidates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2.14(d)</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Real Estate Leases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Regulatory Permits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2.14(d)</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SEC Documents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Stock Certificate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Stockholder Matters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Stockholder Meeting</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Stockholder Support Agreements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Termination Fee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9.3(b)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CVR Agreement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D&amp;O Indemnified Party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Delivery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Depositary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Dispute Notice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Dissenting Shares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1.9(a)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Drug Regulatory Agency</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Effective Time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End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9.1(b)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ESPP</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Exchange Agent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FDA</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FDCA</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Final Net Cash</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Form F-4</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GAAP</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2.7(b)</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HoldCo</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Grant Date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2.17(d)</w:t>
            </w: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2080" w:type="dxa"/>
            <w:vAlign w:val="bottom"/>
            <w:gridSpan w:val="2"/>
          </w:tcPr>
          <w:p>
            <w:pPr>
              <w:ind w:left="1240"/>
              <w:spacing w:after="0"/>
              <w:rPr>
                <w:sz w:val="20"/>
                <w:szCs w:val="20"/>
                <w:color w:val="auto"/>
              </w:rPr>
            </w:pPr>
            <w:r>
              <w:rPr>
                <w:rFonts w:ascii="Arial" w:cs="Arial" w:eastAsia="Arial" w:hAnsi="Arial"/>
                <w:sz w:val="18"/>
                <w:szCs w:val="18"/>
                <w:color w:val="auto"/>
              </w:rPr>
              <w:t>2.9</w:t>
            </w:r>
          </w:p>
        </w:tc>
      </w:tr>
      <w:tr>
        <w:trPr>
          <w:trHeight w:val="350"/>
        </w:trPr>
        <w:tc>
          <w:tcPr>
            <w:tcW w:w="360" w:type="dxa"/>
            <w:vAlign w:val="bottom"/>
          </w:tcPr>
          <w:p>
            <w:pPr>
              <w:spacing w:after="0"/>
              <w:rPr>
                <w:sz w:val="24"/>
                <w:szCs w:val="24"/>
                <w:color w:val="auto"/>
              </w:rPr>
            </w:pPr>
          </w:p>
        </w:tc>
        <w:tc>
          <w:tcPr>
            <w:tcW w:w="5040" w:type="dxa"/>
            <w:vAlign w:val="bottom"/>
          </w:tcPr>
          <w:p>
            <w:pPr>
              <w:ind w:left="3180"/>
              <w:spacing w:after="0"/>
              <w:rPr>
                <w:sz w:val="20"/>
                <w:szCs w:val="20"/>
                <w:color w:val="auto"/>
              </w:rPr>
            </w:pPr>
            <w:r>
              <w:rPr>
                <w:rFonts w:ascii="Arial" w:cs="Arial" w:eastAsia="Arial" w:hAnsi="Arial"/>
                <w:sz w:val="18"/>
                <w:szCs w:val="18"/>
                <w:color w:val="auto"/>
              </w:rPr>
              <w:t>A-76</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Term</w:t>
            </w:r>
          </w:p>
        </w:tc>
        <w:tc>
          <w:tcPr>
            <w:tcW w:w="4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MAR</w:t>
            </w:r>
          </w:p>
        </w:tc>
        <w:tc>
          <w:tcPr>
            <w:tcW w:w="1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Merger</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Merger Consideration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Merger Sub</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w w:val="98"/>
              </w:rPr>
              <w:t>Preamble</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w w:val="98"/>
              </w:rPr>
              <w:t>Preamble</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Board Adverse Recommendation Change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5.3(b)</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Board Recommendation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5.3(b)</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CVR</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Depositary Share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Disclosure Schedule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Section 3</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Employee Plan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3.17(c)</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Material Contract</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Permits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3.14(b)</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Product Candidates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Regulatory Permits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Real Estate Leases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3.11</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Regulatory Documents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Regulatory Permits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Shareholder Matters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5.3(a)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Shareholder Meeting</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5.3(a)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Shareholder Support Agreements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Termination Fee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9.3(c)</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Bridge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Cash Calculation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Schedule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Notice Period</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5.2(c)</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Pre-Closing Period</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4.1(a)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Proxy Statement</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Registration Statement</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Required Company Stockholder Vote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Required Milan Shareholder Vote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Response Date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1.7(b)</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Share Consideration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 Consideration Cap</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Surviving Corporation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Payment</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9.3(h)</w:t>
            </w:r>
          </w:p>
        </w:tc>
      </w:tr>
      <w:tr>
        <w:trPr>
          <w:trHeight w:val="217"/>
        </w:trPr>
        <w:tc>
          <w:tcPr>
            <w:tcW w:w="5300" w:type="dxa"/>
            <w:vAlign w:val="bottom"/>
            <w:gridSpan w:val="2"/>
          </w:tcPr>
          <w:p>
            <w:pPr>
              <w:spacing w:after="0"/>
              <w:rPr>
                <w:sz w:val="20"/>
                <w:szCs w:val="20"/>
                <w:color w:val="auto"/>
              </w:rPr>
            </w:pPr>
            <w:r>
              <w:rPr>
                <w:rFonts w:ascii="Arial" w:cs="Arial" w:eastAsia="Arial" w:hAnsi="Arial"/>
                <w:sz w:val="18"/>
                <w:szCs w:val="18"/>
                <w:color w:val="auto"/>
              </w:rPr>
              <w:t>Total Share Consideration</w:t>
            </w:r>
          </w:p>
        </w:tc>
        <w:tc>
          <w:tcPr>
            <w:tcW w:w="2180" w:type="dxa"/>
            <w:vAlign w:val="bottom"/>
            <w:gridSpan w:val="2"/>
          </w:tcPr>
          <w:p>
            <w:pPr>
              <w:ind w:left="1400"/>
              <w:spacing w:after="0"/>
              <w:rPr>
                <w:sz w:val="20"/>
                <w:szCs w:val="20"/>
                <w:color w:val="auto"/>
              </w:rPr>
            </w:pPr>
            <w:r>
              <w:rPr>
                <w:rFonts w:ascii="Arial" w:cs="Arial" w:eastAsia="Arial" w:hAnsi="Arial"/>
                <w:sz w:val="18"/>
                <w:szCs w:val="18"/>
                <w:color w:val="auto"/>
              </w:rPr>
              <w:t>1.5(a)(ii)</w:t>
            </w:r>
          </w:p>
        </w:tc>
      </w:tr>
      <w:tr>
        <w:trPr>
          <w:trHeight w:val="350"/>
        </w:trPr>
        <w:tc>
          <w:tcPr>
            <w:tcW w:w="360" w:type="dxa"/>
            <w:vAlign w:val="bottom"/>
          </w:tcPr>
          <w:p>
            <w:pPr>
              <w:spacing w:after="0"/>
              <w:rPr>
                <w:sz w:val="24"/>
                <w:szCs w:val="24"/>
                <w:color w:val="auto"/>
              </w:rPr>
            </w:pPr>
          </w:p>
        </w:tc>
        <w:tc>
          <w:tcPr>
            <w:tcW w:w="4940" w:type="dxa"/>
            <w:vAlign w:val="bottom"/>
          </w:tcPr>
          <w:p>
            <w:pPr>
              <w:ind w:left="3180"/>
              <w:spacing w:after="0"/>
              <w:rPr>
                <w:sz w:val="20"/>
                <w:szCs w:val="20"/>
                <w:color w:val="auto"/>
              </w:rPr>
            </w:pPr>
            <w:r>
              <w:rPr>
                <w:rFonts w:ascii="Arial" w:cs="Arial" w:eastAsia="Arial" w:hAnsi="Arial"/>
                <w:sz w:val="18"/>
                <w:szCs w:val="18"/>
                <w:color w:val="auto"/>
              </w:rPr>
              <w:t>A-77</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 OF</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CONTINGENT VALUE RIGHTS AGREEMENT</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BETWEEN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COMPUTERSHARE INC.</w:t>
      </w:r>
    </w:p>
    <w:p>
      <w:pPr>
        <w:spacing w:after="0" w:line="212"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4"/>
          <w:szCs w:val="14"/>
          <w:color w:val="auto"/>
        </w:rPr>
        <w:t>]</w:t>
      </w:r>
    </w:p>
    <w:p>
      <w:pPr>
        <w:sectPr>
          <w:pgSz w:w="11900" w:h="16838" w:orient="portrait"/>
          <w:cols w:equalWidth="0" w:num="1">
            <w:col w:w="11220"/>
          </w:cols>
          <w:pgMar w:left="240" w:top="459" w:right="43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140" w:type="dxa"/>
            <w:vAlign w:val="bottom"/>
            <w:gridSpan w:val="39"/>
          </w:tcPr>
          <w:p>
            <w:pPr>
              <w:spacing w:after="0" w:line="176" w:lineRule="exact"/>
              <w:rPr>
                <w:rFonts w:ascii="Arial" w:cs="Arial" w:eastAsia="Arial" w:hAnsi="Arial"/>
                <w:sz w:val="18"/>
                <w:szCs w:val="18"/>
                <w:color w:val="0000EE"/>
              </w:rPr>
            </w:pPr>
            <w:hyperlink w:anchor="page495">
              <w:r>
                <w:rPr>
                  <w:rFonts w:ascii="Arial" w:cs="Arial" w:eastAsia="Arial" w:hAnsi="Arial"/>
                  <w:sz w:val="18"/>
                  <w:szCs w:val="18"/>
                  <w:color w:val="0000EE"/>
                </w:rPr>
                <w:t>ARTICLE 1 DEFINITIONS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495">
              <w:r>
                <w:rPr>
                  <w:rFonts w:ascii="Arial" w:cs="Arial" w:eastAsia="Arial" w:hAnsi="Arial"/>
                  <w:sz w:val="18"/>
                  <w:szCs w:val="18"/>
                  <w:color w:val="0000EE"/>
                  <w:w w:val="97"/>
                </w:rPr>
                <w:t>Section 1.1</w:t>
              </w:r>
            </w:hyperlink>
          </w:p>
        </w:tc>
        <w:tc>
          <w:tcPr>
            <w:tcW w:w="640" w:type="dxa"/>
            <w:vAlign w:val="bottom"/>
            <w:tcBorders>
              <w:top w:val="single" w:sz="8" w:color="0000EE"/>
            </w:tcBorders>
          </w:tcPr>
          <w:p>
            <w:pPr>
              <w:spacing w:after="0"/>
              <w:rPr>
                <w:sz w:val="15"/>
                <w:szCs w:val="15"/>
                <w:color w:val="auto"/>
              </w:rPr>
            </w:pPr>
          </w:p>
        </w:tc>
        <w:tc>
          <w:tcPr>
            <w:tcW w:w="18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700" w:type="dxa"/>
            <w:vAlign w:val="bottom"/>
            <w:tcBorders>
              <w:bottom w:val="single" w:sz="8" w:color="0000EE"/>
            </w:tcBorders>
            <w:gridSpan w:val="6"/>
          </w:tcPr>
          <w:p>
            <w:pPr>
              <w:spacing w:after="0" w:line="182" w:lineRule="exact"/>
              <w:rPr>
                <w:rFonts w:ascii="Arial" w:cs="Arial" w:eastAsia="Arial" w:hAnsi="Arial"/>
                <w:sz w:val="18"/>
                <w:szCs w:val="18"/>
                <w:i w:val="1"/>
                <w:iCs w:val="1"/>
                <w:color w:val="0000EE"/>
                <w:w w:val="76"/>
              </w:rPr>
            </w:pPr>
            <w:hyperlink w:anchor="page495">
              <w:r>
                <w:rPr>
                  <w:rFonts w:ascii="Arial" w:cs="Arial" w:eastAsia="Arial" w:hAnsi="Arial"/>
                  <w:sz w:val="18"/>
                  <w:szCs w:val="18"/>
                  <w:i w:val="1"/>
                  <w:iCs w:val="1"/>
                  <w:color w:val="0000EE"/>
                  <w:w w:val="76"/>
                </w:rPr>
                <w:t>Definitions.</w:t>
              </w:r>
            </w:hyperlink>
          </w:p>
        </w:tc>
        <w:tc>
          <w:tcPr>
            <w:tcW w:w="6340" w:type="dxa"/>
            <w:vAlign w:val="bottom"/>
            <w:gridSpan w:val="28"/>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0">
              <w:r>
                <w:rPr>
                  <w:rFonts w:ascii="Arial" w:cs="Arial" w:eastAsia="Arial" w:hAnsi="Arial"/>
                  <w:sz w:val="18"/>
                  <w:szCs w:val="18"/>
                  <w:color w:val="0000EE"/>
                </w:rPr>
                <w:t>ARTICLE 2 CONTINGENT VALUE RIGHTS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0">
              <w:r>
                <w:rPr>
                  <w:rFonts w:ascii="Arial" w:cs="Arial" w:eastAsia="Arial" w:hAnsi="Arial"/>
                  <w:sz w:val="18"/>
                  <w:szCs w:val="18"/>
                  <w:color w:val="0000EE"/>
                  <w:w w:val="97"/>
                </w:rPr>
                <w:t>Section 2.1</w:t>
              </w:r>
            </w:hyperlink>
          </w:p>
        </w:tc>
        <w:tc>
          <w:tcPr>
            <w:tcW w:w="640" w:type="dxa"/>
            <w:vAlign w:val="bottom"/>
            <w:tcBorders>
              <w:top w:val="single" w:sz="8" w:color="0000EE"/>
            </w:tcBorders>
          </w:tcPr>
          <w:p>
            <w:pPr>
              <w:spacing w:after="0"/>
              <w:rPr>
                <w:sz w:val="15"/>
                <w:szCs w:val="15"/>
                <w:color w:val="auto"/>
              </w:rPr>
            </w:pPr>
          </w:p>
        </w:tc>
        <w:tc>
          <w:tcPr>
            <w:tcW w:w="1600" w:type="dxa"/>
            <w:vAlign w:val="bottom"/>
            <w:tcBorders>
              <w:top w:val="single" w:sz="8" w:color="0000EE"/>
            </w:tcBorders>
            <w:gridSpan w:val="15"/>
          </w:tcPr>
          <w:p>
            <w:pPr>
              <w:spacing w:after="0" w:line="182" w:lineRule="exact"/>
              <w:rPr>
                <w:rFonts w:ascii="Arial" w:cs="Arial" w:eastAsia="Arial" w:hAnsi="Arial"/>
                <w:sz w:val="18"/>
                <w:szCs w:val="18"/>
                <w:i w:val="1"/>
                <w:iCs w:val="1"/>
                <w:color w:val="0000EE"/>
              </w:rPr>
            </w:pPr>
            <w:hyperlink w:anchor="page500">
              <w:r>
                <w:rPr>
                  <w:rFonts w:ascii="Arial" w:cs="Arial" w:eastAsia="Arial" w:hAnsi="Arial"/>
                  <w:sz w:val="18"/>
                  <w:szCs w:val="18"/>
                  <w:i w:val="1"/>
                  <w:iCs w:val="1"/>
                  <w:color w:val="0000EE"/>
                </w:rPr>
                <w:t>Holders of CVRs;</w:t>
              </w:r>
            </w:hyperlink>
          </w:p>
        </w:tc>
        <w:tc>
          <w:tcPr>
            <w:tcW w:w="5640" w:type="dxa"/>
            <w:vAlign w:val="bottom"/>
            <w:gridSpan w:val="21"/>
          </w:tcPr>
          <w:p>
            <w:pPr>
              <w:spacing w:after="0" w:line="182" w:lineRule="exact"/>
              <w:rPr>
                <w:rFonts w:ascii="Arial" w:cs="Arial" w:eastAsia="Arial" w:hAnsi="Arial"/>
                <w:sz w:val="18"/>
                <w:szCs w:val="18"/>
                <w:i w:val="1"/>
                <w:iCs w:val="1"/>
                <w:color w:val="0000EE"/>
              </w:rPr>
            </w:pPr>
            <w:hyperlink w:anchor="page500">
              <w:r>
                <w:rPr>
                  <w:rFonts w:ascii="Arial" w:cs="Arial" w:eastAsia="Arial" w:hAnsi="Arial"/>
                  <w:sz w:val="18"/>
                  <w:szCs w:val="18"/>
                  <w:i w:val="1"/>
                  <w:iCs w:val="1"/>
                  <w:color w:val="0000EE"/>
                </w:rPr>
                <w:t>Appointment of Rights Agent.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0">
              <w:r>
                <w:rPr>
                  <w:rFonts w:ascii="Arial" w:cs="Arial" w:eastAsia="Arial" w:hAnsi="Arial"/>
                  <w:sz w:val="18"/>
                  <w:szCs w:val="18"/>
                  <w:color w:val="0000EE"/>
                  <w:w w:val="97"/>
                </w:rPr>
                <w:t>Section 2.2</w:t>
              </w:r>
            </w:hyperlink>
          </w:p>
        </w:tc>
        <w:tc>
          <w:tcPr>
            <w:tcW w:w="640" w:type="dxa"/>
            <w:vAlign w:val="bottom"/>
          </w:tcPr>
          <w:p>
            <w:pPr>
              <w:spacing w:after="0"/>
              <w:rPr>
                <w:sz w:val="15"/>
                <w:szCs w:val="15"/>
                <w:color w:val="auto"/>
              </w:rPr>
            </w:pPr>
          </w:p>
        </w:tc>
        <w:tc>
          <w:tcPr>
            <w:tcW w:w="3780" w:type="dxa"/>
            <w:vAlign w:val="bottom"/>
            <w:tcBorders>
              <w:top w:val="single" w:sz="8" w:color="0000EE"/>
            </w:tcBorders>
            <w:gridSpan w:val="29"/>
          </w:tcPr>
          <w:p>
            <w:pPr>
              <w:spacing w:after="0" w:line="182" w:lineRule="exact"/>
              <w:rPr>
                <w:rFonts w:ascii="Arial" w:cs="Arial" w:eastAsia="Arial" w:hAnsi="Arial"/>
                <w:sz w:val="18"/>
                <w:szCs w:val="18"/>
                <w:i w:val="1"/>
                <w:iCs w:val="1"/>
                <w:color w:val="0000EE"/>
              </w:rPr>
            </w:pPr>
            <w:hyperlink w:anchor="page500">
              <w:r>
                <w:rPr>
                  <w:rFonts w:ascii="Arial" w:cs="Arial" w:eastAsia="Arial" w:hAnsi="Arial"/>
                  <w:sz w:val="18"/>
                  <w:szCs w:val="18"/>
                  <w:i w:val="1"/>
                  <w:iCs w:val="1"/>
                  <w:color w:val="0000EE"/>
                </w:rPr>
                <w:t>Non-transferable.</w:t>
              </w:r>
            </w:hyperlink>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0">
              <w:r>
                <w:rPr>
                  <w:rFonts w:ascii="Arial" w:cs="Arial" w:eastAsia="Arial" w:hAnsi="Arial"/>
                  <w:sz w:val="18"/>
                  <w:szCs w:val="18"/>
                  <w:color w:val="0000EE"/>
                  <w:w w:val="97"/>
                </w:rPr>
                <w:t>Section 2.3</w:t>
              </w:r>
            </w:hyperlink>
          </w:p>
        </w:tc>
        <w:tc>
          <w:tcPr>
            <w:tcW w:w="640" w:type="dxa"/>
            <w:vAlign w:val="bottom"/>
          </w:tcPr>
          <w:p>
            <w:pPr>
              <w:spacing w:after="0"/>
              <w:rPr>
                <w:sz w:val="15"/>
                <w:szCs w:val="15"/>
                <w:color w:val="auto"/>
              </w:rPr>
            </w:pPr>
          </w:p>
        </w:tc>
        <w:tc>
          <w:tcPr>
            <w:tcW w:w="1400" w:type="dxa"/>
            <w:vAlign w:val="bottom"/>
            <w:tcBorders>
              <w:top w:val="single" w:sz="8" w:color="0000EE"/>
            </w:tcBorders>
            <w:gridSpan w:val="12"/>
          </w:tcPr>
          <w:p>
            <w:pPr>
              <w:spacing w:after="0" w:line="182" w:lineRule="exact"/>
              <w:rPr>
                <w:rFonts w:ascii="Arial" w:cs="Arial" w:eastAsia="Arial" w:hAnsi="Arial"/>
                <w:sz w:val="18"/>
                <w:szCs w:val="18"/>
                <w:i w:val="1"/>
                <w:iCs w:val="1"/>
                <w:color w:val="0000EE"/>
              </w:rPr>
            </w:pPr>
            <w:hyperlink w:anchor="page500">
              <w:r>
                <w:rPr>
                  <w:rFonts w:ascii="Arial" w:cs="Arial" w:eastAsia="Arial" w:hAnsi="Arial"/>
                  <w:sz w:val="18"/>
                  <w:szCs w:val="18"/>
                  <w:i w:val="1"/>
                  <w:iCs w:val="1"/>
                  <w:color w:val="0000EE"/>
                </w:rPr>
                <w:t>No Certificate;</w:t>
              </w:r>
            </w:hyperlink>
          </w:p>
        </w:tc>
        <w:tc>
          <w:tcPr>
            <w:tcW w:w="5840" w:type="dxa"/>
            <w:vAlign w:val="bottom"/>
            <w:gridSpan w:val="24"/>
          </w:tcPr>
          <w:p>
            <w:pPr>
              <w:spacing w:after="0" w:line="182" w:lineRule="exact"/>
              <w:rPr>
                <w:rFonts w:ascii="Arial" w:cs="Arial" w:eastAsia="Arial" w:hAnsi="Arial"/>
                <w:sz w:val="18"/>
                <w:szCs w:val="18"/>
                <w:i w:val="1"/>
                <w:iCs w:val="1"/>
                <w:color w:val="0000EE"/>
              </w:rPr>
            </w:pPr>
            <w:hyperlink w:anchor="page500">
              <w:r>
                <w:rPr>
                  <w:rFonts w:ascii="Arial" w:cs="Arial" w:eastAsia="Arial" w:hAnsi="Arial"/>
                  <w:sz w:val="18"/>
                  <w:szCs w:val="18"/>
                  <w:i w:val="1"/>
                  <w:iCs w:val="1"/>
                  <w:color w:val="0000EE"/>
                </w:rPr>
                <w:t>Registration; Registration of Transfer; Change of Address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501">
              <w:r>
                <w:rPr>
                  <w:rFonts w:ascii="Arial" w:cs="Arial" w:eastAsia="Arial" w:hAnsi="Arial"/>
                  <w:sz w:val="18"/>
                  <w:szCs w:val="18"/>
                  <w:color w:val="0000EE"/>
                  <w:w w:val="97"/>
                </w:rPr>
                <w:t>Section 2.4</w:t>
              </w:r>
            </w:hyperlink>
          </w:p>
        </w:tc>
        <w:tc>
          <w:tcPr>
            <w:tcW w:w="6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16"/>
            <w:vMerge w:val="restart"/>
          </w:tcPr>
          <w:p>
            <w:pPr>
              <w:spacing w:after="0"/>
              <w:rPr>
                <w:rFonts w:ascii="Arial" w:cs="Arial" w:eastAsia="Arial" w:hAnsi="Arial"/>
                <w:sz w:val="18"/>
                <w:szCs w:val="18"/>
                <w:i w:val="1"/>
                <w:iCs w:val="1"/>
                <w:color w:val="0000EE"/>
                <w:w w:val="99"/>
              </w:rPr>
            </w:pPr>
            <w:hyperlink w:anchor="page501">
              <w:r>
                <w:rPr>
                  <w:rFonts w:ascii="Arial" w:cs="Arial" w:eastAsia="Arial" w:hAnsi="Arial"/>
                  <w:sz w:val="18"/>
                  <w:szCs w:val="18"/>
                  <w:i w:val="1"/>
                  <w:iCs w:val="1"/>
                  <w:color w:val="0000EE"/>
                  <w:w w:val="99"/>
                </w:rPr>
                <w:t>Payment Procedures.</w:t>
              </w:r>
            </w:hyperlink>
          </w:p>
        </w:tc>
        <w:tc>
          <w:tcPr>
            <w:tcW w:w="4020" w:type="dxa"/>
            <w:vAlign w:val="bottom"/>
            <w:tcBorders>
              <w:top w:val="single" w:sz="8" w:color="0000EE"/>
              <w:bottom w:val="single" w:sz="8" w:color="0000EE"/>
            </w:tcBorders>
            <w:gridSpan w:val="19"/>
            <w:vMerge w:val="restart"/>
          </w:tcPr>
          <w:p>
            <w:pPr>
              <w:spacing w:after="0"/>
              <w:rPr>
                <w:sz w:val="15"/>
                <w:szCs w:val="15"/>
                <w:color w:val="auto"/>
              </w:rPr>
            </w:pPr>
          </w:p>
        </w:tc>
        <w:tc>
          <w:tcPr>
            <w:tcW w:w="1480" w:type="dxa"/>
            <w:vAlign w:val="bottom"/>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Borders>
              <w:bottom w:val="single" w:sz="8" w:color="0000EE"/>
            </w:tcBorders>
            <w:gridSpan w:val="16"/>
            <w:vMerge w:val="continue"/>
          </w:tcPr>
          <w:p>
            <w:pPr>
              <w:spacing w:after="0"/>
              <w:rPr>
                <w:sz w:val="15"/>
                <w:szCs w:val="15"/>
                <w:color w:val="auto"/>
              </w:rPr>
            </w:pPr>
          </w:p>
        </w:tc>
        <w:tc>
          <w:tcPr>
            <w:tcW w:w="4020" w:type="dxa"/>
            <w:vAlign w:val="bottom"/>
            <w:gridSpan w:val="19"/>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Section 2.5</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3">
              <w:r>
                <w:rPr>
                  <w:rFonts w:ascii="Arial" w:cs="Arial" w:eastAsia="Arial" w:hAnsi="Arial"/>
                  <w:sz w:val="18"/>
                  <w:szCs w:val="18"/>
                  <w:i w:val="1"/>
                  <w:iCs w:val="1"/>
                  <w:color w:val="0000EE"/>
                </w:rPr>
                <w:t>No Voting, Dividends or Interest; No Equity or Ownership Interest.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Section 2.6</w:t>
              </w:r>
            </w:hyperlink>
          </w:p>
        </w:tc>
        <w:tc>
          <w:tcPr>
            <w:tcW w:w="64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9"/>
            <w:vMerge w:val="restart"/>
          </w:tcPr>
          <w:p>
            <w:pPr>
              <w:spacing w:after="0"/>
              <w:rPr>
                <w:rFonts w:ascii="Arial" w:cs="Arial" w:eastAsia="Arial" w:hAnsi="Arial"/>
                <w:sz w:val="18"/>
                <w:szCs w:val="18"/>
                <w:i w:val="1"/>
                <w:iCs w:val="1"/>
                <w:color w:val="0000EE"/>
                <w:w w:val="99"/>
              </w:rPr>
            </w:pPr>
            <w:hyperlink w:anchor="page503">
              <w:r>
                <w:rPr>
                  <w:rFonts w:ascii="Arial" w:cs="Arial" w:eastAsia="Arial" w:hAnsi="Arial"/>
                  <w:sz w:val="18"/>
                  <w:szCs w:val="18"/>
                  <w:i w:val="1"/>
                  <w:iCs w:val="1"/>
                  <w:color w:val="0000EE"/>
                  <w:w w:val="99"/>
                </w:rPr>
                <w:t>Ability to Abandon CVR.</w:t>
              </w:r>
            </w:hyperlink>
          </w:p>
        </w:tc>
        <w:tc>
          <w:tcPr>
            <w:tcW w:w="3300" w:type="dxa"/>
            <w:vAlign w:val="bottom"/>
            <w:tcBorders>
              <w:top w:val="single" w:sz="8" w:color="0000EE"/>
              <w:bottom w:val="single" w:sz="8" w:color="0000EE"/>
            </w:tcBorders>
            <w:gridSpan w:val="15"/>
            <w:vMerge w:val="restart"/>
          </w:tcPr>
          <w:p>
            <w:pPr>
              <w:spacing w:after="0"/>
              <w:rPr>
                <w:sz w:val="15"/>
                <w:szCs w:val="15"/>
                <w:color w:val="auto"/>
              </w:rPr>
            </w:pPr>
          </w:p>
        </w:tc>
        <w:tc>
          <w:tcPr>
            <w:tcW w:w="2000" w:type="dxa"/>
            <w:vAlign w:val="bottom"/>
            <w:gridSpan w:val="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tcBorders>
              <w:bottom w:val="single" w:sz="8" w:color="0000EE"/>
            </w:tcBorders>
            <w:gridSpan w:val="19"/>
            <w:vMerge w:val="continue"/>
          </w:tcPr>
          <w:p>
            <w:pPr>
              <w:spacing w:after="0"/>
              <w:rPr>
                <w:sz w:val="15"/>
                <w:szCs w:val="15"/>
                <w:color w:val="auto"/>
              </w:rPr>
            </w:pPr>
          </w:p>
        </w:tc>
        <w:tc>
          <w:tcPr>
            <w:tcW w:w="3300" w:type="dxa"/>
            <w:vAlign w:val="bottom"/>
            <w:gridSpan w:val="15"/>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Section 2.7</w:t>
              </w:r>
            </w:hyperlink>
          </w:p>
        </w:tc>
        <w:tc>
          <w:tcPr>
            <w:tcW w:w="640" w:type="dxa"/>
            <w:vAlign w:val="bottom"/>
          </w:tcPr>
          <w:p>
            <w:pPr>
              <w:spacing w:after="0"/>
              <w:rPr>
                <w:sz w:val="15"/>
                <w:szCs w:val="15"/>
                <w:color w:val="auto"/>
              </w:rPr>
            </w:pPr>
          </w:p>
        </w:tc>
        <w:tc>
          <w:tcPr>
            <w:tcW w:w="2080" w:type="dxa"/>
            <w:vAlign w:val="bottom"/>
            <w:gridSpan w:val="21"/>
            <w:vMerge w:val="restart"/>
          </w:tcPr>
          <w:p>
            <w:pPr>
              <w:spacing w:after="0"/>
              <w:rPr>
                <w:rFonts w:ascii="Arial" w:cs="Arial" w:eastAsia="Arial" w:hAnsi="Arial"/>
                <w:sz w:val="18"/>
                <w:szCs w:val="18"/>
                <w:i w:val="1"/>
                <w:iCs w:val="1"/>
                <w:color w:val="0000EE"/>
                <w:w w:val="99"/>
              </w:rPr>
            </w:pPr>
            <w:hyperlink w:anchor="page503">
              <w:r>
                <w:rPr>
                  <w:rFonts w:ascii="Arial" w:cs="Arial" w:eastAsia="Arial" w:hAnsi="Arial"/>
                  <w:sz w:val="18"/>
                  <w:szCs w:val="18"/>
                  <w:i w:val="1"/>
                  <w:iCs w:val="1"/>
                  <w:color w:val="0000EE"/>
                  <w:w w:val="99"/>
                </w:rPr>
                <w:t>Share Consideration Cap.</w:t>
              </w:r>
            </w:hyperlink>
          </w:p>
        </w:tc>
        <w:tc>
          <w:tcPr>
            <w:tcW w:w="5160" w:type="dxa"/>
            <w:vAlign w:val="bottom"/>
            <w:gridSpan w:val="15"/>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80" w:type="dxa"/>
            <w:vAlign w:val="bottom"/>
            <w:tcBorders>
              <w:bottom w:val="single" w:sz="8" w:color="0000EE"/>
            </w:tcBorders>
            <w:gridSpan w:val="21"/>
            <w:vMerge w:val="continue"/>
          </w:tcPr>
          <w:p>
            <w:pPr>
              <w:spacing w:after="0"/>
              <w:rPr>
                <w:sz w:val="15"/>
                <w:szCs w:val="15"/>
                <w:color w:val="auto"/>
              </w:rPr>
            </w:pPr>
          </w:p>
        </w:tc>
        <w:tc>
          <w:tcPr>
            <w:tcW w:w="5160" w:type="dxa"/>
            <w:vAlign w:val="bottom"/>
            <w:gridSpan w:val="15"/>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Section 2.8</w:t>
              </w:r>
            </w:hyperlink>
          </w:p>
        </w:tc>
        <w:tc>
          <w:tcPr>
            <w:tcW w:w="640" w:type="dxa"/>
            <w:vAlign w:val="bottom"/>
          </w:tcPr>
          <w:p>
            <w:pPr>
              <w:spacing w:after="0"/>
              <w:rPr>
                <w:sz w:val="15"/>
                <w:szCs w:val="15"/>
                <w:color w:val="auto"/>
              </w:rPr>
            </w:pPr>
          </w:p>
        </w:tc>
        <w:tc>
          <w:tcPr>
            <w:tcW w:w="2020" w:type="dxa"/>
            <w:vAlign w:val="bottom"/>
            <w:gridSpan w:val="20"/>
            <w:vMerge w:val="restart"/>
          </w:tcPr>
          <w:p>
            <w:pPr>
              <w:spacing w:after="0"/>
              <w:rPr>
                <w:rFonts w:ascii="Arial" w:cs="Arial" w:eastAsia="Arial" w:hAnsi="Arial"/>
                <w:sz w:val="18"/>
                <w:szCs w:val="18"/>
                <w:i w:val="1"/>
                <w:iCs w:val="1"/>
                <w:color w:val="0000EE"/>
                <w:w w:val="99"/>
              </w:rPr>
            </w:pPr>
            <w:hyperlink w:anchor="page503">
              <w:r>
                <w:rPr>
                  <w:rFonts w:ascii="Arial" w:cs="Arial" w:eastAsia="Arial" w:hAnsi="Arial"/>
                  <w:sz w:val="18"/>
                  <w:szCs w:val="18"/>
                  <w:i w:val="1"/>
                  <w:iCs w:val="1"/>
                  <w:color w:val="0000EE"/>
                  <w:w w:val="99"/>
                </w:rPr>
                <w:t>Cash Consideration Cap.</w:t>
              </w:r>
            </w:hyperlink>
          </w:p>
        </w:tc>
        <w:tc>
          <w:tcPr>
            <w:tcW w:w="5220" w:type="dxa"/>
            <w:vAlign w:val="bottom"/>
            <w:gridSpan w:val="1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tcBorders>
              <w:bottom w:val="single" w:sz="8" w:color="0000EE"/>
            </w:tcBorders>
            <w:gridSpan w:val="20"/>
            <w:vMerge w:val="continue"/>
          </w:tcPr>
          <w:p>
            <w:pPr>
              <w:spacing w:after="0"/>
              <w:rPr>
                <w:sz w:val="15"/>
                <w:szCs w:val="15"/>
                <w:color w:val="auto"/>
              </w:rPr>
            </w:pPr>
          </w:p>
        </w:tc>
        <w:tc>
          <w:tcPr>
            <w:tcW w:w="5220" w:type="dxa"/>
            <w:vAlign w:val="bottom"/>
            <w:gridSpan w:val="1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3">
              <w:r>
                <w:rPr>
                  <w:rFonts w:ascii="Arial" w:cs="Arial" w:eastAsia="Arial" w:hAnsi="Arial"/>
                  <w:sz w:val="18"/>
                  <w:szCs w:val="18"/>
                  <w:color w:val="0000EE"/>
                  <w:w w:val="97"/>
                </w:rPr>
                <w:t>Section 2.9</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3">
              <w:r>
                <w:rPr>
                  <w:rFonts w:ascii="Arial" w:cs="Arial" w:eastAsia="Arial" w:hAnsi="Arial"/>
                  <w:sz w:val="18"/>
                  <w:szCs w:val="18"/>
                  <w:i w:val="1"/>
                  <w:iCs w:val="1"/>
                  <w:color w:val="0000EE"/>
                </w:rPr>
                <w:t>Fractional Entitlements.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4">
              <w:r>
                <w:rPr>
                  <w:rFonts w:ascii="Arial" w:cs="Arial" w:eastAsia="Arial" w:hAnsi="Arial"/>
                  <w:sz w:val="18"/>
                  <w:szCs w:val="18"/>
                  <w:color w:val="0000EE"/>
                </w:rPr>
                <w:t>ARTICLE 3 THE RIGHTS AGENT</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3.1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4">
              <w:r>
                <w:rPr>
                  <w:rFonts w:ascii="Arial" w:cs="Arial" w:eastAsia="Arial" w:hAnsi="Arial"/>
                  <w:sz w:val="18"/>
                  <w:szCs w:val="18"/>
                  <w:i w:val="1"/>
                  <w:iCs w:val="1"/>
                  <w:color w:val="0000EE"/>
                </w:rPr>
                <w:t>Certain Duties and Responsibilities.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3.2</w:t>
              </w:r>
            </w:hyperlink>
          </w:p>
        </w:tc>
        <w:tc>
          <w:tcPr>
            <w:tcW w:w="6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22"/>
            <w:vMerge w:val="restart"/>
          </w:tcPr>
          <w:p>
            <w:pPr>
              <w:spacing w:after="0"/>
              <w:rPr>
                <w:rFonts w:ascii="Arial" w:cs="Arial" w:eastAsia="Arial" w:hAnsi="Arial"/>
                <w:sz w:val="18"/>
                <w:szCs w:val="18"/>
                <w:i w:val="1"/>
                <w:iCs w:val="1"/>
                <w:color w:val="0000EE"/>
                <w:w w:val="99"/>
              </w:rPr>
            </w:pPr>
            <w:hyperlink w:anchor="page504">
              <w:r>
                <w:rPr>
                  <w:rFonts w:ascii="Arial" w:cs="Arial" w:eastAsia="Arial" w:hAnsi="Arial"/>
                  <w:sz w:val="18"/>
                  <w:szCs w:val="18"/>
                  <w:i w:val="1"/>
                  <w:iCs w:val="1"/>
                  <w:color w:val="0000EE"/>
                  <w:w w:val="99"/>
                </w:rPr>
                <w:t>Certain Rights of Rights Agent.</w:t>
              </w:r>
            </w:hyperlink>
          </w:p>
        </w:tc>
        <w:tc>
          <w:tcPr>
            <w:tcW w:w="360" w:type="dxa"/>
            <w:vAlign w:val="bottom"/>
            <w:tcBorders>
              <w:top w:val="single" w:sz="8" w:color="0000EE"/>
              <w:bottom w:val="single" w:sz="8" w:color="0000EE"/>
            </w:tcBorders>
            <w:gridSpan w:val="2"/>
            <w:vMerge w:val="restart"/>
          </w:tcPr>
          <w:p>
            <w:pPr>
              <w:spacing w:after="0"/>
              <w:rPr>
                <w:sz w:val="15"/>
                <w:szCs w:val="15"/>
                <w:color w:val="auto"/>
              </w:rPr>
            </w:pPr>
          </w:p>
        </w:tc>
        <w:tc>
          <w:tcPr>
            <w:tcW w:w="4400" w:type="dxa"/>
            <w:vAlign w:val="bottom"/>
            <w:gridSpan w:val="1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80" w:type="dxa"/>
            <w:vAlign w:val="bottom"/>
            <w:tcBorders>
              <w:bottom w:val="single" w:sz="8" w:color="0000EE"/>
            </w:tcBorders>
            <w:gridSpan w:val="2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4400" w:type="dxa"/>
            <w:vAlign w:val="bottom"/>
            <w:gridSpan w:val="1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6">
              <w:r>
                <w:rPr>
                  <w:rFonts w:ascii="Arial" w:cs="Arial" w:eastAsia="Arial" w:hAnsi="Arial"/>
                  <w:sz w:val="18"/>
                  <w:szCs w:val="18"/>
                  <w:color w:val="0000EE"/>
                  <w:w w:val="97"/>
                </w:rPr>
                <w:t>Section 3.3</w:t>
              </w:r>
            </w:hyperlink>
          </w:p>
        </w:tc>
        <w:tc>
          <w:tcPr>
            <w:tcW w:w="640" w:type="dxa"/>
            <w:vAlign w:val="bottom"/>
          </w:tcPr>
          <w:p>
            <w:pPr>
              <w:spacing w:after="0"/>
              <w:rPr>
                <w:sz w:val="15"/>
                <w:szCs w:val="15"/>
                <w:color w:val="auto"/>
              </w:rPr>
            </w:pPr>
          </w:p>
        </w:tc>
        <w:tc>
          <w:tcPr>
            <w:tcW w:w="4320" w:type="dxa"/>
            <w:vAlign w:val="bottom"/>
            <w:gridSpan w:val="31"/>
            <w:vMerge w:val="restart"/>
          </w:tcPr>
          <w:p>
            <w:pPr>
              <w:spacing w:after="0"/>
              <w:rPr>
                <w:rFonts w:ascii="Arial" w:cs="Arial" w:eastAsia="Arial" w:hAnsi="Arial"/>
                <w:sz w:val="18"/>
                <w:szCs w:val="18"/>
                <w:i w:val="1"/>
                <w:iCs w:val="1"/>
                <w:color w:val="0000EE"/>
                <w:w w:val="99"/>
              </w:rPr>
            </w:pPr>
            <w:hyperlink w:anchor="page506">
              <w:r>
                <w:rPr>
                  <w:rFonts w:ascii="Arial" w:cs="Arial" w:eastAsia="Arial" w:hAnsi="Arial"/>
                  <w:sz w:val="18"/>
                  <w:szCs w:val="18"/>
                  <w:i w:val="1"/>
                  <w:iCs w:val="1"/>
                  <w:color w:val="0000EE"/>
                  <w:w w:val="99"/>
                </w:rPr>
                <w:t>Resignation and Removal; Appointment of Successor.</w:t>
              </w:r>
            </w:hyperlink>
          </w:p>
        </w:tc>
        <w:tc>
          <w:tcPr>
            <w:tcW w:w="2920" w:type="dxa"/>
            <w:vAlign w:val="bottom"/>
            <w:gridSpan w:val="5"/>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20" w:type="dxa"/>
            <w:vAlign w:val="bottom"/>
            <w:tcBorders>
              <w:bottom w:val="single" w:sz="8" w:color="0000EE"/>
            </w:tcBorders>
            <w:gridSpan w:val="31"/>
            <w:vMerge w:val="continue"/>
          </w:tcPr>
          <w:p>
            <w:pPr>
              <w:spacing w:after="0"/>
              <w:rPr>
                <w:sz w:val="15"/>
                <w:szCs w:val="15"/>
                <w:color w:val="auto"/>
              </w:rPr>
            </w:pPr>
          </w:p>
        </w:tc>
        <w:tc>
          <w:tcPr>
            <w:tcW w:w="2920" w:type="dxa"/>
            <w:vAlign w:val="bottom"/>
            <w:gridSpan w:val="5"/>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6">
              <w:r>
                <w:rPr>
                  <w:rFonts w:ascii="Arial" w:cs="Arial" w:eastAsia="Arial" w:hAnsi="Arial"/>
                  <w:sz w:val="18"/>
                  <w:szCs w:val="18"/>
                  <w:color w:val="0000EE"/>
                  <w:w w:val="97"/>
                </w:rPr>
                <w:t>Section 3.4</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6">
              <w:r>
                <w:rPr>
                  <w:rFonts w:ascii="Arial" w:cs="Arial" w:eastAsia="Arial" w:hAnsi="Arial"/>
                  <w:sz w:val="18"/>
                  <w:szCs w:val="18"/>
                  <w:i w:val="1"/>
                  <w:iCs w:val="1"/>
                  <w:color w:val="0000EE"/>
                </w:rPr>
                <w:t>Acceptance of Appointment by Successor.</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6">
              <w:r>
                <w:rPr>
                  <w:rFonts w:ascii="Arial" w:cs="Arial" w:eastAsia="Arial" w:hAnsi="Arial"/>
                  <w:sz w:val="18"/>
                  <w:szCs w:val="18"/>
                  <w:color w:val="0000EE"/>
                </w:rPr>
                <w:t>ARTICLE 4 COVENANTS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6">
              <w:r>
                <w:rPr>
                  <w:rFonts w:ascii="Arial" w:cs="Arial" w:eastAsia="Arial" w:hAnsi="Arial"/>
                  <w:sz w:val="18"/>
                  <w:szCs w:val="18"/>
                  <w:color w:val="0000EE"/>
                  <w:w w:val="97"/>
                </w:rPr>
                <w:t>Section 4.1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6">
              <w:r>
                <w:rPr>
                  <w:rFonts w:ascii="Arial" w:cs="Arial" w:eastAsia="Arial" w:hAnsi="Arial"/>
                  <w:sz w:val="18"/>
                  <w:szCs w:val="18"/>
                  <w:i w:val="1"/>
                  <w:iCs w:val="1"/>
                  <w:color w:val="0000EE"/>
                </w:rPr>
                <w:t>List of Holders.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Section 4.2</w:t>
              </w:r>
            </w:hyperlink>
          </w:p>
        </w:tc>
        <w:tc>
          <w:tcPr>
            <w:tcW w:w="6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10"/>
            <w:vMerge w:val="restart"/>
          </w:tcPr>
          <w:p>
            <w:pPr>
              <w:spacing w:after="0"/>
              <w:rPr>
                <w:rFonts w:ascii="Arial" w:cs="Arial" w:eastAsia="Arial" w:hAnsi="Arial"/>
                <w:sz w:val="18"/>
                <w:szCs w:val="18"/>
                <w:i w:val="1"/>
                <w:iCs w:val="1"/>
                <w:color w:val="0000EE"/>
              </w:rPr>
            </w:pPr>
            <w:hyperlink w:anchor="page507">
              <w:r>
                <w:rPr>
                  <w:rFonts w:ascii="Arial" w:cs="Arial" w:eastAsia="Arial" w:hAnsi="Arial"/>
                  <w:sz w:val="18"/>
                  <w:szCs w:val="18"/>
                  <w:i w:val="1"/>
                  <w:iCs w:val="1"/>
                  <w:color w:val="0000EE"/>
                </w:rPr>
                <w:t>TIGIT.</w:t>
              </w:r>
            </w:hyperlink>
          </w:p>
        </w:tc>
        <w:tc>
          <w:tcPr>
            <w:tcW w:w="6040" w:type="dxa"/>
            <w:vAlign w:val="bottom"/>
            <w:gridSpan w:val="2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10"/>
            <w:vMerge w:val="continue"/>
          </w:tcPr>
          <w:p>
            <w:pPr>
              <w:spacing w:after="0"/>
              <w:rPr>
                <w:sz w:val="15"/>
                <w:szCs w:val="15"/>
                <w:color w:val="auto"/>
              </w:rPr>
            </w:pPr>
          </w:p>
        </w:tc>
        <w:tc>
          <w:tcPr>
            <w:tcW w:w="6040" w:type="dxa"/>
            <w:vAlign w:val="bottom"/>
            <w:gridSpan w:val="2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Section 4.3</w:t>
              </w:r>
            </w:hyperlink>
          </w:p>
        </w:tc>
        <w:tc>
          <w:tcPr>
            <w:tcW w:w="640" w:type="dxa"/>
            <w:vAlign w:val="bottom"/>
          </w:tcPr>
          <w:p>
            <w:pPr>
              <w:spacing w:after="0"/>
              <w:rPr>
                <w:sz w:val="15"/>
                <w:szCs w:val="15"/>
                <w:color w:val="auto"/>
              </w:rPr>
            </w:pPr>
          </w:p>
        </w:tc>
        <w:tc>
          <w:tcPr>
            <w:tcW w:w="500" w:type="dxa"/>
            <w:vAlign w:val="bottom"/>
            <w:tcBorders>
              <w:top w:val="single" w:sz="8" w:color="0000EE"/>
              <w:bottom w:val="single" w:sz="8" w:color="0000EE"/>
            </w:tcBorders>
            <w:gridSpan w:val="5"/>
            <w:vMerge w:val="restart"/>
          </w:tcPr>
          <w:p>
            <w:pPr>
              <w:spacing w:after="0"/>
              <w:rPr>
                <w:rFonts w:ascii="Arial" w:cs="Arial" w:eastAsia="Arial" w:hAnsi="Arial"/>
                <w:sz w:val="18"/>
                <w:szCs w:val="18"/>
                <w:i w:val="1"/>
                <w:iCs w:val="1"/>
                <w:color w:val="0000EE"/>
              </w:rPr>
            </w:pPr>
            <w:hyperlink w:anchor="page507">
              <w:r>
                <w:rPr>
                  <w:rFonts w:ascii="Arial" w:cs="Arial" w:eastAsia="Arial" w:hAnsi="Arial"/>
                  <w:sz w:val="18"/>
                  <w:szCs w:val="18"/>
                  <w:i w:val="1"/>
                  <w:iCs w:val="1"/>
                  <w:color w:val="0000EE"/>
                </w:rPr>
                <w:t>NAVI.</w:t>
              </w:r>
            </w:hyperlink>
          </w:p>
        </w:tc>
        <w:tc>
          <w:tcPr>
            <w:tcW w:w="6740" w:type="dxa"/>
            <w:vAlign w:val="bottom"/>
            <w:gridSpan w:val="31"/>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5"/>
            <w:vMerge w:val="continue"/>
          </w:tcPr>
          <w:p>
            <w:pPr>
              <w:spacing w:after="0"/>
              <w:rPr>
                <w:sz w:val="15"/>
                <w:szCs w:val="15"/>
                <w:color w:val="auto"/>
              </w:rPr>
            </w:pPr>
          </w:p>
        </w:tc>
        <w:tc>
          <w:tcPr>
            <w:tcW w:w="6740" w:type="dxa"/>
            <w:vAlign w:val="bottom"/>
            <w:gridSpan w:val="31"/>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vMerge w:val="restart"/>
          </w:tcPr>
          <w:p>
            <w:pPr>
              <w:spacing w:after="0" w:line="202" w:lineRule="exact"/>
              <w:rPr>
                <w:rFonts w:ascii="Arial" w:cs="Arial" w:eastAsia="Arial" w:hAnsi="Arial"/>
                <w:sz w:val="18"/>
                <w:szCs w:val="18"/>
                <w:color w:val="0000EE"/>
                <w:w w:val="97"/>
              </w:rPr>
            </w:pPr>
            <w:hyperlink w:anchor="page508">
              <w:r>
                <w:rPr>
                  <w:rFonts w:ascii="Arial" w:cs="Arial" w:eastAsia="Arial" w:hAnsi="Arial"/>
                  <w:sz w:val="18"/>
                  <w:szCs w:val="18"/>
                  <w:color w:val="0000EE"/>
                  <w:w w:val="97"/>
                </w:rPr>
                <w:t>Section 4.4</w:t>
              </w:r>
            </w:hyperlink>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B-</w:t>
            </w: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Borders>
              <w:bottom w:val="single" w:sz="8" w:color="0000EE"/>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8">
              <w:r>
                <w:rPr>
                  <w:rFonts w:ascii="Arial" w:cs="Arial" w:eastAsia="Arial" w:hAnsi="Arial"/>
                  <w:sz w:val="18"/>
                  <w:szCs w:val="18"/>
                  <w:i w:val="1"/>
                  <w:iCs w:val="1"/>
                  <w:color w:val="0000EE"/>
                </w:rPr>
                <w:t>Prohibited Actions.</w:t>
              </w:r>
            </w:hyperlink>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8">
              <w:r>
                <w:rPr>
                  <w:rFonts w:ascii="Arial" w:cs="Arial" w:eastAsia="Arial" w:hAnsi="Arial"/>
                  <w:sz w:val="18"/>
                  <w:szCs w:val="18"/>
                  <w:color w:val="0000EE"/>
                </w:rPr>
                <w:t>ARTICLE 5 AMENDMENTS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8">
              <w:r>
                <w:rPr>
                  <w:rFonts w:ascii="Arial" w:cs="Arial" w:eastAsia="Arial" w:hAnsi="Arial"/>
                  <w:sz w:val="18"/>
                  <w:szCs w:val="18"/>
                  <w:color w:val="0000EE"/>
                  <w:w w:val="97"/>
                </w:rPr>
                <w:t>Section 5.1</w:t>
              </w:r>
            </w:hyperlink>
          </w:p>
        </w:tc>
        <w:tc>
          <w:tcPr>
            <w:tcW w:w="640" w:type="dxa"/>
            <w:vAlign w:val="bottom"/>
          </w:tcPr>
          <w:p>
            <w:pPr>
              <w:spacing w:after="0"/>
              <w:rPr>
                <w:sz w:val="15"/>
                <w:szCs w:val="15"/>
                <w:color w:val="auto"/>
              </w:rPr>
            </w:pPr>
          </w:p>
        </w:tc>
        <w:tc>
          <w:tcPr>
            <w:tcW w:w="4660" w:type="dxa"/>
            <w:vAlign w:val="bottom"/>
            <w:gridSpan w:val="32"/>
            <w:vMerge w:val="restart"/>
          </w:tcPr>
          <w:p>
            <w:pPr>
              <w:spacing w:after="0"/>
              <w:rPr>
                <w:rFonts w:ascii="Arial" w:cs="Arial" w:eastAsia="Arial" w:hAnsi="Arial"/>
                <w:sz w:val="18"/>
                <w:szCs w:val="18"/>
                <w:i w:val="1"/>
                <w:iCs w:val="1"/>
                <w:color w:val="0000EE"/>
                <w:w w:val="99"/>
              </w:rPr>
            </w:pPr>
            <w:hyperlink w:anchor="page508">
              <w:r>
                <w:rPr>
                  <w:rFonts w:ascii="Arial" w:cs="Arial" w:eastAsia="Arial" w:hAnsi="Arial"/>
                  <w:sz w:val="18"/>
                  <w:szCs w:val="18"/>
                  <w:i w:val="1"/>
                  <w:iCs w:val="1"/>
                  <w:color w:val="0000EE"/>
                  <w:w w:val="99"/>
                </w:rPr>
                <w:t>Amendments Without Consent of Holders or Rights Agent.</w:t>
              </w:r>
            </w:hyperlink>
          </w:p>
        </w:tc>
        <w:tc>
          <w:tcPr>
            <w:tcW w:w="2580" w:type="dxa"/>
            <w:vAlign w:val="bottom"/>
            <w:gridSpan w:val="4"/>
            <w:vMerge w:val="restart"/>
          </w:tcPr>
          <w:p>
            <w:pPr>
              <w:spacing w:after="0"/>
              <w:rPr>
                <w:sz w:val="15"/>
                <w:szCs w:val="15"/>
                <w:color w:val="auto"/>
              </w:rPr>
            </w:pPr>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60" w:type="dxa"/>
            <w:vAlign w:val="bottom"/>
            <w:tcBorders>
              <w:bottom w:val="single" w:sz="8" w:color="0000EE"/>
            </w:tcBorders>
            <w:gridSpan w:val="32"/>
            <w:vMerge w:val="continue"/>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5.2</w:t>
              </w:r>
            </w:hyperlink>
          </w:p>
        </w:tc>
        <w:tc>
          <w:tcPr>
            <w:tcW w:w="640" w:type="dxa"/>
            <w:vAlign w:val="bottom"/>
          </w:tcPr>
          <w:p>
            <w:pPr>
              <w:spacing w:after="0"/>
              <w:rPr>
                <w:sz w:val="15"/>
                <w:szCs w:val="15"/>
                <w:color w:val="auto"/>
              </w:rPr>
            </w:pPr>
          </w:p>
        </w:tc>
        <w:tc>
          <w:tcPr>
            <w:tcW w:w="3080" w:type="dxa"/>
            <w:vAlign w:val="bottom"/>
            <w:gridSpan w:val="26"/>
            <w:vMerge w:val="restart"/>
          </w:tcPr>
          <w:p>
            <w:pPr>
              <w:spacing w:after="0"/>
              <w:rPr>
                <w:rFonts w:ascii="Arial" w:cs="Arial" w:eastAsia="Arial" w:hAnsi="Arial"/>
                <w:sz w:val="18"/>
                <w:szCs w:val="18"/>
                <w:i w:val="1"/>
                <w:iCs w:val="1"/>
                <w:color w:val="0000EE"/>
                <w:w w:val="99"/>
              </w:rPr>
            </w:pPr>
            <w:hyperlink w:anchor="page509">
              <w:r>
                <w:rPr>
                  <w:rFonts w:ascii="Arial" w:cs="Arial" w:eastAsia="Arial" w:hAnsi="Arial"/>
                  <w:sz w:val="18"/>
                  <w:szCs w:val="18"/>
                  <w:i w:val="1"/>
                  <w:iCs w:val="1"/>
                  <w:color w:val="0000EE"/>
                  <w:w w:val="99"/>
                </w:rPr>
                <w:t>Amendments with Consent of Holders.</w:t>
              </w:r>
            </w:hyperlink>
          </w:p>
        </w:tc>
        <w:tc>
          <w:tcPr>
            <w:tcW w:w="4160" w:type="dxa"/>
            <w:vAlign w:val="bottom"/>
            <w:gridSpan w:val="10"/>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Borders>
              <w:bottom w:val="single" w:sz="8" w:color="0000EE"/>
            </w:tcBorders>
            <w:gridSpan w:val="26"/>
            <w:vMerge w:val="continue"/>
          </w:tcPr>
          <w:p>
            <w:pPr>
              <w:spacing w:after="0"/>
              <w:rPr>
                <w:sz w:val="15"/>
                <w:szCs w:val="15"/>
                <w:color w:val="auto"/>
              </w:rPr>
            </w:pPr>
          </w:p>
        </w:tc>
        <w:tc>
          <w:tcPr>
            <w:tcW w:w="4160" w:type="dxa"/>
            <w:vAlign w:val="bottom"/>
            <w:gridSpan w:val="10"/>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5.3</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9">
              <w:r>
                <w:rPr>
                  <w:rFonts w:ascii="Arial" w:cs="Arial" w:eastAsia="Arial" w:hAnsi="Arial"/>
                  <w:sz w:val="18"/>
                  <w:szCs w:val="18"/>
                  <w:i w:val="1"/>
                  <w:iCs w:val="1"/>
                  <w:color w:val="0000EE"/>
                </w:rPr>
                <w:t>Effect of Amendments.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9">
              <w:r>
                <w:rPr>
                  <w:rFonts w:ascii="Arial" w:cs="Arial" w:eastAsia="Arial" w:hAnsi="Arial"/>
                  <w:sz w:val="18"/>
                  <w:szCs w:val="18"/>
                  <w:color w:val="0000EE"/>
                </w:rPr>
                <w:t>ARTICLE 6 CONSOLIDATION, MERGER, SALE OR CONVEYANCE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6.1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9">
              <w:r>
                <w:rPr>
                  <w:rFonts w:ascii="Arial" w:cs="Arial" w:eastAsia="Arial" w:hAnsi="Arial"/>
                  <w:sz w:val="18"/>
                  <w:szCs w:val="18"/>
                  <w:i w:val="1"/>
                  <w:iCs w:val="1"/>
                  <w:color w:val="0000EE"/>
                </w:rPr>
                <w:t>Milan May Not Consolidate, Etc.</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6.2</w:t>
              </w:r>
            </w:hyperlink>
          </w:p>
        </w:tc>
        <w:tc>
          <w:tcPr>
            <w:tcW w:w="64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23"/>
            <w:vMerge w:val="restart"/>
          </w:tcPr>
          <w:p>
            <w:pPr>
              <w:spacing w:after="0"/>
              <w:rPr>
                <w:rFonts w:ascii="Arial" w:cs="Arial" w:eastAsia="Arial" w:hAnsi="Arial"/>
                <w:sz w:val="18"/>
                <w:szCs w:val="18"/>
                <w:i w:val="1"/>
                <w:iCs w:val="1"/>
                <w:color w:val="0000EE"/>
              </w:rPr>
            </w:pPr>
            <w:hyperlink w:anchor="page509">
              <w:r>
                <w:rPr>
                  <w:rFonts w:ascii="Arial" w:cs="Arial" w:eastAsia="Arial" w:hAnsi="Arial"/>
                  <w:sz w:val="18"/>
                  <w:szCs w:val="18"/>
                  <w:i w:val="1"/>
                  <w:iCs w:val="1"/>
                  <w:color w:val="0000EE"/>
                </w:rPr>
                <w:t>Successor Substituted.</w:t>
              </w:r>
            </w:hyperlink>
          </w:p>
        </w:tc>
        <w:tc>
          <w:tcPr>
            <w:tcW w:w="4680" w:type="dxa"/>
            <w:vAlign w:val="bottom"/>
            <w:gridSpan w:val="13"/>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gridSpan w:val="23"/>
            <w:vMerge w:val="continue"/>
          </w:tcPr>
          <w:p>
            <w:pPr>
              <w:spacing w:after="0"/>
              <w:rPr>
                <w:sz w:val="15"/>
                <w:szCs w:val="15"/>
                <w:color w:val="auto"/>
              </w:rPr>
            </w:pPr>
          </w:p>
        </w:tc>
        <w:tc>
          <w:tcPr>
            <w:tcW w:w="4680" w:type="dxa"/>
            <w:vAlign w:val="bottom"/>
            <w:gridSpan w:val="13"/>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10">
              <w:r>
                <w:rPr>
                  <w:rFonts w:ascii="Arial" w:cs="Arial" w:eastAsia="Arial" w:hAnsi="Arial"/>
                  <w:sz w:val="18"/>
                  <w:szCs w:val="18"/>
                  <w:color w:val="0000EE"/>
                </w:rPr>
                <w:t>ARTICLE 7 MISCELLANEOUS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7.1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0">
              <w:r>
                <w:rPr>
                  <w:rFonts w:ascii="Arial" w:cs="Arial" w:eastAsia="Arial" w:hAnsi="Arial"/>
                  <w:sz w:val="18"/>
                  <w:szCs w:val="18"/>
                  <w:i w:val="1"/>
                  <w:iCs w:val="1"/>
                  <w:color w:val="0000EE"/>
                </w:rPr>
                <w:t>Notices to Rights Agent and to Milan.</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7.2</w:t>
              </w:r>
            </w:hyperlink>
          </w:p>
        </w:tc>
        <w:tc>
          <w:tcPr>
            <w:tcW w:w="6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13"/>
            <w:vMerge w:val="restart"/>
          </w:tcPr>
          <w:p>
            <w:pPr>
              <w:spacing w:after="0"/>
              <w:rPr>
                <w:rFonts w:ascii="Arial" w:cs="Arial" w:eastAsia="Arial" w:hAnsi="Arial"/>
                <w:sz w:val="18"/>
                <w:szCs w:val="18"/>
                <w:i w:val="1"/>
                <w:iCs w:val="1"/>
                <w:color w:val="0000EE"/>
                <w:w w:val="99"/>
              </w:rPr>
            </w:pPr>
            <w:hyperlink w:anchor="page510">
              <w:r>
                <w:rPr>
                  <w:rFonts w:ascii="Arial" w:cs="Arial" w:eastAsia="Arial" w:hAnsi="Arial"/>
                  <w:sz w:val="18"/>
                  <w:szCs w:val="18"/>
                  <w:i w:val="1"/>
                  <w:iCs w:val="1"/>
                  <w:color w:val="0000EE"/>
                  <w:w w:val="99"/>
                </w:rPr>
                <w:t>Notice to Holders.</w:t>
              </w:r>
            </w:hyperlink>
          </w:p>
        </w:tc>
        <w:tc>
          <w:tcPr>
            <w:tcW w:w="1520" w:type="dxa"/>
            <w:vAlign w:val="bottom"/>
            <w:tcBorders>
              <w:top w:val="single" w:sz="8" w:color="0000EE"/>
              <w:bottom w:val="single" w:sz="8" w:color="0000EE"/>
            </w:tcBorders>
            <w:gridSpan w:val="12"/>
            <w:vMerge w:val="restart"/>
          </w:tcPr>
          <w:p>
            <w:pPr>
              <w:spacing w:after="0"/>
              <w:rPr>
                <w:sz w:val="15"/>
                <w:szCs w:val="15"/>
                <w:color w:val="auto"/>
              </w:rPr>
            </w:pPr>
          </w:p>
        </w:tc>
        <w:tc>
          <w:tcPr>
            <w:tcW w:w="4280" w:type="dxa"/>
            <w:vAlign w:val="bottom"/>
            <w:gridSpan w:val="11"/>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Borders>
              <w:bottom w:val="single" w:sz="8" w:color="0000EE"/>
            </w:tcBorders>
            <w:gridSpan w:val="13"/>
            <w:vMerge w:val="continue"/>
          </w:tcPr>
          <w:p>
            <w:pPr>
              <w:spacing w:after="0"/>
              <w:rPr>
                <w:sz w:val="15"/>
                <w:szCs w:val="15"/>
                <w:color w:val="auto"/>
              </w:rPr>
            </w:pPr>
          </w:p>
        </w:tc>
        <w:tc>
          <w:tcPr>
            <w:tcW w:w="1520" w:type="dxa"/>
            <w:vAlign w:val="bottom"/>
            <w:gridSpan w:val="12"/>
            <w:vMerge w:val="continue"/>
          </w:tcPr>
          <w:p>
            <w:pPr>
              <w:spacing w:after="0"/>
              <w:rPr>
                <w:sz w:val="15"/>
                <w:szCs w:val="15"/>
                <w:color w:val="auto"/>
              </w:rPr>
            </w:pPr>
          </w:p>
        </w:tc>
        <w:tc>
          <w:tcPr>
            <w:tcW w:w="4280" w:type="dxa"/>
            <w:vAlign w:val="bottom"/>
            <w:gridSpan w:val="11"/>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7.3</w:t>
              </w:r>
            </w:hyperlink>
          </w:p>
        </w:tc>
        <w:tc>
          <w:tcPr>
            <w:tcW w:w="640" w:type="dxa"/>
            <w:vAlign w:val="bottom"/>
          </w:tcPr>
          <w:p>
            <w:pPr>
              <w:spacing w:after="0"/>
              <w:rPr>
                <w:sz w:val="15"/>
                <w:szCs w:val="15"/>
                <w:color w:val="auto"/>
              </w:rPr>
            </w:pPr>
          </w:p>
        </w:tc>
        <w:tc>
          <w:tcPr>
            <w:tcW w:w="1500" w:type="dxa"/>
            <w:vAlign w:val="bottom"/>
            <w:gridSpan w:val="14"/>
            <w:vMerge w:val="restart"/>
          </w:tcPr>
          <w:p>
            <w:pPr>
              <w:spacing w:after="0"/>
              <w:rPr>
                <w:rFonts w:ascii="Arial" w:cs="Arial" w:eastAsia="Arial" w:hAnsi="Arial"/>
                <w:sz w:val="18"/>
                <w:szCs w:val="18"/>
                <w:i w:val="1"/>
                <w:iCs w:val="1"/>
                <w:color w:val="0000EE"/>
              </w:rPr>
            </w:pPr>
            <w:hyperlink w:anchor="page510">
              <w:r>
                <w:rPr>
                  <w:rFonts w:ascii="Arial" w:cs="Arial" w:eastAsia="Arial" w:hAnsi="Arial"/>
                  <w:sz w:val="18"/>
                  <w:szCs w:val="18"/>
                  <w:i w:val="1"/>
                  <w:iCs w:val="1"/>
                  <w:color w:val="0000EE"/>
                </w:rPr>
                <w:t>Entire Agreement.</w:t>
              </w:r>
            </w:hyperlink>
          </w:p>
        </w:tc>
        <w:tc>
          <w:tcPr>
            <w:tcW w:w="5740" w:type="dxa"/>
            <w:vAlign w:val="bottom"/>
            <w:gridSpan w:val="2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Borders>
              <w:bottom w:val="single" w:sz="8" w:color="0000EE"/>
            </w:tcBorders>
            <w:gridSpan w:val="14"/>
            <w:vMerge w:val="continue"/>
          </w:tcPr>
          <w:p>
            <w:pPr>
              <w:spacing w:after="0"/>
              <w:rPr>
                <w:sz w:val="15"/>
                <w:szCs w:val="15"/>
                <w:color w:val="auto"/>
              </w:rPr>
            </w:pPr>
          </w:p>
        </w:tc>
        <w:tc>
          <w:tcPr>
            <w:tcW w:w="5740" w:type="dxa"/>
            <w:vAlign w:val="bottom"/>
            <w:gridSpan w:val="2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7.4</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1">
              <w:r>
                <w:rPr>
                  <w:rFonts w:ascii="Arial" w:cs="Arial" w:eastAsia="Arial" w:hAnsi="Arial"/>
                  <w:sz w:val="18"/>
                  <w:szCs w:val="18"/>
                  <w:i w:val="1"/>
                  <w:iCs w:val="1"/>
                  <w:color w:val="0000EE"/>
                </w:rPr>
                <w:t>Merger or Consolidation or Change of Name of Rights Agent.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7.5</w:t>
              </w:r>
            </w:hyperlink>
          </w:p>
        </w:tc>
        <w:tc>
          <w:tcPr>
            <w:tcW w:w="64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20"/>
            <w:vMerge w:val="restart"/>
          </w:tcPr>
          <w:p>
            <w:pPr>
              <w:spacing w:after="0"/>
              <w:rPr>
                <w:rFonts w:ascii="Arial" w:cs="Arial" w:eastAsia="Arial" w:hAnsi="Arial"/>
                <w:sz w:val="18"/>
                <w:szCs w:val="18"/>
                <w:i w:val="1"/>
                <w:iCs w:val="1"/>
                <w:color w:val="0000EE"/>
                <w:w w:val="99"/>
              </w:rPr>
            </w:pPr>
            <w:hyperlink w:anchor="page511">
              <w:r>
                <w:rPr>
                  <w:rFonts w:ascii="Arial" w:cs="Arial" w:eastAsia="Arial" w:hAnsi="Arial"/>
                  <w:sz w:val="18"/>
                  <w:szCs w:val="18"/>
                  <w:i w:val="1"/>
                  <w:iCs w:val="1"/>
                  <w:color w:val="0000EE"/>
                  <w:w w:val="99"/>
                </w:rPr>
                <w:t>Successors and Assigns.</w:t>
              </w:r>
            </w:hyperlink>
          </w:p>
        </w:tc>
        <w:tc>
          <w:tcPr>
            <w:tcW w:w="2860" w:type="dxa"/>
            <w:vAlign w:val="bottom"/>
            <w:tcBorders>
              <w:top w:val="single" w:sz="8" w:color="0000EE"/>
              <w:bottom w:val="single" w:sz="8" w:color="0000EE"/>
            </w:tcBorders>
            <w:gridSpan w:val="13"/>
            <w:vMerge w:val="restart"/>
          </w:tcPr>
          <w:p>
            <w:pPr>
              <w:spacing w:after="0"/>
              <w:rPr>
                <w:sz w:val="15"/>
                <w:szCs w:val="15"/>
                <w:color w:val="auto"/>
              </w:rPr>
            </w:pPr>
          </w:p>
        </w:tc>
        <w:tc>
          <w:tcPr>
            <w:tcW w:w="2360" w:type="dxa"/>
            <w:vAlign w:val="bottom"/>
            <w:gridSpan w:val="3"/>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tcBorders>
              <w:bottom w:val="single" w:sz="8" w:color="0000EE"/>
            </w:tcBorders>
            <w:gridSpan w:val="20"/>
            <w:vMerge w:val="continue"/>
          </w:tcPr>
          <w:p>
            <w:pPr>
              <w:spacing w:after="0"/>
              <w:rPr>
                <w:sz w:val="15"/>
                <w:szCs w:val="15"/>
                <w:color w:val="auto"/>
              </w:rPr>
            </w:pPr>
          </w:p>
        </w:tc>
        <w:tc>
          <w:tcPr>
            <w:tcW w:w="2860" w:type="dxa"/>
            <w:vAlign w:val="bottom"/>
            <w:gridSpan w:val="13"/>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7.6</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1">
              <w:r>
                <w:rPr>
                  <w:rFonts w:ascii="Arial" w:cs="Arial" w:eastAsia="Arial" w:hAnsi="Arial"/>
                  <w:sz w:val="18"/>
                  <w:szCs w:val="18"/>
                  <w:i w:val="1"/>
                  <w:iCs w:val="1"/>
                  <w:color w:val="0000EE"/>
                </w:rPr>
                <w:t>Benefits of Agreement; Action by Majority of Holders.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7.7</w:t>
              </w:r>
            </w:hyperlink>
          </w:p>
        </w:tc>
        <w:tc>
          <w:tcPr>
            <w:tcW w:w="64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11"/>
            <w:vMerge w:val="restart"/>
          </w:tcPr>
          <w:p>
            <w:pPr>
              <w:spacing w:after="0"/>
              <w:rPr>
                <w:rFonts w:ascii="Arial" w:cs="Arial" w:eastAsia="Arial" w:hAnsi="Arial"/>
                <w:sz w:val="18"/>
                <w:szCs w:val="18"/>
                <w:i w:val="1"/>
                <w:iCs w:val="1"/>
                <w:color w:val="0000EE"/>
                <w:w w:val="98"/>
              </w:rPr>
            </w:pPr>
            <w:hyperlink w:anchor="page511">
              <w:r>
                <w:rPr>
                  <w:rFonts w:ascii="Arial" w:cs="Arial" w:eastAsia="Arial" w:hAnsi="Arial"/>
                  <w:sz w:val="18"/>
                  <w:szCs w:val="18"/>
                  <w:i w:val="1"/>
                  <w:iCs w:val="1"/>
                  <w:color w:val="0000EE"/>
                  <w:w w:val="98"/>
                </w:rPr>
                <w:t>Governing Law.</w:t>
              </w:r>
            </w:hyperlink>
          </w:p>
        </w:tc>
        <w:tc>
          <w:tcPr>
            <w:tcW w:w="2960" w:type="dxa"/>
            <w:vAlign w:val="bottom"/>
            <w:tcBorders>
              <w:top w:val="single" w:sz="8" w:color="0000EE"/>
              <w:bottom w:val="single" w:sz="8" w:color="0000EE"/>
            </w:tcBorders>
            <w:gridSpan w:val="19"/>
            <w:vMerge w:val="restart"/>
          </w:tcPr>
          <w:p>
            <w:pPr>
              <w:spacing w:after="0"/>
              <w:rPr>
                <w:sz w:val="15"/>
                <w:szCs w:val="15"/>
                <w:color w:val="auto"/>
              </w:rPr>
            </w:pPr>
          </w:p>
        </w:tc>
        <w:tc>
          <w:tcPr>
            <w:tcW w:w="3020" w:type="dxa"/>
            <w:vAlign w:val="bottom"/>
            <w:gridSpan w:val="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Borders>
              <w:bottom w:val="single" w:sz="8" w:color="0000EE"/>
            </w:tcBorders>
            <w:gridSpan w:val="11"/>
            <w:vMerge w:val="continue"/>
          </w:tcPr>
          <w:p>
            <w:pPr>
              <w:spacing w:after="0"/>
              <w:rPr>
                <w:sz w:val="15"/>
                <w:szCs w:val="15"/>
                <w:color w:val="auto"/>
              </w:rPr>
            </w:pPr>
          </w:p>
        </w:tc>
        <w:tc>
          <w:tcPr>
            <w:tcW w:w="2960" w:type="dxa"/>
            <w:vAlign w:val="bottom"/>
            <w:gridSpan w:val="19"/>
            <w:vMerge w:val="continue"/>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7.8</w:t>
              </w:r>
            </w:hyperlink>
          </w:p>
        </w:tc>
        <w:tc>
          <w:tcPr>
            <w:tcW w:w="640" w:type="dxa"/>
            <w:vAlign w:val="bottom"/>
          </w:tcPr>
          <w:p>
            <w:pPr>
              <w:spacing w:after="0"/>
              <w:rPr>
                <w:sz w:val="15"/>
                <w:szCs w:val="15"/>
                <w:color w:val="auto"/>
              </w:rPr>
            </w:pPr>
          </w:p>
        </w:tc>
        <w:tc>
          <w:tcPr>
            <w:tcW w:w="960" w:type="dxa"/>
            <w:vAlign w:val="bottom"/>
            <w:gridSpan w:val="9"/>
            <w:vMerge w:val="restart"/>
          </w:tcPr>
          <w:p>
            <w:pPr>
              <w:spacing w:after="0"/>
              <w:rPr>
                <w:rFonts w:ascii="Arial" w:cs="Arial" w:eastAsia="Arial" w:hAnsi="Arial"/>
                <w:sz w:val="18"/>
                <w:szCs w:val="18"/>
                <w:i w:val="1"/>
                <w:iCs w:val="1"/>
                <w:color w:val="0000EE"/>
                <w:w w:val="98"/>
              </w:rPr>
            </w:pPr>
            <w:hyperlink w:anchor="page511">
              <w:r>
                <w:rPr>
                  <w:rFonts w:ascii="Arial" w:cs="Arial" w:eastAsia="Arial" w:hAnsi="Arial"/>
                  <w:sz w:val="18"/>
                  <w:szCs w:val="18"/>
                  <w:i w:val="1"/>
                  <w:iCs w:val="1"/>
                  <w:color w:val="0000EE"/>
                  <w:w w:val="98"/>
                </w:rPr>
                <w:t>Jurisdiction.</w:t>
              </w:r>
            </w:hyperlink>
          </w:p>
        </w:tc>
        <w:tc>
          <w:tcPr>
            <w:tcW w:w="6280" w:type="dxa"/>
            <w:vAlign w:val="bottom"/>
            <w:gridSpan w:val="27"/>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bottom w:val="single" w:sz="8" w:color="0000EE"/>
            </w:tcBorders>
            <w:gridSpan w:val="9"/>
            <w:vMerge w:val="continue"/>
          </w:tcPr>
          <w:p>
            <w:pPr>
              <w:spacing w:after="0"/>
              <w:rPr>
                <w:sz w:val="15"/>
                <w:szCs w:val="15"/>
                <w:color w:val="auto"/>
              </w:rPr>
            </w:pPr>
          </w:p>
        </w:tc>
        <w:tc>
          <w:tcPr>
            <w:tcW w:w="6280" w:type="dxa"/>
            <w:vAlign w:val="bottom"/>
            <w:gridSpan w:val="27"/>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0" w:gutter="0" w:footer="0" w:header="0"/>
        </w:sectPr>
      </w:pPr>
    </w:p>
    <w:bookmarkStart w:id="492" w:name="page493"/>
    <w:bookmarkEnd w:id="4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10"/>
          </w:tcPr>
          <w:p>
            <w:pPr>
              <w:spacing w:after="0"/>
              <w:rPr>
                <w:rFonts w:ascii="Arial" w:cs="Arial" w:eastAsia="Arial" w:hAnsi="Arial"/>
                <w:sz w:val="18"/>
                <w:szCs w:val="18"/>
                <w:color w:val="0000EE"/>
              </w:rPr>
            </w:pPr>
            <w:hyperlink w:anchor="page512">
              <w:r>
                <w:rPr>
                  <w:rFonts w:ascii="Arial" w:cs="Arial" w:eastAsia="Arial" w:hAnsi="Arial"/>
                  <w:sz w:val="18"/>
                  <w:szCs w:val="18"/>
                  <w:color w:val="0000EE"/>
                </w:rPr>
                <w:t>Section 7.9</w:t>
              </w:r>
            </w:hyperlink>
          </w:p>
        </w:tc>
        <w:tc>
          <w:tcPr>
            <w:tcW w:w="6200" w:type="dxa"/>
            <w:vAlign w:val="bottom"/>
          </w:tcPr>
          <w:p>
            <w:pPr>
              <w:jc w:val="right"/>
              <w:spacing w:after="0"/>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tcBorders>
              <w:bottom w:val="single" w:sz="8" w:color="0000EE"/>
            </w:tcBorders>
            <w:gridSpan w:val="5"/>
          </w:tcPr>
          <w:p>
            <w:pPr>
              <w:spacing w:after="0" w:line="182" w:lineRule="exact"/>
              <w:rPr>
                <w:rFonts w:ascii="Arial" w:cs="Arial" w:eastAsia="Arial" w:hAnsi="Arial"/>
                <w:sz w:val="18"/>
                <w:szCs w:val="18"/>
                <w:i w:val="1"/>
                <w:iCs w:val="1"/>
                <w:color w:val="0000EE"/>
                <w:w w:val="99"/>
              </w:rPr>
            </w:pPr>
            <w:hyperlink w:anchor="page512">
              <w:r>
                <w:rPr>
                  <w:rFonts w:ascii="Arial" w:cs="Arial" w:eastAsia="Arial" w:hAnsi="Arial"/>
                  <w:sz w:val="18"/>
                  <w:szCs w:val="18"/>
                  <w:i w:val="1"/>
                  <w:iCs w:val="1"/>
                  <w:color w:val="0000EE"/>
                  <w:w w:val="99"/>
                </w:rPr>
                <w:t>WAIVER OF JURY TRIAL.</w:t>
              </w:r>
            </w:hyperlink>
          </w:p>
        </w:tc>
        <w:tc>
          <w:tcPr>
            <w:tcW w:w="740" w:type="dxa"/>
            <w:vAlign w:val="bottom"/>
            <w:gridSpan w:val="2"/>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2">
              <w:r>
                <w:rPr>
                  <w:rFonts w:ascii="Arial" w:cs="Arial" w:eastAsia="Arial" w:hAnsi="Arial"/>
                  <w:sz w:val="18"/>
                  <w:szCs w:val="18"/>
                  <w:color w:val="0000EE"/>
                </w:rPr>
                <w:t>Section 7.10</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2" w:lineRule="exact"/>
              <w:rPr>
                <w:rFonts w:ascii="Arial" w:cs="Arial" w:eastAsia="Arial" w:hAnsi="Arial"/>
                <w:sz w:val="18"/>
                <w:szCs w:val="18"/>
                <w:i w:val="1"/>
                <w:iCs w:val="1"/>
                <w:color w:val="0000EE"/>
                <w:w w:val="99"/>
              </w:rPr>
            </w:pPr>
            <w:hyperlink w:anchor="page512">
              <w:r>
                <w:rPr>
                  <w:rFonts w:ascii="Arial" w:cs="Arial" w:eastAsia="Arial" w:hAnsi="Arial"/>
                  <w:sz w:val="18"/>
                  <w:szCs w:val="18"/>
                  <w:i w:val="1"/>
                  <w:iCs w:val="1"/>
                  <w:color w:val="0000EE"/>
                  <w:w w:val="99"/>
                </w:rPr>
                <w:t>Severability Clause.</w:t>
              </w:r>
            </w:hyperlink>
          </w:p>
        </w:tc>
        <w:tc>
          <w:tcPr>
            <w:tcW w:w="1280" w:type="dxa"/>
            <w:vAlign w:val="bottom"/>
            <w:gridSpan w:val="3"/>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2">
              <w:r>
                <w:rPr>
                  <w:rFonts w:ascii="Arial" w:cs="Arial" w:eastAsia="Arial" w:hAnsi="Arial"/>
                  <w:sz w:val="18"/>
                  <w:szCs w:val="18"/>
                  <w:color w:val="0000EE"/>
                </w:rPr>
                <w:t>Section 7.11</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2880" w:type="dxa"/>
            <w:vAlign w:val="bottom"/>
            <w:gridSpan w:val="7"/>
          </w:tcPr>
          <w:p>
            <w:pPr>
              <w:spacing w:after="0" w:line="182" w:lineRule="exact"/>
              <w:rPr>
                <w:rFonts w:ascii="Arial" w:cs="Arial" w:eastAsia="Arial" w:hAnsi="Arial"/>
                <w:sz w:val="18"/>
                <w:szCs w:val="18"/>
                <w:i w:val="1"/>
                <w:iCs w:val="1"/>
                <w:color w:val="0000EE"/>
              </w:rPr>
            </w:pPr>
            <w:hyperlink w:anchor="page512">
              <w:r>
                <w:rPr>
                  <w:rFonts w:ascii="Arial" w:cs="Arial" w:eastAsia="Arial" w:hAnsi="Arial"/>
                  <w:sz w:val="18"/>
                  <w:szCs w:val="18"/>
                  <w:i w:val="1"/>
                  <w:iCs w:val="1"/>
                  <w:color w:val="0000EE"/>
                </w:rPr>
                <w:t>Counterparts; Effectiveness.</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540" w:type="dxa"/>
            <w:vAlign w:val="bottom"/>
            <w:gridSpan w:val="3"/>
          </w:tcPr>
          <w:p>
            <w:pPr>
              <w:spacing w:after="0" w:line="182" w:lineRule="exact"/>
              <w:rPr>
                <w:rFonts w:ascii="Arial" w:cs="Arial" w:eastAsia="Arial" w:hAnsi="Arial"/>
                <w:sz w:val="18"/>
                <w:szCs w:val="18"/>
                <w:color w:val="0000EE"/>
              </w:rPr>
            </w:pPr>
            <w:hyperlink w:anchor="page512">
              <w:r>
                <w:rPr>
                  <w:rFonts w:ascii="Arial" w:cs="Arial" w:eastAsia="Arial" w:hAnsi="Arial"/>
                  <w:sz w:val="18"/>
                  <w:szCs w:val="18"/>
                  <w:color w:val="0000EE"/>
                </w:rPr>
                <w:t>Section 7.12</w:t>
              </w:r>
            </w:hyperlink>
          </w:p>
        </w:tc>
        <w:tc>
          <w:tcPr>
            <w:tcW w:w="2260" w:type="dxa"/>
            <w:vAlign w:val="bottom"/>
            <w:tcBorders>
              <w:top w:val="single" w:sz="8" w:color="0000EE"/>
            </w:tcBorders>
            <w:gridSpan w:val="6"/>
          </w:tcPr>
          <w:p>
            <w:pPr>
              <w:spacing w:after="0"/>
              <w:rPr>
                <w:sz w:val="15"/>
                <w:szCs w:val="15"/>
                <w:color w:val="auto"/>
              </w:rPr>
            </w:pPr>
          </w:p>
        </w:tc>
        <w:tc>
          <w:tcPr>
            <w:tcW w:w="620" w:type="dxa"/>
            <w:vAlign w:val="bottom"/>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Borders>
              <w:bottom w:val="single" w:sz="8" w:color="0000EE"/>
            </w:tcBorders>
          </w:tcPr>
          <w:p>
            <w:pPr>
              <w:spacing w:after="0" w:line="182" w:lineRule="exact"/>
              <w:rPr>
                <w:rFonts w:ascii="Arial" w:cs="Arial" w:eastAsia="Arial" w:hAnsi="Arial"/>
                <w:sz w:val="18"/>
                <w:szCs w:val="18"/>
                <w:i w:val="1"/>
                <w:iCs w:val="1"/>
                <w:color w:val="0000EE"/>
                <w:w w:val="97"/>
              </w:rPr>
            </w:pPr>
            <w:hyperlink w:anchor="page512">
              <w:r>
                <w:rPr>
                  <w:rFonts w:ascii="Arial" w:cs="Arial" w:eastAsia="Arial" w:hAnsi="Arial"/>
                  <w:sz w:val="18"/>
                  <w:szCs w:val="18"/>
                  <w:i w:val="1"/>
                  <w:iCs w:val="1"/>
                  <w:color w:val="0000EE"/>
                  <w:w w:val="97"/>
                </w:rPr>
                <w:t>Termination.</w:t>
              </w:r>
            </w:hyperlink>
          </w:p>
        </w:tc>
        <w:tc>
          <w:tcPr>
            <w:tcW w:w="1880" w:type="dxa"/>
            <w:vAlign w:val="bottom"/>
            <w:gridSpan w:val="6"/>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3">
              <w:r>
                <w:rPr>
                  <w:rFonts w:ascii="Arial" w:cs="Arial" w:eastAsia="Arial" w:hAnsi="Arial"/>
                  <w:sz w:val="18"/>
                  <w:szCs w:val="18"/>
                  <w:color w:val="0000EE"/>
                </w:rPr>
                <w:t>Section 7.13</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Borders>
              <w:bottom w:val="single" w:sz="8" w:color="0000EE"/>
            </w:tcBorders>
            <w:gridSpan w:val="3"/>
          </w:tcPr>
          <w:p>
            <w:pPr>
              <w:spacing w:after="0" w:line="182" w:lineRule="exact"/>
              <w:rPr>
                <w:rFonts w:ascii="Arial" w:cs="Arial" w:eastAsia="Arial" w:hAnsi="Arial"/>
                <w:sz w:val="18"/>
                <w:szCs w:val="18"/>
                <w:i w:val="1"/>
                <w:iCs w:val="1"/>
                <w:color w:val="0000EE"/>
                <w:w w:val="99"/>
              </w:rPr>
            </w:pPr>
            <w:hyperlink w:anchor="page513">
              <w:r>
                <w:rPr>
                  <w:rFonts w:ascii="Arial" w:cs="Arial" w:eastAsia="Arial" w:hAnsi="Arial"/>
                  <w:sz w:val="18"/>
                  <w:szCs w:val="18"/>
                  <w:i w:val="1"/>
                  <w:iCs w:val="1"/>
                  <w:color w:val="0000EE"/>
                  <w:w w:val="99"/>
                </w:rPr>
                <w:t>Force Majeure.</w:t>
              </w:r>
            </w:hyperlink>
          </w:p>
        </w:tc>
        <w:tc>
          <w:tcPr>
            <w:tcW w:w="1660" w:type="dxa"/>
            <w:vAlign w:val="bottom"/>
            <w:gridSpan w:val="4"/>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3">
              <w:r>
                <w:rPr>
                  <w:rFonts w:ascii="Arial" w:cs="Arial" w:eastAsia="Arial" w:hAnsi="Arial"/>
                  <w:sz w:val="18"/>
                  <w:szCs w:val="18"/>
                  <w:color w:val="0000EE"/>
                </w:rPr>
                <w:t>Section 7.14</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2880" w:type="dxa"/>
            <w:vAlign w:val="bottom"/>
            <w:gridSpan w:val="7"/>
          </w:tcPr>
          <w:p>
            <w:pPr>
              <w:spacing w:after="0" w:line="182" w:lineRule="exact"/>
              <w:rPr>
                <w:rFonts w:ascii="Arial" w:cs="Arial" w:eastAsia="Arial" w:hAnsi="Arial"/>
                <w:sz w:val="18"/>
                <w:szCs w:val="18"/>
                <w:i w:val="1"/>
                <w:iCs w:val="1"/>
                <w:color w:val="0000EE"/>
              </w:rPr>
            </w:pPr>
            <w:hyperlink w:anchor="page513">
              <w:r>
                <w:rPr>
                  <w:rFonts w:ascii="Arial" w:cs="Arial" w:eastAsia="Arial" w:hAnsi="Arial"/>
                  <w:sz w:val="18"/>
                  <w:szCs w:val="18"/>
                  <w:i w:val="1"/>
                  <w:iCs w:val="1"/>
                  <w:color w:val="0000EE"/>
                </w:rPr>
                <w:t>Construction.</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372"/>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tcPr>
          <w:p>
            <w:pPr>
              <w:jc w:val="right"/>
              <w:ind w:right="5230"/>
              <w:spacing w:after="0"/>
              <w:rPr>
                <w:sz w:val="20"/>
                <w:szCs w:val="20"/>
                <w:color w:val="auto"/>
              </w:rPr>
            </w:pPr>
            <w:r>
              <w:rPr>
                <w:rFonts w:ascii="Arial" w:cs="Arial" w:eastAsia="Arial" w:hAnsi="Arial"/>
                <w:sz w:val="18"/>
                <w:szCs w:val="18"/>
                <w:color w:val="auto"/>
              </w:rPr>
              <w:t>B-2</w:t>
            </w:r>
          </w:p>
        </w:tc>
      </w:tr>
    </w:tbl>
    <w:p>
      <w:pPr>
        <w:sectPr>
          <w:pgSz w:w="11900" w:h="16838" w:orient="portrait"/>
          <w:cols w:equalWidth="0" w:num="1">
            <w:col w:w="10620"/>
          </w:cols>
          <w:pgMar w:left="800" w:top="107" w:right="479" w:bottom="1440" w:gutter="0" w:footer="0" w:header="0"/>
        </w:sectPr>
      </w:pPr>
    </w:p>
    <w:bookmarkStart w:id="493" w:name="page494"/>
    <w:bookmarkEnd w:id="4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cente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Table of Contents</w:t>
              </w:r>
            </w:hyperlink>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19"/>
        </w:trPr>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Schedules:</w:t>
            </w:r>
          </w:p>
        </w:tc>
        <w:tc>
          <w:tcPr>
            <w:tcW w:w="1840" w:type="dxa"/>
            <w:vAlign w:val="bottom"/>
          </w:tcPr>
          <w:p>
            <w:pPr>
              <w:spacing w:after="0"/>
              <w:rPr>
                <w:sz w:val="24"/>
                <w:szCs w:val="24"/>
                <w:color w:val="auto"/>
              </w:rPr>
            </w:pPr>
          </w:p>
        </w:tc>
      </w:tr>
      <w:tr>
        <w:trPr>
          <w:trHeight w:val="203"/>
        </w:trPr>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Schedule A</w:t>
            </w: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w w:val="97"/>
              </w:rPr>
              <w:t>NAVI Team Members</w:t>
            </w:r>
          </w:p>
        </w:tc>
      </w:tr>
      <w:tr>
        <w:trPr>
          <w:trHeight w:val="203"/>
        </w:trPr>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Schedule B</w:t>
            </w: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rPr>
              <w:t>TIGIT Budget</w:t>
            </w:r>
          </w:p>
        </w:tc>
      </w:tr>
      <w:tr>
        <w:trPr>
          <w:trHeight w:val="217"/>
        </w:trPr>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rPr>
              <w:t>Schedule C</w:t>
            </w:r>
          </w:p>
        </w:tc>
        <w:tc>
          <w:tcPr>
            <w:tcW w:w="1840" w:type="dxa"/>
            <w:vAlign w:val="bottom"/>
          </w:tcPr>
          <w:p>
            <w:pPr>
              <w:ind w:left="140"/>
              <w:spacing w:after="0"/>
              <w:rPr>
                <w:sz w:val="20"/>
                <w:szCs w:val="20"/>
                <w:color w:val="auto"/>
              </w:rPr>
            </w:pPr>
            <w:r>
              <w:rPr>
                <w:rFonts w:ascii="Arial" w:cs="Arial" w:eastAsia="Arial" w:hAnsi="Arial"/>
                <w:sz w:val="18"/>
                <w:szCs w:val="18"/>
                <w:color w:val="auto"/>
              </w:rPr>
              <w:t>NAVI Budget</w:t>
            </w:r>
          </w:p>
        </w:tc>
      </w:tr>
    </w:tbl>
    <w:p>
      <w:pPr>
        <w:spacing w:after="0" w:line="13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219"/>
          </w:cols>
          <w:pgMar w:left="240" w:top="446" w:right="1440"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OF</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CONTINGENT VALUE RIGHTS AGREEMENT</w:t>
      </w:r>
      <w:r>
        <w:rPr>
          <w:rFonts w:ascii="Arial" w:cs="Arial" w:eastAsia="Arial" w:hAnsi="Arial"/>
          <w:sz w:val="15"/>
          <w:szCs w:val="15"/>
          <w:b w:val="1"/>
          <w:bCs w:val="1"/>
          <w:color w:val="auto"/>
        </w:rPr>
        <w:t>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CONTINGENT VALUE RIGHTS AGREEMENT</w:t>
      </w:r>
      <w:r>
        <w:rPr>
          <w:rFonts w:ascii="Arial" w:cs="Arial" w:eastAsia="Arial" w:hAnsi="Arial"/>
          <w:sz w:val="18"/>
          <w:szCs w:val="18"/>
          <w:color w:val="auto"/>
        </w:rPr>
        <w: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Mereo</w:t>
      </w:r>
    </w:p>
    <w:p>
      <w:pPr>
        <w:spacing w:after="0" w:line="31"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BioPharma Group plc, a public limited company incorporated under the laws of England and Wales (“</w:t>
      </w:r>
      <w:r>
        <w:rPr>
          <w:rFonts w:ascii="Arial" w:cs="Arial" w:eastAsia="Arial" w:hAnsi="Arial"/>
          <w:sz w:val="18"/>
          <w:szCs w:val="18"/>
          <w:u w:val="single" w:color="auto"/>
          <w:color w:val="auto"/>
        </w:rPr>
        <w:t>Milan</w:t>
      </w:r>
      <w:r>
        <w:rPr>
          <w:rFonts w:ascii="Arial" w:cs="Arial" w:eastAsia="Arial" w:hAnsi="Arial"/>
          <w:sz w:val="18"/>
          <w:szCs w:val="18"/>
          <w:color w:val="auto"/>
        </w:rPr>
        <w:t>”), and Computershare Inc., a Delaware corporation, as initial Rights Agent (as defined herein).</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PREAMBLE</w:t>
      </w:r>
    </w:p>
    <w:p>
      <w:pPr>
        <w:spacing w:after="0" w:line="234"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WHEREAS, Milan, Mereo US Holdings Inc., a Delaware corporation and direct wholly-owned subsidiary of Milan, and Mereo MergerCo One Inc., a Delaware corporation and indirect wholly-owned subsidiary of Milan (“</w:t>
      </w:r>
      <w:r>
        <w:rPr>
          <w:rFonts w:ascii="Arial" w:cs="Arial" w:eastAsia="Arial" w:hAnsi="Arial"/>
          <w:sz w:val="18"/>
          <w:szCs w:val="18"/>
          <w:u w:val="single" w:color="auto"/>
          <w:color w:val="auto"/>
        </w:rPr>
        <w:t>Merger Sub</w:t>
      </w:r>
      <w:r>
        <w:rPr>
          <w:rFonts w:ascii="Arial" w:cs="Arial" w:eastAsia="Arial" w:hAnsi="Arial"/>
          <w:sz w:val="18"/>
          <w:szCs w:val="18"/>
          <w:color w:val="auto"/>
        </w:rPr>
        <w:t>”), and OncoMed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have entered into an Agreement and Plan of Merger and Reorganization, dated as of December 5, 2018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wholly-owned indirect subsidiary of Milan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203"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WHEREAS, pursuant to the Merger Agreement, and in accordance with the terms and conditions thereof, Milan has agreed to provide to Holders (as defined herein) contingent value rights as hereinafter described;</w:t>
      </w:r>
    </w:p>
    <w:p>
      <w:pPr>
        <w:spacing w:after="0" w:line="197" w:lineRule="exact"/>
        <w:rPr>
          <w:sz w:val="20"/>
          <w:szCs w:val="20"/>
          <w:color w:val="auto"/>
        </w:rPr>
      </w:pPr>
    </w:p>
    <w:p>
      <w:pPr>
        <w:ind w:left="200" w:right="380" w:firstLine="441"/>
        <w:spacing w:after="0"/>
        <w:rPr>
          <w:sz w:val="20"/>
          <w:szCs w:val="20"/>
          <w:color w:val="auto"/>
        </w:rPr>
      </w:pPr>
      <w:r>
        <w:rPr>
          <w:rFonts w:ascii="Arial" w:cs="Arial" w:eastAsia="Arial" w:hAnsi="Arial"/>
          <w:sz w:val="18"/>
          <w:szCs w:val="18"/>
          <w:color w:val="auto"/>
        </w:rPr>
        <w:t>WHEREAS, the parties have done all things necessary to make the contingent value rights, when issued pursuant to the Merger Agreement and hereunder, the valid obligations of Milan and to make this Agreement a valid and binding agreement of Milan, in accordance with its terms; and</w:t>
      </w:r>
    </w:p>
    <w:p>
      <w:pPr>
        <w:spacing w:after="0" w:line="203"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NOW, THEREFORE, in consideration of the premises and the consummation of the transactions referred to above, it is mutually covenanted and agreed, for the proportionate benefit of all Holders, as follows: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p>
    <w:p>
      <w:pPr>
        <w:spacing w:after="0" w:line="230"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Capitalized terms used but not otherwise defined herein have the meanings ascribed thereto in the Merger Agreement. The following terms have the meanings ascribed to them as follows: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AIM</w:t>
      </w:r>
      <w:r>
        <w:rPr>
          <w:rFonts w:ascii="Arial" w:cs="Arial" w:eastAsia="Arial" w:hAnsi="Arial"/>
          <w:sz w:val="18"/>
          <w:szCs w:val="18"/>
          <w:color w:val="auto"/>
        </w:rPr>
        <w:t>” means the Alternative Investment Market operated by the London Stock Exchange.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 Cap</w:t>
      </w:r>
      <w:r>
        <w:rPr>
          <w:rFonts w:ascii="Arial" w:cs="Arial" w:eastAsia="Arial" w:hAnsi="Arial"/>
          <w:sz w:val="18"/>
          <w:szCs w:val="18"/>
          <w:color w:val="auto"/>
        </w:rPr>
        <w:t>” means $79,700,000.</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w:t>
      </w:r>
      <w:r>
        <w:rPr>
          <w:rFonts w:ascii="Arial" w:cs="Arial" w:eastAsia="Arial" w:hAnsi="Arial"/>
          <w:sz w:val="18"/>
          <w:szCs w:val="18"/>
          <w:color w:val="auto"/>
        </w:rPr>
        <w:t>” means Celgene Co. and Celgene Corp., and each of their respective successors or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6946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3" w:lineRule="exact"/>
        <w:rPr>
          <w:sz w:val="20"/>
          <w:szCs w:val="20"/>
          <w:color w:val="auto"/>
        </w:rPr>
      </w:pPr>
    </w:p>
    <w:p>
      <w:pPr>
        <w:ind w:left="640" w:hanging="436"/>
        <w:spacing w:after="0" w:line="253" w:lineRule="auto"/>
        <w:tabs>
          <w:tab w:leader="none" w:pos="640" w:val="left"/>
        </w:tabs>
        <w:numPr>
          <w:ilvl w:val="0"/>
          <w:numId w:val="337"/>
        </w:numPr>
        <w:rPr>
          <w:rFonts w:ascii="Arial" w:cs="Arial" w:eastAsia="Arial" w:hAnsi="Arial"/>
          <w:sz w:val="15"/>
          <w:szCs w:val="15"/>
          <w:color w:val="auto"/>
        </w:rPr>
      </w:pPr>
      <w:r>
        <w:rPr>
          <w:rFonts w:ascii="Arial" w:cs="Arial" w:eastAsia="Arial" w:hAnsi="Arial"/>
          <w:sz w:val="18"/>
          <w:szCs w:val="18"/>
          <w:b w:val="1"/>
          <w:bCs w:val="1"/>
          <w:i w:val="1"/>
          <w:iCs w:val="1"/>
          <w:u w:val="single" w:color="auto"/>
          <w:color w:val="auto"/>
        </w:rPr>
        <w:t>NTD</w:t>
      </w:r>
      <w:r>
        <w:rPr>
          <w:rFonts w:ascii="Arial" w:cs="Arial" w:eastAsia="Arial" w:hAnsi="Arial"/>
          <w:sz w:val="18"/>
          <w:szCs w:val="18"/>
          <w:b w:val="1"/>
          <w:bCs w:val="1"/>
          <w:i w:val="1"/>
          <w:iCs w:val="1"/>
          <w:color w:val="auto"/>
        </w:rPr>
        <w:t>: TIGIT Milestone and all TIGIT-related definitions, payment mechanics, covenants and other operative sections and all references to any of the foregoing to be deleted if the TIGIT Cash Payment is received by the Company prior to the Effective Time.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59" w:right="43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Collaboration Agreement</w:t>
      </w:r>
      <w:r>
        <w:rPr>
          <w:rFonts w:ascii="Arial" w:cs="Arial" w:eastAsia="Arial" w:hAnsi="Arial"/>
          <w:sz w:val="18"/>
          <w:szCs w:val="18"/>
          <w:color w:val="auto"/>
        </w:rPr>
        <w:t>” means that Master Research and Collaboration Agreement by and among Celgene Co., Celgene Corp. and the Company dated December 2, 2013.</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w:t>
      </w:r>
      <w:r>
        <w:rPr>
          <w:rFonts w:ascii="Arial" w:cs="Arial" w:eastAsia="Arial" w:hAnsi="Arial"/>
          <w:sz w:val="18"/>
          <w:szCs w:val="18"/>
          <w:color w:val="auto"/>
        </w:rPr>
        <w:t>” means Celgene Alpine Investment Company II, LLC, a Delaware limited liability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Corp.</w:t>
      </w:r>
      <w:r>
        <w:rPr>
          <w:rFonts w:ascii="Arial" w:cs="Arial" w:eastAsia="Arial" w:hAnsi="Arial"/>
          <w:sz w:val="18"/>
          <w:szCs w:val="18"/>
          <w:color w:val="auto"/>
        </w:rPr>
        <w:t>” means Celgene Corporation, a Delaware corporation.</w:t>
      </w:r>
    </w:p>
    <w:p>
      <w:pPr>
        <w:spacing w:after="0" w:line="212"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Option</w:t>
      </w:r>
      <w:r>
        <w:rPr>
          <w:rFonts w:ascii="Arial" w:cs="Arial" w:eastAsia="Arial" w:hAnsi="Arial"/>
          <w:sz w:val="18"/>
          <w:szCs w:val="18"/>
          <w:color w:val="auto"/>
        </w:rPr>
        <w:t>” means that exclusive option granted by the Company to Celgene with respect to the TIGIT Program pursuant to Section 3.1.1(c) of the Celgene Collaboration Agreement.</w:t>
      </w:r>
    </w:p>
    <w:p>
      <w:pPr>
        <w:spacing w:after="0" w:line="197"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CVR</w:t>
      </w:r>
      <w:r>
        <w:rPr>
          <w:rFonts w:ascii="Arial" w:cs="Arial" w:eastAsia="Arial" w:hAnsi="Arial"/>
          <w:sz w:val="18"/>
          <w:szCs w:val="18"/>
          <w:color w:val="auto"/>
        </w:rPr>
        <w:t>” means a contingent contractual right of Holders to receive the Milestone Payments, pursuant to the Merger Agreement and this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CVR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1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Diligent Efforts</w:t>
      </w:r>
      <w:r>
        <w:rPr>
          <w:rFonts w:ascii="Arial" w:cs="Arial" w:eastAsia="Arial" w:hAnsi="Arial"/>
          <w:sz w:val="18"/>
          <w:szCs w:val="18"/>
          <w:color w:val="auto"/>
        </w:rPr>
        <w:t xml:space="preserve">” means carrying out those obligations and tasks that comprise a level of effort and expenditure of resources that is consistent with commercially reasonable practices normally and typically devoted by a company within the bio-pharmaceutical industry of comparable size and resources to a product or product candidate at a similar stage in its development or product life, as applicable, taking into account, without limitation, issues of safety and efficacy, market potential, anticipated pricing and reimbursement rates, costs, labeling, pricing reimbursement, the competitiveness of alternative products, the patent and other proprietary position of the product, and the likelihood of regulatory approval given the regulatory structure involved. “Diligent Efforts” shall not include, and Milan shall have no obligation or liability to, (i) fund or otherwise support or incur any cost or expense relating to the NAVI Product or the TIGIT Program (except, in each case, in respect of clinical trials commenced prior to the date hereof) in excess of the commitments provided for in the budget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as applicable, (ii) enroll any additional subjects in any currently ongoing trial of the NAVI Product and the TIGIT Program or (iii) commit to any additional development activities of the NAVI Product or the TIGIT Program not provided for in such applicable budget. For the avoidance of doubt, a failure to achieve the TIGIT Milestone or the NAVI Milestone in and of itself may be consistent with Diligent Efforts.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DLL4</w:t>
      </w:r>
      <w:r>
        <w:rPr>
          <w:rFonts w:ascii="Arial" w:cs="Arial" w:eastAsia="Arial" w:hAnsi="Arial"/>
          <w:sz w:val="18"/>
          <w:szCs w:val="18"/>
          <w:color w:val="auto"/>
        </w:rPr>
        <w:t>” means delta-like ligand 4.</w:t>
      </w:r>
    </w:p>
    <w:p>
      <w:pPr>
        <w:spacing w:after="0" w:line="21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NAVI Period</w:t>
      </w:r>
      <w:r>
        <w:rPr>
          <w:rFonts w:ascii="Arial" w:cs="Arial" w:eastAsia="Arial" w:hAnsi="Arial"/>
          <w:sz w:val="18"/>
          <w:szCs w:val="18"/>
          <w:color w:val="auto"/>
        </w:rPr>
        <w:t>” means the period commencing on the date of this Agreement and ending at 11:59 p.m., New York City time, on [[●], 2020].</w:t>
      </w:r>
      <w:r>
        <w:rPr>
          <w:rFonts w:ascii="Arial" w:cs="Arial" w:eastAsia="Arial" w:hAnsi="Arial"/>
          <w:sz w:val="15"/>
          <w:szCs w:val="15"/>
          <w:color w:val="auto"/>
        </w:rPr>
        <w:t>2</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at the relevant time, a Person in whose name CVRs are registered in the CVR Register.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Stock Exchange</w:t>
      </w:r>
      <w:r>
        <w:rPr>
          <w:rFonts w:ascii="Arial" w:cs="Arial" w:eastAsia="Arial" w:hAnsi="Arial"/>
          <w:sz w:val="18"/>
          <w:szCs w:val="18"/>
          <w:color w:val="auto"/>
        </w:rPr>
        <w:t>” means London Stock Exchange plc.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1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Holders</w:t>
      </w:r>
      <w:r>
        <w:rPr>
          <w:rFonts w:ascii="Arial" w:cs="Arial" w:eastAsia="Arial" w:hAnsi="Arial"/>
          <w:sz w:val="18"/>
          <w:szCs w:val="18"/>
          <w:color w:val="auto"/>
        </w:rPr>
        <w:t>” means, at any time, the registered Holder or Holders of more than 50% of the total number of CVRs registered at such time, as set forth on the CVR Register.</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Non-Achievement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6946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3" w:lineRule="exact"/>
        <w:rPr>
          <w:sz w:val="20"/>
          <w:szCs w:val="20"/>
          <w:color w:val="auto"/>
        </w:rPr>
      </w:pPr>
    </w:p>
    <w:p>
      <w:pPr>
        <w:ind w:left="5580" w:right="4700" w:hanging="5376"/>
        <w:spacing w:after="0" w:line="444" w:lineRule="auto"/>
        <w:tabs>
          <w:tab w:leader="none" w:pos="426" w:val="left"/>
        </w:tabs>
        <w:numPr>
          <w:ilvl w:val="0"/>
          <w:numId w:val="338"/>
        </w:numPr>
        <w:rPr>
          <w:rFonts w:ascii="Arial" w:cs="Arial" w:eastAsia="Arial" w:hAnsi="Arial"/>
          <w:sz w:val="15"/>
          <w:szCs w:val="15"/>
          <w:color w:val="auto"/>
        </w:rPr>
      </w:pPr>
      <w:r>
        <w:rPr>
          <w:rFonts w:ascii="Arial" w:cs="Arial" w:eastAsia="Arial" w:hAnsi="Arial"/>
          <w:sz w:val="18"/>
          <w:szCs w:val="18"/>
          <w:b w:val="1"/>
          <w:bCs w:val="1"/>
          <w:i w:val="1"/>
          <w:iCs w:val="1"/>
          <w:u w:val="single" w:color="auto"/>
          <w:color w:val="auto"/>
        </w:rPr>
        <w:t>NTD:</w:t>
      </w:r>
      <w:r>
        <w:rPr>
          <w:rFonts w:ascii="Arial" w:cs="Arial" w:eastAsia="Arial" w:hAnsi="Arial"/>
          <w:sz w:val="18"/>
          <w:szCs w:val="18"/>
          <w:b w:val="1"/>
          <w:bCs w:val="1"/>
          <w:i w:val="1"/>
          <w:iCs w:val="1"/>
          <w:color w:val="auto"/>
        </w:rPr>
        <w:t xml:space="preserve"> To be the date that is eighteen (18) months after the Closing Date. </w:t>
      </w:r>
      <w:r>
        <w:rPr>
          <w:rFonts w:ascii="Arial" w:cs="Arial" w:eastAsia="Arial" w:hAnsi="Arial"/>
          <w:sz w:val="18"/>
          <w:szCs w:val="18"/>
          <w:color w:val="auto"/>
        </w:rPr>
        <w:t>B-5</w:t>
      </w:r>
    </w:p>
    <w:p>
      <w:pPr>
        <w:sectPr>
          <w:pgSz w:w="11900" w:h="16838" w:orient="portrait"/>
          <w:cols w:equalWidth="0" w:num="1">
            <w:col w:w="11220"/>
          </w:cols>
          <w:pgMar w:left="240" w:top="459" w:right="43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Payments</w:t>
      </w:r>
      <w:r>
        <w:rPr>
          <w:rFonts w:ascii="Arial" w:cs="Arial" w:eastAsia="Arial" w:hAnsi="Arial"/>
          <w:sz w:val="18"/>
          <w:szCs w:val="18"/>
          <w:color w:val="auto"/>
        </w:rPr>
        <w:t>” means (i) the TIGIT Milestone Payment and (ii) the NAVI Milestone Payments.</w:t>
      </w:r>
    </w:p>
    <w:p>
      <w:pPr>
        <w:spacing w:after="0" w:line="212"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 Date</w:t>
      </w:r>
      <w:r>
        <w:rPr>
          <w:rFonts w:ascii="Arial" w:cs="Arial" w:eastAsia="Arial" w:hAnsi="Arial"/>
          <w:sz w:val="18"/>
          <w:szCs w:val="18"/>
          <w:color w:val="auto"/>
        </w:rPr>
        <w:t>” means, in respect of any Milestone, the date that is thirty (30) Business Days following the achievement of such Milestone.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Period</w:t>
      </w:r>
      <w:r>
        <w:rPr>
          <w:rFonts w:ascii="Arial" w:cs="Arial" w:eastAsia="Arial" w:hAnsi="Arial"/>
          <w:sz w:val="18"/>
          <w:szCs w:val="18"/>
          <w:color w:val="auto"/>
        </w:rPr>
        <w:t>” means the TIGIT Milestone Period or the NAVI Milestone Period, as applicable.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Milestones</w:t>
      </w:r>
      <w:r>
        <w:rPr>
          <w:rFonts w:ascii="Arial" w:cs="Arial" w:eastAsia="Arial" w:hAnsi="Arial"/>
          <w:sz w:val="18"/>
          <w:szCs w:val="18"/>
          <w:color w:val="auto"/>
        </w:rPr>
        <w:t>” means each of the TIGIT Milestone and the NAVI Milestones.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Agreement</w:t>
      </w:r>
      <w:r>
        <w:rPr>
          <w:rFonts w:ascii="Arial" w:cs="Arial" w:eastAsia="Arial" w:hAnsi="Arial"/>
          <w:sz w:val="18"/>
          <w:szCs w:val="18"/>
          <w:color w:val="auto"/>
        </w:rPr>
        <w:t>” means the NAVI Investment Agreement or the NAVI Partnership Agreement, as applicable.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Cash Payment</w:t>
      </w:r>
      <w:r>
        <w:rPr>
          <w:rFonts w:ascii="Arial" w:cs="Arial" w:eastAsia="Arial" w:hAnsi="Arial"/>
          <w:sz w:val="18"/>
          <w:szCs w:val="18"/>
          <w:color w:val="auto"/>
        </w:rPr>
        <w:t>” means a NAVI Partnership Receipt or a NAVI Investment Receipt.</w:t>
      </w:r>
    </w:p>
    <w:p>
      <w:pPr>
        <w:spacing w:after="0" w:line="21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Investment Agreement</w:t>
      </w:r>
      <w:r>
        <w:rPr>
          <w:rFonts w:ascii="Arial" w:cs="Arial" w:eastAsia="Arial" w:hAnsi="Arial"/>
          <w:sz w:val="18"/>
          <w:szCs w:val="18"/>
          <w:color w:val="auto"/>
        </w:rPr>
        <w:t xml:space="preserve">” means a definitive investment agreement, stock sale agreement, or similar agreement duly approved by the Milan Board in accordance with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entered into by Milan or one of its Subsidiaries (including NAVI Sub) and a third party within the First NAVI Period and pursuant to which (i) a third party acquires an ownership interest in NAVI Sub of up to eighty-point-five percent (80.5%),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following the entry into such NAVI Investment Agreement, Milan or one or more of its Subsidiaries (other than NAVI Sub) retains, in the aggregate, a minimum of nineteen-point-five percent (19.5%) of the issued and outstanding equity interests of NAVI Sub on a fully-diluted basis, and (ii) Milan or one or more of its Subsidiaries (other than NAVI Sub) are or may be entitled to receive one or more NAVI Cash Payments.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Investment CVR Allocation</w:t>
      </w:r>
      <w:r>
        <w:rPr>
          <w:rFonts w:ascii="Arial" w:cs="Arial" w:eastAsia="Arial" w:hAnsi="Arial"/>
          <w:sz w:val="18"/>
          <w:szCs w:val="18"/>
          <w:color w:val="auto"/>
        </w:rPr>
        <w:t>” means 0.70.</w:t>
      </w:r>
    </w:p>
    <w:p>
      <w:pPr>
        <w:spacing w:after="0" w:line="212" w:lineRule="exact"/>
        <w:rPr>
          <w:sz w:val="20"/>
          <w:szCs w:val="20"/>
          <w:color w:val="auto"/>
        </w:rPr>
      </w:pPr>
    </w:p>
    <w:p>
      <w:pPr>
        <w:ind w:left="200" w:firstLine="441"/>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NAVI Investment Receipt</w:t>
      </w:r>
      <w:r>
        <w:rPr>
          <w:rFonts w:ascii="Arial" w:cs="Arial" w:eastAsia="Arial" w:hAnsi="Arial"/>
          <w:sz w:val="17"/>
          <w:szCs w:val="17"/>
          <w:color w:val="auto"/>
        </w:rPr>
        <w:t>” means each cash milestone payment payable to Milan or one or more of its Subsidiaries (other than NAVI Sub) pursuant to a NAVI Investment Agreement (or any agreement contemplated by such NAVI Investment Agreement), except for any</w:t>
      </w:r>
    </w:p>
    <w:p>
      <w:pPr>
        <w:spacing w:after="0" w:line="1" w:lineRule="exact"/>
        <w:rPr>
          <w:sz w:val="20"/>
          <w:szCs w:val="20"/>
          <w:color w:val="auto"/>
        </w:rPr>
      </w:pPr>
    </w:p>
    <w:p>
      <w:pPr>
        <w:ind w:left="200" w:right="340" w:firstLine="4"/>
        <w:spacing w:after="0" w:line="238" w:lineRule="auto"/>
        <w:tabs>
          <w:tab w:leader="none" w:pos="41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Investment Agreement.</w:t>
      </w:r>
    </w:p>
    <w:p>
      <w:pPr>
        <w:spacing w:after="0" w:line="203"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w:t>
      </w:r>
      <w:r>
        <w:rPr>
          <w:rFonts w:ascii="Arial" w:cs="Arial" w:eastAsia="Arial" w:hAnsi="Arial"/>
          <w:sz w:val="18"/>
          <w:szCs w:val="18"/>
          <w:color w:val="auto"/>
        </w:rPr>
        <w:t>” will be deemed to occur upon the actual receipt during the Second NAVI Period by Milan or one or more of its Subsidiaries (other than NAVI Sub) of a NAVI Cash Payment.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1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Payment</w:t>
      </w:r>
      <w:r>
        <w:rPr>
          <w:rFonts w:ascii="Arial" w:cs="Arial" w:eastAsia="Arial" w:hAnsi="Arial"/>
          <w:sz w:val="18"/>
          <w:szCs w:val="18"/>
          <w:color w:val="auto"/>
        </w:rPr>
        <w:t xml:space="preserve">” means, with respect to any NAVI Milestone, a cash payment in an aggregate principal amount equal to the product determined by multiplying (i)(A) in the case of a NAVI Investment Receipt, the NAVI Investment CVR Allocation, or (B) in the case of a NAVI Partnership Receipt, the NAVI Partnership CVR Allocation, by (ii) the relevant NAVI Cash Payment actually received by Milan or one or more of its Subsidiaries (other than NAVI Sub), net of (A) any Tax (including any applicable value added or sales taxes and including any Tax which would be payable but for the utilization of a relief), (B) 50% of any expenditure by Milan or its Subsidiaries pursuant to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and (C) any other reasonable cost or expense attributable to the receipt of such payment (which, for the avoidance of doubt, shall include (x) any costs, reasonable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20"/>
          </w:cols>
          <w:pgMar w:left="240" w:top="459" w:right="43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 xml:space="preserve">out-of-pocket fees, expenses or charges incurred by Milan or its Subsidiaries in excess of the commitments provided for in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(y) any costs, reasonable out-of-pocket fees, expenses or charges incurred by Milan or its Subsidiaries under the relevant NAVI Agreement, and (z) any costs, reasonable out-of-pocket fees, expenses or charges incurred by Milan or its Subsidiaries, or for which Milan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87" w:lineRule="exact"/>
        <w:rPr>
          <w:sz w:val="20"/>
          <w:szCs w:val="20"/>
          <w:color w:val="auto"/>
        </w:rPr>
      </w:pPr>
    </w:p>
    <w:p>
      <w:pPr>
        <w:ind w:left="200" w:right="300" w:firstLine="441"/>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Period</w:t>
      </w:r>
      <w:r>
        <w:rPr>
          <w:rFonts w:ascii="Arial" w:cs="Arial" w:eastAsia="Arial" w:hAnsi="Arial"/>
          <w:sz w:val="18"/>
          <w:szCs w:val="18"/>
          <w:color w:val="auto"/>
        </w:rPr>
        <w:t xml:space="preserve">” means the First NAVI Period,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a NAVI Agreement is entered into by Milan or one of its Subsidiaries and a third party within the First NAVI Period in accordance with the provisions of </w:t>
      </w:r>
      <w:r>
        <w:rPr>
          <w:rFonts w:ascii="Arial" w:cs="Arial" w:eastAsia="Arial" w:hAnsi="Arial"/>
          <w:sz w:val="18"/>
          <w:szCs w:val="18"/>
          <w:u w:val="single" w:color="auto"/>
          <w:color w:val="auto"/>
        </w:rPr>
        <w:t>Section 4.2(b)</w:t>
      </w:r>
      <w:r>
        <w:rPr>
          <w:rFonts w:ascii="Arial" w:cs="Arial" w:eastAsia="Arial" w:hAnsi="Arial"/>
          <w:sz w:val="18"/>
          <w:szCs w:val="18"/>
          <w:color w:val="auto"/>
        </w:rPr>
        <w:t>, then the NAVI Milestone Period shall mean the Second NAVI Period.</w:t>
      </w:r>
    </w:p>
    <w:p>
      <w:pPr>
        <w:spacing w:after="0" w:line="19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Partnership Agreement</w:t>
      </w:r>
      <w:r>
        <w:rPr>
          <w:rFonts w:ascii="Arial" w:cs="Arial" w:eastAsia="Arial" w:hAnsi="Arial"/>
          <w:sz w:val="18"/>
          <w:szCs w:val="18"/>
          <w:color w:val="auto"/>
        </w:rPr>
        <w:t xml:space="preserve">” means a definitive partnership agreement, collaboration agreement, joint venture agreement, profit sharing agreement, license or sublicense agreement, asset sale agreement, stock sale agreement, or similar agreement duly approved by the Milan Board in accordance with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entered into by Milan or one of its Subsidiaries (including NAVI Sub) and a third party within the First NAVI Period and pursuant to which (i) the right to develop, manufacture or commercialize the NAVI Product is granted, licensed, assigned, sold, transferred or otherwise conveyed (including by operation of law but excluding any NAVI Investment Agreement) to a third party, and (ii) Milan or one or more of its Subsidiaries (other than NAVI Sub) are or may be entitled to receive one or more NAVI Cash Payments from such third party.</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Partnership CVR Allocation</w:t>
      </w:r>
      <w:r>
        <w:rPr>
          <w:rFonts w:ascii="Arial" w:cs="Arial" w:eastAsia="Arial" w:hAnsi="Arial"/>
          <w:sz w:val="18"/>
          <w:szCs w:val="18"/>
          <w:color w:val="auto"/>
        </w:rPr>
        <w:t>” means 0.70.</w:t>
      </w:r>
    </w:p>
    <w:p>
      <w:pPr>
        <w:spacing w:after="0" w:line="212"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NAVI Partnership Receipt</w:t>
      </w:r>
      <w:r>
        <w:rPr>
          <w:rFonts w:ascii="Arial" w:cs="Arial" w:eastAsia="Arial" w:hAnsi="Arial"/>
          <w:sz w:val="17"/>
          <w:szCs w:val="17"/>
          <w:color w:val="auto"/>
        </w:rPr>
        <w:t>” means each cash milestone payment payable to Milan or one or more of its Subsidiaries pursuant to a NAVI Partnership Agreement (or any agreement contemplated by such NAVI Partnership Agreement), except for any (i) 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Partnership Agreement.</w:t>
      </w:r>
    </w:p>
    <w:p>
      <w:pPr>
        <w:spacing w:after="0" w:line="195"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Product</w:t>
      </w:r>
      <w:r>
        <w:rPr>
          <w:rFonts w:ascii="Arial" w:cs="Arial" w:eastAsia="Arial" w:hAnsi="Arial"/>
          <w:sz w:val="18"/>
          <w:szCs w:val="18"/>
          <w:color w:val="auto"/>
        </w:rPr>
        <w:t>” means any product that constitutes, incorporates, comprises, or contains one or more molecules that incorporate, comprise or consist of one or more immunoglobulin domains, or fragment(s) thereof, that specifically bind(s) to DLL4 and VEGF, whether or not as the sole active ingredient, and in all forms, presentations, and formulations (including manner of delivery and dosage).</w:t>
      </w:r>
    </w:p>
    <w:p>
      <w:pPr>
        <w:spacing w:after="0" w:line="18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Sub</w:t>
      </w:r>
      <w:r>
        <w:rPr>
          <w:rFonts w:ascii="Arial" w:cs="Arial" w:eastAsia="Arial" w:hAnsi="Arial"/>
          <w:sz w:val="18"/>
          <w:szCs w:val="18"/>
          <w:color w:val="auto"/>
        </w:rPr>
        <w:t>” means [●], a Delaware corporation and wholly-owned subsidiary of the Surviving Corporation that holds all of Milan’s indirect right, title and interest in and to the NAVI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12" w:lineRule="exact"/>
        <w:rPr>
          <w:sz w:val="20"/>
          <w:szCs w:val="20"/>
          <w:color w:val="auto"/>
        </w:rPr>
      </w:pPr>
    </w:p>
    <w:p>
      <w:pPr>
        <w:ind w:left="200" w:right="7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chief executive officer and the chief financial officer of Milan, in their respective official capacities.</w:t>
      </w:r>
    </w:p>
    <w:p>
      <w:pPr>
        <w:spacing w:after="0" w:line="179" w:lineRule="exact"/>
        <w:rPr>
          <w:sz w:val="20"/>
          <w:szCs w:val="20"/>
          <w:color w:val="auto"/>
        </w:rPr>
      </w:pPr>
    </w:p>
    <w:p>
      <w:pPr>
        <w:jc w:val="both"/>
        <w:ind w:left="200" w:right="120" w:firstLine="441"/>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means a Transfer of one or more CVRs (i) upon death by will or intestacy; (ii) by instrument to an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made by operation of</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80"/>
          </w:cols>
          <w:pgMar w:left="240" w:top="459" w:right="47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law (including a consolidation or merger) or without consideration in connection with the dissolution, liquidation or termination of any corporation, limited liability company, partnership or other entity; (v) if the Holder is a partnership, a distribution from the transferring partnership to its partners or former partners in accordance with their partnership interests;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(vii) to Milan or its Affiliates; or (viii)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05"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Agent</w:t>
      </w:r>
      <w:r>
        <w:rPr>
          <w:rFonts w:ascii="Arial" w:cs="Arial" w:eastAsia="Arial" w:hAnsi="Arial"/>
          <w:sz w:val="18"/>
          <w:szCs w:val="18"/>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97"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NAVI Period</w:t>
      </w:r>
      <w:r>
        <w:rPr>
          <w:rFonts w:ascii="Arial" w:cs="Arial" w:eastAsia="Arial" w:hAnsi="Arial"/>
          <w:sz w:val="18"/>
          <w:szCs w:val="18"/>
          <w:color w:val="auto"/>
        </w:rPr>
        <w:t>” means the period commencing on the date of this Agreement and ending at 11:59 p.m., New York City time, on [[●], 2024].</w:t>
      </w:r>
      <w:r>
        <w:rPr>
          <w:rFonts w:ascii="Arial" w:cs="Arial" w:eastAsia="Arial" w:hAnsi="Arial"/>
          <w:sz w:val="15"/>
          <w:szCs w:val="15"/>
          <w:color w:val="auto"/>
        </w:rPr>
        <w:t>3</w:t>
      </w:r>
    </w:p>
    <w:p>
      <w:pPr>
        <w:spacing w:after="0" w:line="210"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Cash Payment</w:t>
      </w:r>
      <w:r>
        <w:rPr>
          <w:rFonts w:ascii="Arial" w:cs="Arial" w:eastAsia="Arial" w:hAnsi="Arial"/>
          <w:sz w:val="18"/>
          <w:szCs w:val="18"/>
          <w:color w:val="auto"/>
        </w:rPr>
        <w:t>” means the cash payment payable by Celgene to the Company, or to Milan or any of its Subsidiaries on or after the Closing Date, on the exercise of the Celgene Option.</w:t>
      </w:r>
    </w:p>
    <w:p>
      <w:pPr>
        <w:spacing w:after="0" w:line="197"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w:t>
      </w:r>
      <w:r>
        <w:rPr>
          <w:rFonts w:ascii="Arial" w:cs="Arial" w:eastAsia="Arial" w:hAnsi="Arial"/>
          <w:sz w:val="18"/>
          <w:szCs w:val="18"/>
          <w:color w:val="auto"/>
        </w:rPr>
        <w:t>” will be deemed to occur upon the occurrence of both (i) the exercise of the Celgene Option and (ii) actual receipt by Milan or one or more of its Subsidiaries (or their respective successors or assigns) of the TIGIT Cash Payment.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1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Payment</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2.8</w:t>
      </w:r>
      <w:r>
        <w:rPr>
          <w:rFonts w:ascii="Arial" w:cs="Arial" w:eastAsia="Arial" w:hAnsi="Arial"/>
          <w:sz w:val="18"/>
          <w:szCs w:val="18"/>
          <w:color w:val="auto"/>
        </w:rPr>
        <w:t>, a number of Milan Depositary Shares equal to the TIGIT Ratio.</w:t>
      </w:r>
    </w:p>
    <w:p>
      <w:pPr>
        <w:spacing w:after="0" w:line="197"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Period</w:t>
      </w:r>
      <w:r>
        <w:rPr>
          <w:rFonts w:ascii="Arial" w:cs="Arial" w:eastAsia="Arial" w:hAnsi="Arial"/>
          <w:sz w:val="18"/>
          <w:szCs w:val="18"/>
          <w:color w:val="auto"/>
        </w:rPr>
        <w:t>” means the period commencing on the date of this Agreement and ending at 11:59 p.m., New York City time, on December 31, 2019.</w:t>
      </w:r>
    </w:p>
    <w:p>
      <w:pPr>
        <w:spacing w:after="0" w:line="197"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w:t>
      </w:r>
      <w:r>
        <w:rPr>
          <w:rFonts w:ascii="Arial" w:cs="Arial" w:eastAsia="Arial" w:hAnsi="Arial"/>
          <w:sz w:val="18"/>
          <w:szCs w:val="18"/>
          <w:color w:val="auto"/>
        </w:rPr>
        <w:t>” means that Hippo Umbrella Target (as defined in the Celgene Collaboration Agreement) known as TIGIT and designated as a target by Celgene effective December 22, 2015.</w:t>
      </w:r>
    </w:p>
    <w:p>
      <w:pPr>
        <w:spacing w:after="0" w:line="197" w:lineRule="exact"/>
        <w:rPr>
          <w:sz w:val="20"/>
          <w:szCs w:val="20"/>
          <w:color w:val="auto"/>
        </w:rPr>
      </w:pPr>
    </w:p>
    <w:p>
      <w:pPr>
        <w:ind w:left="200" w:right="4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Program</w:t>
      </w:r>
      <w:r>
        <w:rPr>
          <w:rFonts w:ascii="Arial" w:cs="Arial" w:eastAsia="Arial" w:hAnsi="Arial"/>
          <w:sz w:val="18"/>
          <w:szCs w:val="18"/>
          <w:color w:val="auto"/>
        </w:rPr>
        <w:t>” means the Hippo Designated Program (as defined in the Celgene Collaboration Agreement) with TIGIT as the designated target.</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Ratio</w:t>
      </w:r>
      <w:r>
        <w:rPr>
          <w:rFonts w:ascii="Arial" w:cs="Arial" w:eastAsia="Arial" w:hAnsi="Arial"/>
          <w:sz w:val="18"/>
          <w:szCs w:val="18"/>
          <w:color w:val="auto"/>
        </w:rPr>
        <w:t xml:space="preserve">” means the quotient obtained by dividing (a) the TIGIT Cash Payment actually received by Milan or one or more of its Subsidiaries, net of any Tax (including any applicable value added or sales taxes and including any Tax which would be payable but for the utilization of a relief), and reasonable cost or expense attributable to the receipt of such payment (which, for the avoidance of doubt, shall include any costs, reasonable out-of-pocket fees, expenses or charges incurred, directly or indirectly, by Milan or its Subsidiaries in excess of the commitments provided for in the budget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by (b) the volume-weighted average price per Milan Depositary Share on the principal trading market on which such Milan Depositary Shares are then listed or quoted as reported by Bloomberg L.P. over the ten (10) trading days (based on a trading day from 9:30 a.m. (New York City time) to 4:00 p.m. (New York City time) on each day on which such principal trading market is open for trading) immediately following the date of the announcement by Milan of the TIGIT Milestone (which in any event shall be within five (5) Business Days of receipt by Milan of the TIGIT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80645</wp:posOffset>
            </wp:positionV>
            <wp:extent cx="6946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8" w:lineRule="exact"/>
        <w:rPr>
          <w:sz w:val="20"/>
          <w:szCs w:val="20"/>
          <w:color w:val="auto"/>
        </w:rPr>
      </w:pPr>
    </w:p>
    <w:p>
      <w:pPr>
        <w:jc w:val="right"/>
        <w:ind w:left="5580" w:right="5360" w:hanging="5376"/>
        <w:spacing w:after="0" w:line="362" w:lineRule="auto"/>
        <w:tabs>
          <w:tab w:leader="none" w:pos="426" w:val="left"/>
        </w:tabs>
        <w:numPr>
          <w:ilvl w:val="0"/>
          <w:numId w:val="340"/>
        </w:numPr>
        <w:rPr>
          <w:rFonts w:ascii="Arial" w:cs="Arial" w:eastAsia="Arial" w:hAnsi="Arial"/>
          <w:sz w:val="14"/>
          <w:szCs w:val="14"/>
          <w:color w:val="auto"/>
        </w:rPr>
      </w:pPr>
      <w:r>
        <w:rPr>
          <w:rFonts w:ascii="Arial" w:cs="Arial" w:eastAsia="Arial" w:hAnsi="Arial"/>
          <w:sz w:val="17"/>
          <w:szCs w:val="17"/>
          <w:b w:val="1"/>
          <w:bCs w:val="1"/>
          <w:i w:val="1"/>
          <w:iCs w:val="1"/>
          <w:u w:val="single" w:color="auto"/>
          <w:color w:val="auto"/>
        </w:rPr>
        <w:t>NTD:</w:t>
      </w:r>
      <w:r>
        <w:rPr>
          <w:rFonts w:ascii="Arial" w:cs="Arial" w:eastAsia="Arial" w:hAnsi="Arial"/>
          <w:sz w:val="17"/>
          <w:szCs w:val="17"/>
          <w:b w:val="1"/>
          <w:bCs w:val="1"/>
          <w:i w:val="1"/>
          <w:iCs w:val="1"/>
          <w:color w:val="auto"/>
        </w:rPr>
        <w:t xml:space="preserve"> To be the date that is five (5) years from the Closing Date. </w:t>
      </w:r>
      <w:r>
        <w:rPr>
          <w:rFonts w:ascii="Arial" w:cs="Arial" w:eastAsia="Arial" w:hAnsi="Arial"/>
          <w:sz w:val="17"/>
          <w:szCs w:val="17"/>
          <w:color w:val="auto"/>
        </w:rPr>
        <w:t>B-8</w:t>
      </w:r>
    </w:p>
    <w:p>
      <w:pPr>
        <w:sectPr>
          <w:pgSz w:w="11900" w:h="16838" w:orient="portrait"/>
          <w:cols w:equalWidth="0" w:num="1">
            <w:col w:w="11220"/>
          </w:cols>
          <w:pgMar w:left="240" w:top="459" w:right="43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VEGF</w:t>
      </w:r>
      <w:r>
        <w:rPr>
          <w:rFonts w:ascii="Arial" w:cs="Arial" w:eastAsia="Arial" w:hAnsi="Arial"/>
          <w:sz w:val="18"/>
          <w:szCs w:val="18"/>
          <w:color w:val="auto"/>
        </w:rPr>
        <w:t>” means vascular endothelial growth factor.</w:t>
      </w: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CONTINGENT VALUE RIGHTS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Holders of CVRs; Appointment of Rights Agent.</w:t>
      </w:r>
    </w:p>
    <w:p>
      <w:pPr>
        <w:spacing w:after="0" w:line="122" w:lineRule="exact"/>
        <w:rPr>
          <w:sz w:val="20"/>
          <w:szCs w:val="20"/>
          <w:color w:val="auto"/>
        </w:rPr>
      </w:pPr>
    </w:p>
    <w:p>
      <w:pPr>
        <w:ind w:left="200" w:right="260" w:firstLine="885"/>
        <w:spacing w:after="0" w:line="246" w:lineRule="auto"/>
        <w:tabs>
          <w:tab w:leader="none" w:pos="135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As provided in the Merger Agreement, effective as of the Closing, each Holder will be entitled to one CVR for each Share that is validly accepted for payment, and paid for, pursuant to Section 1.8(c) of the Merger Agreement.</w:t>
      </w:r>
    </w:p>
    <w:p>
      <w:pPr>
        <w:spacing w:after="0" w:line="88" w:lineRule="exact"/>
        <w:rPr>
          <w:rFonts w:ascii="Arial" w:cs="Arial" w:eastAsia="Arial" w:hAnsi="Arial"/>
          <w:sz w:val="18"/>
          <w:szCs w:val="18"/>
          <w:color w:val="auto"/>
        </w:rPr>
      </w:pPr>
    </w:p>
    <w:p>
      <w:pPr>
        <w:ind w:left="200" w:right="20" w:firstLine="885"/>
        <w:spacing w:after="0" w:line="246" w:lineRule="auto"/>
        <w:tabs>
          <w:tab w:leader="none" w:pos="135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Milan hereby appoints the Rights Agent to act as rights agent for Milan in accordance with the express terms and conditions set forth in this Agreement, and the Rights Agent hereby accepts such appointment.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Non-transferable.</w:t>
      </w:r>
    </w:p>
    <w:p>
      <w:pPr>
        <w:spacing w:after="0" w:line="230"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 xml:space="preserve">A Holder may not at any time Transfer CVRs, other than pursuant to a Permitted Transfer. Any attempted Transfer that is not a Permitted Transfer, in whole or in part,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No Certificate; Registration; Registration of Transfer; Change of Address.</w:t>
      </w:r>
    </w:p>
    <w:p>
      <w:pPr>
        <w:spacing w:after="0" w:line="122" w:lineRule="exact"/>
        <w:rPr>
          <w:sz w:val="20"/>
          <w:szCs w:val="20"/>
          <w:color w:val="auto"/>
        </w:rPr>
      </w:pPr>
    </w:p>
    <w:p>
      <w:pPr>
        <w:ind w:left="200" w:right="500" w:firstLine="885"/>
        <w:spacing w:after="0" w:line="246" w:lineRule="auto"/>
        <w:tabs>
          <w:tab w:leader="none" w:pos="135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Holders’ rights and obligations in respect of CVRs derive solely from this Agreement; CVRs will not be evidenced by a certificate or other instrument.</w:t>
      </w:r>
    </w:p>
    <w:p>
      <w:pPr>
        <w:spacing w:after="0" w:line="88" w:lineRule="exact"/>
        <w:rPr>
          <w:rFonts w:ascii="Arial" w:cs="Arial" w:eastAsia="Arial" w:hAnsi="Arial"/>
          <w:sz w:val="18"/>
          <w:szCs w:val="18"/>
          <w:color w:val="auto"/>
        </w:rPr>
      </w:pPr>
    </w:p>
    <w:p>
      <w:pPr>
        <w:ind w:left="200" w:right="80" w:firstLine="885"/>
        <w:spacing w:after="0" w:line="238" w:lineRule="auto"/>
        <w:tabs>
          <w:tab w:leader="none" w:pos="135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Rights Agent will maintain an up-to-date register (the “</w:t>
      </w:r>
      <w:r>
        <w:rPr>
          <w:rFonts w:ascii="Arial" w:cs="Arial" w:eastAsia="Arial" w:hAnsi="Arial"/>
          <w:sz w:val="18"/>
          <w:szCs w:val="18"/>
          <w:u w:val="single" w:color="auto"/>
          <w:color w:val="auto"/>
        </w:rPr>
        <w:t>CVR Register</w:t>
      </w:r>
      <w:r>
        <w:rPr>
          <w:rFonts w:ascii="Arial" w:cs="Arial" w:eastAsia="Arial" w:hAnsi="Arial"/>
          <w:sz w:val="18"/>
          <w:szCs w:val="18"/>
          <w:color w:val="auto"/>
        </w:rPr>
        <w:t>”) for the purposes of (i) identifying the Holders of CVRs, (ii) determining Holders’ entitlement to CVRs and (iii) registering the CVRs and Permitted Transfers thereof. The CVR Register will initially show one position for the Rights Agent representing all of the CVRs provided to the holders of shares of Company Common Stock held immediately prior to Closing. Neither Milan nor its Subsidiaries will have any responsibility or liability whatsoever to any person other than the Holders.</w:t>
      </w:r>
    </w:p>
    <w:p>
      <w:pPr>
        <w:spacing w:after="0" w:line="94" w:lineRule="exact"/>
        <w:rPr>
          <w:rFonts w:ascii="Arial" w:cs="Arial" w:eastAsia="Arial" w:hAnsi="Arial"/>
          <w:sz w:val="18"/>
          <w:szCs w:val="18"/>
          <w:color w:val="auto"/>
        </w:rPr>
      </w:pPr>
    </w:p>
    <w:p>
      <w:pPr>
        <w:ind w:left="200" w:firstLine="885"/>
        <w:spacing w:after="0" w:line="236" w:lineRule="auto"/>
        <w:tabs>
          <w:tab w:leader="none" w:pos="134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Subject to the restriction on transferability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every request made to Transfer CVRs must be in writing and accompanied by a written instrument of Transfer,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Milan, evidencing the same right, and entitling the transferee to the same benefits and rights under this Agreement, as those held by the transferor. Milan and the Rights Agent may each require payment of a sum sufficient to cover any stamp or other transfer tax or governmental charge that is imposed in connection with (and would not have been imposed but for)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20"/>
          </w:cols>
          <w:pgMar w:left="240" w:top="460" w:right="43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0"/>
        <w:spacing w:after="0" w:line="246" w:lineRule="auto"/>
        <w:rPr>
          <w:sz w:val="20"/>
          <w:szCs w:val="20"/>
          <w:color w:val="auto"/>
        </w:rPr>
      </w:pPr>
      <w:r>
        <w:rPr>
          <w:rFonts w:ascii="Arial" w:cs="Arial" w:eastAsia="Arial" w:hAnsi="Arial"/>
          <w:sz w:val="18"/>
          <w:szCs w:val="18"/>
          <w:color w:val="auto"/>
        </w:rPr>
        <w:t>any such registration of transfer. No transfer of CVRs shall be valid until registered in the CVR Register and any transfer not duly registered in the CVR Register shall be void.</w:t>
      </w:r>
    </w:p>
    <w:p>
      <w:pPr>
        <w:spacing w:after="0" w:line="89" w:lineRule="exact"/>
        <w:rPr>
          <w:sz w:val="20"/>
          <w:szCs w:val="20"/>
          <w:color w:val="auto"/>
        </w:rPr>
      </w:pPr>
    </w:p>
    <w:p>
      <w:pPr>
        <w:jc w:val="both"/>
        <w:ind w:left="200" w:right="200" w:firstLine="885"/>
        <w:spacing w:after="0"/>
        <w:tabs>
          <w:tab w:leader="none" w:pos="135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Payment Procedures.</w:t>
      </w:r>
    </w:p>
    <w:p>
      <w:pPr>
        <w:spacing w:after="0" w:line="122" w:lineRule="exact"/>
        <w:rPr>
          <w:sz w:val="20"/>
          <w:szCs w:val="20"/>
          <w:color w:val="auto"/>
        </w:rPr>
      </w:pPr>
    </w:p>
    <w:p>
      <w:pPr>
        <w:ind w:left="200" w:firstLine="885"/>
        <w:spacing w:after="0" w:line="235" w:lineRule="auto"/>
        <w:tabs>
          <w:tab w:leader="none" w:pos="135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TIGIT Milestone occurs at any time prior to the expiration of the TIGIT Milestone Period, then, on or prior to the Milestone Payment Date relating thereto, (i) Milan, or a Person nominated by Milan (with written notice thereof from Milan to the Rights Agent), as the case may be, will (A) deliver to the Rights Agent, a certificate (the “</w:t>
      </w:r>
      <w:r>
        <w:rPr>
          <w:rFonts w:ascii="Arial" w:cs="Arial" w:eastAsia="Arial" w:hAnsi="Arial"/>
          <w:sz w:val="18"/>
          <w:szCs w:val="18"/>
          <w:u w:val="single" w:color="auto"/>
          <w:color w:val="auto"/>
        </w:rPr>
        <w:t>TIGIT Milestone Achievement Certificate</w:t>
      </w:r>
      <w:r>
        <w:rPr>
          <w:rFonts w:ascii="Arial" w:cs="Arial" w:eastAsia="Arial" w:hAnsi="Arial"/>
          <w:sz w:val="18"/>
          <w:szCs w:val="18"/>
          <w:color w:val="auto"/>
        </w:rPr>
        <w:t xml:space="preserve">”) certifying the date of satisfaction of the TIGIT Milestone and that the Holders are entitled to receive the TIGIT Milestone Payment, (B) allot and issue to the Depositary, or as the Depositary directs, the Milan Ordinary Shares underlying the Milan Depositary Shares comprising the TIGIT Milestone Payment, (C) deliver to the Depositary, for the benefit of the Holders, evidence of book-entry shares representing Milan Ordinary Shares underlying the Milan Depositary Shares comprising the TIGIT Milestone Payment and (D) take all steps necessary to ensure that the Milan Ordinary Shares underlying the Milan Depositary Shares comprising the TIGIT Milestone Payment are admitted to trading on AIM and (ii) Milan shall procure that the Depositary shall promptly (and in any event, within ten (10) Business Days) issue and deliver to the Holders, by first-class postage prepaid mail, to the address of each Holder set forth in the CVR Register at such time or by other method of delivery as specified by the applicable Holder in writing to the Rights Agent, the number of whole Milan Depositary Shares equal to the product determined by multiplying (A) the quotient determined by dividing (x) the TIGIT Milestone Payment by (y) the total number of CVRs registered in the CVR Register at such time, by (B) the number of CVRs registered to such Holder in the CVR Register at such time. For the avoidance of doubt, each of the requirements of the TIGIT Milestone must be fully satisfied for the TIGIT Milestone to be considered to be attained, and (i) Milan shall have no further liability in respect of the TIGIT Milestone Payment upon delivery of the Milan Depositary Shares in accordance with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the satisfaction of each of Milan’s obligations set forth in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(ii) the Holders will not be entitled to, and Milan will not be liable for, any TIGIT Milestone Payment in the event of any partial satisfaction of the TIGIT Milestone.</w:t>
      </w:r>
    </w:p>
    <w:p>
      <w:pPr>
        <w:spacing w:after="0" w:line="106" w:lineRule="exact"/>
        <w:rPr>
          <w:rFonts w:ascii="Arial" w:cs="Arial" w:eastAsia="Arial" w:hAnsi="Arial"/>
          <w:sz w:val="18"/>
          <w:szCs w:val="18"/>
          <w:color w:val="auto"/>
        </w:rPr>
      </w:pPr>
    </w:p>
    <w:p>
      <w:pPr>
        <w:ind w:left="200" w:right="20" w:firstLine="885"/>
        <w:spacing w:after="0" w:line="236" w:lineRule="auto"/>
        <w:tabs>
          <w:tab w:leader="none" w:pos="135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a NAVI Milestone occurs at any time prior to the expiration of the Second NAVI Period and on each such occurrence, then, on or prior to the Milestone Payment Date relating thereto, Milan, or a Person nominated by Milan (with written notice thereof from Milan to the Rights Agent), as the case may be, will deliver to the Rights Agent (i) a certificate (each such certificate, a “</w:t>
      </w:r>
      <w:r>
        <w:rPr>
          <w:rFonts w:ascii="Arial" w:cs="Arial" w:eastAsia="Arial" w:hAnsi="Arial"/>
          <w:sz w:val="18"/>
          <w:szCs w:val="18"/>
          <w:u w:val="single" w:color="auto"/>
          <w:color w:val="auto"/>
        </w:rPr>
        <w:t>NAVI Milestone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Achievement Certificate</w:t>
      </w:r>
      <w:r>
        <w:rPr>
          <w:rFonts w:ascii="Arial" w:cs="Arial" w:eastAsia="Arial" w:hAnsi="Arial"/>
          <w:sz w:val="18"/>
          <w:szCs w:val="18"/>
          <w:color w:val="auto"/>
        </w:rPr>
        <w:t xml:space="preserve">”) certifying the date of satisfaction of the applicable NAVI Milestone and that the Holders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ten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 For the avoidance of doubt, each of the requirements of each NAVI Milestone must be fully satisfied for such NAVI Milestone to be considered to be attained, and (i) Milan shall have no further liability in respect of the NAVI Milestone Payment upon delivery of the relevant funds in accordance with this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(ii) the Holders will not be entitled to, and Milan will not be liable for, any NAVI Milestone Payment in the event of any partial satisfaction of the requirements relating to such NAVI Milestone.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20"/>
          </w:cols>
          <w:pgMar w:left="240" w:top="459" w:right="43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885"/>
        <w:spacing w:after="0" w:line="237" w:lineRule="auto"/>
        <w:tabs>
          <w:tab w:leader="none" w:pos="134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a Milestone is not attained at any time prior to the expiration of the applicable Milestone Period then, on or before the date that is ten (10) Business Days after the end of such Milestone Period, Milan will deliver to the Rights Agent an Officer’s Certificate (the “</w:t>
      </w:r>
      <w:r>
        <w:rPr>
          <w:rFonts w:ascii="Arial" w:cs="Arial" w:eastAsia="Arial" w:hAnsi="Arial"/>
          <w:sz w:val="18"/>
          <w:szCs w:val="18"/>
          <w:u w:val="single" w:color="auto"/>
          <w:color w:val="auto"/>
        </w:rPr>
        <w:t>Milestone Non-Achievement Certificate</w:t>
      </w:r>
      <w:r>
        <w:rPr>
          <w:rFonts w:ascii="Arial" w:cs="Arial" w:eastAsia="Arial" w:hAnsi="Arial"/>
          <w:sz w:val="18"/>
          <w:szCs w:val="18"/>
          <w:color w:val="auto"/>
        </w:rPr>
        <w:t>”) certifying that the applicable Milestone has not occurred and that Milan has complied in all material respects with its obligations under this Agreement. The Rights Agent will promptly (and in any event, within ten (10) Business Days after receipt) deliver a copy of such Milestone Non-Achievement Certificate to the Holders. The Rights Agent will deliver to Milan a certificate certifying the date of delivery of such certificate to the Holders.</w:t>
      </w:r>
    </w:p>
    <w:p>
      <w:pPr>
        <w:spacing w:after="0" w:line="97" w:lineRule="exact"/>
        <w:rPr>
          <w:rFonts w:ascii="Arial" w:cs="Arial" w:eastAsia="Arial" w:hAnsi="Arial"/>
          <w:sz w:val="18"/>
          <w:szCs w:val="18"/>
          <w:color w:val="auto"/>
        </w:rPr>
      </w:pPr>
    </w:p>
    <w:p>
      <w:pPr>
        <w:ind w:left="200" w:right="20" w:firstLine="885"/>
        <w:spacing w:after="0" w:line="239"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Rights Agent does not receive from the Majority of Holders a written objection to a Milestone Non-Achievement Certificate within thirty (30) Business Days after the date of delivery of such Milestone Non-Achievement Certificate by the Rights Agent to the Holders, the Holders will be deemed to have accepted such Milestone Non-Achievement Certificate, and Milan and its Subsidiaries will have no further obligation or liability with respect to the determination of the applicable Milestone Payment.</w:t>
      </w:r>
    </w:p>
    <w:p>
      <w:pPr>
        <w:spacing w:after="0" w:line="93" w:lineRule="exact"/>
        <w:rPr>
          <w:rFonts w:ascii="Arial" w:cs="Arial" w:eastAsia="Arial" w:hAnsi="Arial"/>
          <w:sz w:val="18"/>
          <w:szCs w:val="18"/>
          <w:color w:val="auto"/>
        </w:rPr>
      </w:pPr>
    </w:p>
    <w:p>
      <w:pPr>
        <w:ind w:left="200" w:right="120" w:firstLine="885"/>
        <w:spacing w:after="0" w:line="239"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Except to the extent any portion of any Milestone Payment is required to be treated as imputed interest pursuant to applicable Law, the parties hereto agree to treat the CVRs and all Milestone Payments for all Tax purposes as consideration for shares of Company Common Stock and Company Options pursuant to the Merger Agreement, and the parties hereto will not take any position to the contrary on any Tax Return or for other Tax purposes except as required by applicable Law.</w:t>
      </w:r>
    </w:p>
    <w:p>
      <w:pPr>
        <w:spacing w:after="0" w:line="93"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Milan and the Rights Agent will be entitled to deduct and withhold, or cause to be deducted and withheld, from any Milestone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time period for payment of a Milestone Payment by the Rights Agent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will be extended by a period equal to any delay caused by the Holder providing such forms,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in no event shall such period be extended for more than ten (10) Business Days, unless otherwise requested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for the purpose of delivering such forms and agreed to by the Rights Agent.</w:t>
      </w:r>
    </w:p>
    <w:p>
      <w:pPr>
        <w:spacing w:after="0" w:line="97" w:lineRule="exact"/>
        <w:rPr>
          <w:rFonts w:ascii="Arial" w:cs="Arial" w:eastAsia="Arial" w:hAnsi="Arial"/>
          <w:sz w:val="18"/>
          <w:szCs w:val="18"/>
          <w:color w:val="auto"/>
        </w:rPr>
      </w:pPr>
    </w:p>
    <w:p>
      <w:pPr>
        <w:ind w:left="200" w:right="60" w:firstLine="885"/>
        <w:spacing w:after="0" w:line="239"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portion of a Milestone Payment that remains undistributed to the Holders six (6) months after the Milestone Payment Date (including by means of uncashed checks or invalid addresses on the CVR Register) will be delivered by the Rights Agent to Milan or a person nominated in writing by Milan (with written notice thereof from Milan to the Rights Agent), and any Holder will thereafter look only to Milan for payment of such Milestone Payment (which shall be without interest).</w:t>
      </w:r>
    </w:p>
    <w:p>
      <w:pPr>
        <w:spacing w:after="0" w:line="93" w:lineRule="exact"/>
        <w:rPr>
          <w:rFonts w:ascii="Arial" w:cs="Arial" w:eastAsia="Arial" w:hAnsi="Arial"/>
          <w:sz w:val="18"/>
          <w:szCs w:val="18"/>
          <w:color w:val="auto"/>
        </w:rPr>
      </w:pPr>
    </w:p>
    <w:p>
      <w:pPr>
        <w:ind w:left="200" w:right="80" w:firstLine="885"/>
        <w:spacing w:after="0" w:line="237"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any Milestone Payment (or portion thereof) remains unclaimed by a Holder two (2) years after the applicable Milestone Payment Date (or immediately prior to such earlier date on which such Milestone Payment would otherwise escheat to or become the property of any Governmental Authority), such Milestone Payment (or portion thereof) will, to the extent permitted by applicable Law, become the property of Milan and will be transferred to Milan or a person nominated in writing by Milan (with written notice thereof from Milan to the Rights Agent), free and clear of all claims or interest of any Person previously entitled thereto, and no consideration or compensation shall be payable therefor. Neither Milan nor the Rights Agent will be liable to any Person in respect of a Milestone Payment delivered to a public official pursuant to any applicable abandoned property, escheat or similar legal requirement under applicable Law.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459" w:right="43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No Voting, Dividends or Interest; No Equity or Ownership Interest.</w:t>
      </w:r>
    </w:p>
    <w:p>
      <w:pPr>
        <w:spacing w:after="0" w:line="122" w:lineRule="exact"/>
        <w:rPr>
          <w:sz w:val="20"/>
          <w:szCs w:val="20"/>
          <w:color w:val="auto"/>
        </w:rPr>
      </w:pPr>
    </w:p>
    <w:p>
      <w:pPr>
        <w:ind w:left="1360" w:hanging="275"/>
        <w:spacing w:after="0"/>
        <w:tabs>
          <w:tab w:leader="none" w:pos="13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CVRs will not have any voting or dividend rights, and interest will not accrue on any amounts payable in respect of CVRs.</w:t>
      </w:r>
    </w:p>
    <w:p>
      <w:pPr>
        <w:spacing w:after="0" w:line="103" w:lineRule="exact"/>
        <w:rPr>
          <w:rFonts w:ascii="Arial" w:cs="Arial" w:eastAsia="Arial" w:hAnsi="Arial"/>
          <w:sz w:val="18"/>
          <w:szCs w:val="18"/>
          <w:color w:val="auto"/>
        </w:rPr>
      </w:pPr>
    </w:p>
    <w:p>
      <w:pPr>
        <w:ind w:left="200" w:right="40" w:firstLine="885"/>
        <w:spacing w:after="0" w:line="239" w:lineRule="auto"/>
        <w:tabs>
          <w:tab w:leader="none" w:pos="135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CVRs will not represent any equity or ownership interest in Milan or any of its Subsidiaries or in the Surviving Corporation. The sole right of the Holders to receive property hereunder is the right to receive Milestone Payments, if any, in accordance with the terms hereof. It is hereby acknowledged and agreed that a CVR shall not constitute a security of Milan or any of its Subsidiaries or of the Surviving Corporation.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Ability to Abandon CVR.</w:t>
      </w:r>
    </w:p>
    <w:p>
      <w:pPr>
        <w:spacing w:after="0" w:line="230"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A Holder may at any time, at such Holder’s option, abandon all of such Holder’s remaining rights represented by CVRs by transferring such CVR to Milan or a person nominated in writing by Milan (with written notice thereof from Milan to the Rights Agent) without consideration in compensation therefor, and such rights will be cancelled, with the Rights Agent being promptly notified in writing by Milan of such transfer and cancellation. Nothing in this Agreement is intended to prohibit Milan or its Affiliates from offering to acquire or acquiring CVRs, in private transactions or otherwise, for consideration in its sole discretion.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Share Consideration Cap.</w:t>
      </w:r>
    </w:p>
    <w:p>
      <w:pPr>
        <w:spacing w:after="0" w:line="230"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 xml:space="preserve">The number of Milan Ordinary Shares underlying the Milan Depositary Shares to be issued pursuant to this CVR Agreement, when aggregated with the number of Milan Ordinary Shares underlying the Milan Depositary Shares issued as Share Consideration pursuant to Section 1.5(a)(ii) of the Merger Agreement shall not, in the aggregate, exceed the Share Consideration Cap, and, if the aggregate number of Milan Depositary Shares to be issued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this CVR Agreement would require the allotment and issuance of an aggregate number of Milan Ordinary Shares (underlying such Milan Depositary Shares) that, together with the aggregate number of Milan Ordinary Shares underlying the Milan Depositary Shares issued at Closing (collectively, the “</w:t>
      </w:r>
      <w:r>
        <w:rPr>
          <w:rFonts w:ascii="Arial" w:cs="Arial" w:eastAsia="Arial" w:hAnsi="Arial"/>
          <w:sz w:val="18"/>
          <w:szCs w:val="18"/>
          <w:u w:val="single" w:color="auto"/>
          <w:color w:val="auto"/>
        </w:rPr>
        <w:t>Total Share Consideration</w:t>
      </w:r>
      <w:r>
        <w:rPr>
          <w:rFonts w:ascii="Arial" w:cs="Arial" w:eastAsia="Arial" w:hAnsi="Arial"/>
          <w:sz w:val="18"/>
          <w:szCs w:val="18"/>
          <w:color w:val="auto"/>
        </w:rPr>
        <w:t>”), otherwise exceed the Share Consideration Cap, then the number of Milan Depositary Shares to be issued pursuant to this CVR Agreement shall be appropriately reduced so that the Total Share Consideration does not exceed the Share Consideration Cap. For the avoidance of doubt, the Share Consideration Cap shall not operate to limit or restrict any NAVI Milestone Payment which is or becomes payable pursuant to this Agreement.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Cash Consideration Cap.</w:t>
      </w:r>
    </w:p>
    <w:p>
      <w:pPr>
        <w:spacing w:after="0" w:line="230"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 xml:space="preserve">The aggregate principal amount of all cash payments made to Holders by Milan as NAVI Milestone Payments pursuant to this CVR Agreement shall in no case exceed the Cash Consideration Cap. If the aggregate principal amount to be paid to Holders by Milan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of this CVR Agreement would, together with the aggregate principal amount of any prior such cash payments, otherwise exceed the Cash Consideration Cap, then the applicable NAVI Milestone Payment shall be appropriately reduced so that the aggregate principal amount of such payment, together with any prior such cash payments, does not exceed the Cash Consideration Cap.</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Fractional Entitlements.</w:t>
      </w:r>
    </w:p>
    <w:p>
      <w:pPr>
        <w:spacing w:after="0" w:line="230"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No fractional Milan Ordinary Shares or Milan Depositary Shares shall be issued in connection with the TIGIT Milestone Payment, and no certificates or scrip for any such fractional shares shall be issued. Any fractional share resulting from the application of the TIGIT Ratio shall be rounded down to the nearest whole share, with no cash being paid for any fractional share eliminated by such rounding.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00"/>
          </w:cols>
          <w:pgMar w:left="240" w:top="459" w:right="45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RIGHTS AGENT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Certain Duties and Responsibilities.</w:t>
      </w:r>
    </w:p>
    <w:p>
      <w:pPr>
        <w:spacing w:after="0" w:line="122" w:lineRule="exact"/>
        <w:rPr>
          <w:sz w:val="20"/>
          <w:szCs w:val="20"/>
          <w:color w:val="auto"/>
        </w:rPr>
      </w:pPr>
    </w:p>
    <w:p>
      <w:pPr>
        <w:ind w:left="200" w:firstLine="885"/>
        <w:spacing w:after="0" w:line="236" w:lineRule="auto"/>
        <w:tabs>
          <w:tab w:leader="none" w:pos="135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Milan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00" w:lineRule="exact"/>
        <w:rPr>
          <w:rFonts w:ascii="Arial" w:cs="Arial" w:eastAsia="Arial" w:hAnsi="Arial"/>
          <w:sz w:val="18"/>
          <w:szCs w:val="18"/>
          <w:color w:val="auto"/>
        </w:rPr>
      </w:pPr>
    </w:p>
    <w:p>
      <w:pPr>
        <w:ind w:left="200" w:right="20" w:firstLine="885"/>
        <w:spacing w:after="0" w:line="237" w:lineRule="auto"/>
        <w:tabs>
          <w:tab w:leader="none" w:pos="135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Milan or the Company. All rights of action under this Agreement may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Certain Rights of Rights Agent.</w:t>
      </w:r>
    </w:p>
    <w:p>
      <w:pPr>
        <w:spacing w:after="0" w:line="122" w:lineRule="exact"/>
        <w:rPr>
          <w:sz w:val="20"/>
          <w:szCs w:val="20"/>
          <w:color w:val="auto"/>
        </w:rPr>
      </w:pPr>
    </w:p>
    <w:p>
      <w:pPr>
        <w:ind w:left="200" w:right="240" w:firstLine="885"/>
        <w:spacing w:after="0" w:line="246" w:lineRule="auto"/>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88" w:lineRule="exact"/>
        <w:rPr>
          <w:rFonts w:ascii="Arial" w:cs="Arial" w:eastAsia="Arial" w:hAnsi="Arial"/>
          <w:sz w:val="18"/>
          <w:szCs w:val="18"/>
          <w:color w:val="auto"/>
        </w:rPr>
      </w:pPr>
    </w:p>
    <w:p>
      <w:pPr>
        <w:jc w:val="both"/>
        <w:ind w:left="200" w:firstLine="885"/>
        <w:spacing w:after="0"/>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may rely and will be protected by Milan in acting or refraining from acting upon any resolution, certificate, statement, instrument, opinion, report, notice, request, direction, consent, order or other paper or document believed by it in good faith to be genuine and to have been signed or presented by or on behalf of Milan.</w:t>
      </w:r>
    </w:p>
    <w:p>
      <w:pPr>
        <w:spacing w:after="0" w:line="94" w:lineRule="exact"/>
        <w:rPr>
          <w:rFonts w:ascii="Arial" w:cs="Arial" w:eastAsia="Arial" w:hAnsi="Arial"/>
          <w:sz w:val="18"/>
          <w:szCs w:val="18"/>
          <w:color w:val="auto"/>
        </w:rPr>
      </w:pPr>
    </w:p>
    <w:p>
      <w:pPr>
        <w:ind w:left="200" w:right="80" w:firstLine="885"/>
        <w:spacing w:after="0"/>
        <w:tabs>
          <w:tab w:leader="none" w:pos="134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Whenever the Rights Agent deems it desirable that a matter be proved or established prior to taking or omitting any action hereunder, the Rights Agent may (i) rely upon an Officer’s Certificate and (ii) incur no liability and be held harmless by Milan for or in respect of any action taken or omitted to be taken by it under the provisions of this Agreement in reliance upon such Officer’s Certificate.</w:t>
      </w:r>
    </w:p>
    <w:p>
      <w:pPr>
        <w:spacing w:after="0" w:line="94" w:lineRule="exact"/>
        <w:rPr>
          <w:rFonts w:ascii="Arial" w:cs="Arial" w:eastAsia="Arial" w:hAnsi="Arial"/>
          <w:sz w:val="18"/>
          <w:szCs w:val="18"/>
          <w:color w:val="auto"/>
        </w:rPr>
      </w:pPr>
    </w:p>
    <w:p>
      <w:pPr>
        <w:jc w:val="both"/>
        <w:ind w:left="200" w:right="180" w:firstLine="885"/>
        <w:spacing w:after="0"/>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may engage and consult with counsel of its selection, and the advice or opinion of such counsel will, in the absence of bad faith, gross negligence or willful misconduct on the part of the Rights Agent, be full and complete authorization and protection in respect of any action taken or not taken by the Rights Agent in reliance thereon.</w:t>
      </w:r>
    </w:p>
    <w:p>
      <w:pPr>
        <w:spacing w:after="0" w:line="94" w:lineRule="exact"/>
        <w:rPr>
          <w:rFonts w:ascii="Arial" w:cs="Arial" w:eastAsia="Arial" w:hAnsi="Arial"/>
          <w:sz w:val="18"/>
          <w:szCs w:val="18"/>
          <w:color w:val="auto"/>
        </w:rPr>
      </w:pPr>
    </w:p>
    <w:p>
      <w:pPr>
        <w:ind w:left="1360" w:hanging="275"/>
        <w:spacing w:after="0"/>
        <w:tabs>
          <w:tab w:leader="none" w:pos="13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permissive rights of the Rights Agent hereunder will not be construed as a duty.</w:t>
      </w:r>
    </w:p>
    <w:p>
      <w:pPr>
        <w:spacing w:after="0" w:line="103" w:lineRule="exact"/>
        <w:rPr>
          <w:rFonts w:ascii="Arial" w:cs="Arial" w:eastAsia="Arial" w:hAnsi="Arial"/>
          <w:sz w:val="18"/>
          <w:szCs w:val="18"/>
          <w:color w:val="auto"/>
        </w:rPr>
      </w:pPr>
    </w:p>
    <w:p>
      <w:pPr>
        <w:ind w:left="200" w:right="40" w:firstLine="885"/>
        <w:spacing w:after="0" w:line="246" w:lineRule="auto"/>
        <w:tabs>
          <w:tab w:leader="none" w:pos="130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will not be required to give any note or surety in respect of the execution of its powers or otherwise under this Agreement.</w:t>
      </w:r>
    </w:p>
    <w:p>
      <w:pPr>
        <w:spacing w:after="0" w:line="88" w:lineRule="exact"/>
        <w:rPr>
          <w:rFonts w:ascii="Arial" w:cs="Arial" w:eastAsia="Arial" w:hAnsi="Arial"/>
          <w:sz w:val="18"/>
          <w:szCs w:val="18"/>
          <w:color w:val="auto"/>
        </w:rPr>
      </w:pPr>
    </w:p>
    <w:p>
      <w:pPr>
        <w:ind w:left="200" w:right="80" w:firstLine="885"/>
        <w:spacing w:after="0" w:line="239" w:lineRule="auto"/>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Milan agrees to indemnify the Rights Agent for, and to hold the Rights Agent harmless from and against, any loss, liability, damage, judgment, fine, penalty, cost or expense (each, a “</w:t>
      </w:r>
      <w:r>
        <w:rPr>
          <w:rFonts w:ascii="Arial" w:cs="Arial" w:eastAsia="Arial" w:hAnsi="Arial"/>
          <w:sz w:val="18"/>
          <w:szCs w:val="18"/>
          <w:u w:val="single" w:color="auto"/>
          <w:color w:val="auto"/>
        </w:rPr>
        <w:t>Loss</w:t>
      </w:r>
      <w:r>
        <w:rPr>
          <w:rFonts w:ascii="Arial" w:cs="Arial" w:eastAsia="Arial" w:hAnsi="Arial"/>
          <w:sz w:val="18"/>
          <w:szCs w:val="18"/>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20"/>
          </w:cols>
          <w:pgMar w:left="240" w:top="459" w:right="53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or breach of this Agreement.</w:t>
      </w:r>
    </w:p>
    <w:p>
      <w:pPr>
        <w:spacing w:after="0" w:line="95" w:lineRule="exact"/>
        <w:rPr>
          <w:sz w:val="20"/>
          <w:szCs w:val="20"/>
          <w:color w:val="auto"/>
        </w:rPr>
      </w:pPr>
    </w:p>
    <w:p>
      <w:pPr>
        <w:ind w:left="200" w:right="40" w:firstLine="885"/>
        <w:spacing w:after="0" w:line="236" w:lineRule="auto"/>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In addition to the indemnification provided under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Milan agrees (i) to pay the fees of the Rights Agent in connection with the Rights Agent’s performance of its obligations hereunder, as agreed upon in writing by the Rights Agent and Milan on or prior to the date of this Agreement, and (ii) to reimburse the Rights Agent for all reasonable and properly documented out-of-pocket expenses, including all Taxes (other than income, receipt, franchise or similar Taxes) and governmental charges, incurred by the Rights Agent in the performance of its obligations under this Agreement, except that Milan will have no obligation to pay the fees of the Rights Agent or reimburse the Rights Agent in connection with any lawsuit initiated by the Rights Agent on behalf of itself or the Holders, except in the case of any suit enforcing the provisions of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if Milan is found by a court of competent jurisdiction to be liable to the Rights Agent or the Holders, as applicable in such suit.</w:t>
      </w:r>
    </w:p>
    <w:p>
      <w:pPr>
        <w:spacing w:after="0" w:line="100" w:lineRule="exact"/>
        <w:rPr>
          <w:rFonts w:ascii="Arial" w:cs="Arial" w:eastAsia="Arial" w:hAnsi="Arial"/>
          <w:sz w:val="18"/>
          <w:szCs w:val="18"/>
          <w:color w:val="auto"/>
        </w:rPr>
      </w:pPr>
    </w:p>
    <w:p>
      <w:pPr>
        <w:ind w:left="200" w:firstLine="885"/>
        <w:spacing w:after="0"/>
        <w:tabs>
          <w:tab w:leader="none" w:pos="129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94" w:lineRule="exact"/>
        <w:rPr>
          <w:rFonts w:ascii="Arial" w:cs="Arial" w:eastAsia="Arial" w:hAnsi="Arial"/>
          <w:sz w:val="18"/>
          <w:szCs w:val="18"/>
          <w:color w:val="auto"/>
        </w:rPr>
      </w:pPr>
    </w:p>
    <w:p>
      <w:pPr>
        <w:ind w:left="200" w:right="80" w:firstLine="885"/>
        <w:spacing w:after="0"/>
        <w:tabs>
          <w:tab w:leader="none" w:pos="129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94" w:lineRule="exact"/>
        <w:rPr>
          <w:rFonts w:ascii="Arial" w:cs="Arial" w:eastAsia="Arial" w:hAnsi="Arial"/>
          <w:sz w:val="18"/>
          <w:szCs w:val="18"/>
          <w:color w:val="auto"/>
        </w:rPr>
      </w:pPr>
    </w:p>
    <w:p>
      <w:pPr>
        <w:ind w:left="200" w:right="80" w:firstLine="885"/>
        <w:spacing w:after="0" w:line="239" w:lineRule="auto"/>
        <w:tabs>
          <w:tab w:leader="none" w:pos="134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Subject to applicable Law, (i) the Rights Agent and any shareholder, affiliate, director, officer or employee of the Rights Agent may buy, sell or deal in any securities of Milan or become peculiarly interested in any transaction in which Milan may be interested, or contract with or lend money to Milan or otherwise act as fully and freely as though it were not the Rights Agent under this Agreement, and (ii) nothing herein will preclude the Rights Agent from acting in any other capacity for Milan or for any other Person.</w:t>
      </w:r>
    </w:p>
    <w:p>
      <w:pPr>
        <w:spacing w:after="0" w:line="93" w:lineRule="exact"/>
        <w:rPr>
          <w:rFonts w:ascii="Arial" w:cs="Arial" w:eastAsia="Arial" w:hAnsi="Arial"/>
          <w:sz w:val="18"/>
          <w:szCs w:val="18"/>
          <w:color w:val="auto"/>
        </w:rPr>
      </w:pPr>
    </w:p>
    <w:p>
      <w:pPr>
        <w:ind w:left="200" w:firstLine="885"/>
        <w:spacing w:after="0" w:line="238" w:lineRule="auto"/>
        <w:tabs>
          <w:tab w:leader="none" w:pos="129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Milan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94" w:lineRule="exact"/>
        <w:rPr>
          <w:rFonts w:ascii="Arial" w:cs="Arial" w:eastAsia="Arial" w:hAnsi="Arial"/>
          <w:sz w:val="18"/>
          <w:szCs w:val="18"/>
          <w:color w:val="auto"/>
        </w:rPr>
      </w:pPr>
    </w:p>
    <w:p>
      <w:pPr>
        <w:ind w:left="200" w:right="40" w:firstLine="885"/>
        <w:spacing w:after="0"/>
        <w:tabs>
          <w:tab w:leader="none" w:pos="140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Milan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94" w:lineRule="exact"/>
        <w:rPr>
          <w:rFonts w:ascii="Arial" w:cs="Arial" w:eastAsia="Arial" w:hAnsi="Arial"/>
          <w:sz w:val="18"/>
          <w:szCs w:val="18"/>
          <w:color w:val="auto"/>
        </w:rPr>
      </w:pPr>
    </w:p>
    <w:p>
      <w:pPr>
        <w:ind w:left="200" w:right="60" w:firstLine="885"/>
        <w:spacing w:after="0"/>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Milan only.</w:t>
      </w:r>
    </w:p>
    <w:p>
      <w:pPr>
        <w:spacing w:after="0" w:line="94" w:lineRule="exact"/>
        <w:rPr>
          <w:rFonts w:ascii="Arial" w:cs="Arial" w:eastAsia="Arial" w:hAnsi="Arial"/>
          <w:sz w:val="18"/>
          <w:szCs w:val="18"/>
          <w:color w:val="auto"/>
        </w:rPr>
      </w:pPr>
    </w:p>
    <w:p>
      <w:pPr>
        <w:ind w:left="200" w:right="820" w:firstLine="885"/>
        <w:spacing w:after="0" w:line="246" w:lineRule="auto"/>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obligations of Milan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survive the expiration of the CVRs and the termination of this Agreement and the resignation, replacement or removal of the Rights Agent.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80"/>
          </w:cols>
          <w:pgMar w:left="240" w:top="460" w:right="47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Resignation and Removal; Appointment of Successor.</w:t>
      </w:r>
    </w:p>
    <w:p>
      <w:pPr>
        <w:spacing w:after="0" w:line="122" w:lineRule="exact"/>
        <w:rPr>
          <w:sz w:val="20"/>
          <w:szCs w:val="20"/>
          <w:color w:val="auto"/>
        </w:rPr>
      </w:pPr>
    </w:p>
    <w:p>
      <w:pPr>
        <w:ind w:left="200" w:right="180" w:firstLine="885"/>
        <w:spacing w:after="0" w:line="239" w:lineRule="auto"/>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Rights Agent may resign at any time by written notice to Milan. Any such resignation notice shall specify the date on which such resignation will take effect (which shall be at least forty-five (45) days following the date that such resignation notice is delivered), and such resignation will be effective on the earlier of (x) the date so specified and (y) the appointment of a successor Rights Agent.</w:t>
      </w:r>
    </w:p>
    <w:p>
      <w:pPr>
        <w:spacing w:after="0" w:line="93" w:lineRule="exact"/>
        <w:rPr>
          <w:rFonts w:ascii="Arial" w:cs="Arial" w:eastAsia="Arial" w:hAnsi="Arial"/>
          <w:sz w:val="18"/>
          <w:szCs w:val="18"/>
          <w:color w:val="auto"/>
        </w:rPr>
      </w:pPr>
    </w:p>
    <w:p>
      <w:pPr>
        <w:ind w:left="200" w:firstLine="885"/>
        <w:spacing w:after="0"/>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Milan will have the right to remove the Rights Agent at any time by written notice to the Rights Agent, specifying the date on which such removal will take effect. Such notice will be given at least forty-five (45) days prior to the date so specified (or, if earlier, the appointment of the successor Rights Agent).</w:t>
      </w:r>
    </w:p>
    <w:p>
      <w:pPr>
        <w:spacing w:after="0" w:line="94" w:lineRule="exact"/>
        <w:rPr>
          <w:rFonts w:ascii="Arial" w:cs="Arial" w:eastAsia="Arial" w:hAnsi="Arial"/>
          <w:sz w:val="18"/>
          <w:szCs w:val="18"/>
          <w:color w:val="auto"/>
        </w:rPr>
      </w:pPr>
    </w:p>
    <w:p>
      <w:pPr>
        <w:ind w:left="200" w:right="120" w:firstLine="885"/>
        <w:spacing w:after="0" w:line="237" w:lineRule="auto"/>
        <w:tabs>
          <w:tab w:leader="none" w:pos="134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If the Rights Agent resigns, is removed or becomes incapable of acting, Milan will promptly appoint a qualified successor Rights Agent. Notwithstanding the foregoing, if Milan fails to make such appointment within a period of forty-five (45)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w:t>
      </w:r>
      <w:r>
        <w:rPr>
          <w:rFonts w:ascii="Arial" w:cs="Arial" w:eastAsia="Arial" w:hAnsi="Arial"/>
          <w:sz w:val="18"/>
          <w:szCs w:val="18"/>
          <w:color w:val="auto"/>
        </w:rPr>
        <w:t>, become the Rights Agent for all purposes hereunder.</w:t>
      </w:r>
    </w:p>
    <w:p>
      <w:pPr>
        <w:spacing w:after="0" w:line="97"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Milan will give notice to the Holders of each resignation or removal of the Rights Agent and each appointment of a successor Rights Agent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Each notice will include the name and address of the successor Rights Agent. If Milan fails to send such notice within ten (10) Business Days after acceptance of appointment by a successor Rights Agent, the successor Rights Agent will cause the notice to be mailed at the expense of Milan.</w:t>
      </w:r>
    </w:p>
    <w:p>
      <w:pPr>
        <w:spacing w:after="0" w:line="93" w:lineRule="exact"/>
        <w:rPr>
          <w:rFonts w:ascii="Arial" w:cs="Arial" w:eastAsia="Arial" w:hAnsi="Arial"/>
          <w:sz w:val="18"/>
          <w:szCs w:val="18"/>
          <w:color w:val="auto"/>
        </w:rPr>
      </w:pPr>
    </w:p>
    <w:p>
      <w:pPr>
        <w:ind w:left="200" w:right="60" w:firstLine="885"/>
        <w:spacing w:after="0"/>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3.3</w:t>
      </w:r>
      <w:r>
        <w:rPr>
          <w:rFonts w:ascii="Arial" w:cs="Arial" w:eastAsia="Arial" w:hAnsi="Arial"/>
          <w:sz w:val="18"/>
          <w:szCs w:val="18"/>
          <w:color w:val="auto"/>
        </w:rPr>
        <w:t>, unless consented to in writing by the Majority of Holders, Milan will not appoint as a successor Rights Agent any Person that is not a stock transfer agent of national reputation or the corporate trust department of a commercial bank.</w:t>
      </w:r>
    </w:p>
    <w:p>
      <w:pPr>
        <w:spacing w:after="0" w:line="94" w:lineRule="exact"/>
        <w:rPr>
          <w:rFonts w:ascii="Arial" w:cs="Arial" w:eastAsia="Arial" w:hAnsi="Arial"/>
          <w:sz w:val="18"/>
          <w:szCs w:val="18"/>
          <w:color w:val="auto"/>
        </w:rPr>
      </w:pPr>
    </w:p>
    <w:p>
      <w:pPr>
        <w:jc w:val="both"/>
        <w:ind w:left="200" w:right="160" w:firstLine="885"/>
        <w:spacing w:after="0"/>
        <w:tabs>
          <w:tab w:leader="none" w:pos="130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Rights Agent will reasonably cooperate with Milan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Acceptance of Appointment by Successor.</w:t>
      </w:r>
    </w:p>
    <w:p>
      <w:pPr>
        <w:spacing w:after="0" w:line="230"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 xml:space="preserve">Every successor Rights Agent appointed hereunder will, at or prior to such appointment, execute, acknowledge and deliver to Milan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upon the request of Milan or the successor Rights Agent, such resigning or removed Rights Agent will execute and deliver an instrument transferring to such successor Rights Agent all the rights, powers and trusts of such resigning or removed Rights Agent.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COVENANTS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List of Holders.</w:t>
      </w:r>
    </w:p>
    <w:p>
      <w:pPr>
        <w:spacing w:after="0" w:line="230"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Milan will furnish or cause to be furnished to the Rights Agent, in such form as Milan receives from the Company’s transfer agent (or other agent performing similar services for the Company), the names and addresses of the Holders within fifteen (15) Business Days following the Closing Date.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80"/>
          </w:cols>
          <w:pgMar w:left="240" w:top="459" w:right="47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TIGIT.</w:t>
      </w:r>
    </w:p>
    <w:p>
      <w:pPr>
        <w:spacing w:after="0" w:line="122" w:lineRule="exact"/>
        <w:rPr>
          <w:sz w:val="20"/>
          <w:szCs w:val="20"/>
          <w:color w:val="auto"/>
        </w:rPr>
      </w:pPr>
    </w:p>
    <w:p>
      <w:pPr>
        <w:ind w:left="200" w:right="260" w:firstLine="885"/>
        <w:spacing w:after="0" w:line="246" w:lineRule="auto"/>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During the TIGIT Milestone Period, Milan will, and will cause its Subsidiaries to, use Diligent Efforts to obtain and receive the TIGIT Cash Payment upon execution of a License Agreement (as defined under the Celgene Collaboration Agreement).</w:t>
      </w:r>
    </w:p>
    <w:p>
      <w:pPr>
        <w:spacing w:after="0" w:line="88" w:lineRule="exact"/>
        <w:rPr>
          <w:rFonts w:ascii="Arial" w:cs="Arial" w:eastAsia="Arial" w:hAnsi="Arial"/>
          <w:sz w:val="18"/>
          <w:szCs w:val="18"/>
          <w:color w:val="auto"/>
        </w:rPr>
      </w:pPr>
    </w:p>
    <w:p>
      <w:pPr>
        <w:ind w:left="200" w:right="220" w:firstLine="885"/>
        <w:spacing w:after="0"/>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Notwithstanding anything to the contrary herein, Milan will not, and will cause its Subsidiaries to not, breach any of the material terms and conditions under the Celgene Collaboration Agreement that relate to the TIGIT Program, including Section 3.1.3 and Section 5.1.4(b).</w:t>
      </w:r>
    </w:p>
    <w:p>
      <w:pPr>
        <w:spacing w:after="0" w:line="94" w:lineRule="exact"/>
        <w:rPr>
          <w:rFonts w:ascii="Arial" w:cs="Arial" w:eastAsia="Arial" w:hAnsi="Arial"/>
          <w:sz w:val="18"/>
          <w:szCs w:val="18"/>
          <w:color w:val="auto"/>
        </w:rPr>
      </w:pPr>
    </w:p>
    <w:p>
      <w:pPr>
        <w:ind w:left="200" w:right="280" w:firstLine="885"/>
        <w:spacing w:after="0"/>
        <w:tabs>
          <w:tab w:leader="none" w:pos="134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and Section 4.2(b), none of Milan or any of its Subsidiaries shall have any obligation or liability whatsoever to any Person relating to or in connection with any action, or failure to act, with respect to the TIGIT Program, including in connection with any failure to receive the TIGIT Cash Payment.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NAVI.</w:t>
      </w:r>
    </w:p>
    <w:p>
      <w:pPr>
        <w:spacing w:after="0" w:line="122" w:lineRule="exact"/>
        <w:rPr>
          <w:sz w:val="20"/>
          <w:szCs w:val="20"/>
          <w:color w:val="auto"/>
        </w:rPr>
      </w:pPr>
    </w:p>
    <w:p>
      <w:pPr>
        <w:ind w:left="200" w:firstLine="885"/>
        <w:spacing w:after="0" w:line="236" w:lineRule="auto"/>
        <w:tabs>
          <w:tab w:leader="none" w:pos="135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During the First NAVI Period, Milan will permit the individuals associated with NAVI Sub and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NAVI Team</w:t>
      </w:r>
      <w:r>
        <w:rPr>
          <w:rFonts w:ascii="Arial" w:cs="Arial" w:eastAsia="Arial" w:hAnsi="Arial"/>
          <w:sz w:val="18"/>
          <w:szCs w:val="18"/>
          <w:color w:val="auto"/>
        </w:rPr>
        <w:t xml:space="preserve">”) to use Diligent Efforts to (i) solicit third party interest with respect to a NAVI Agreement, such that the NAVI Sub or a third party, as applicable, will advance the NAVI Product, and (ii) recommend, by written notice to the chief executive officer of Milan, that Milan enter into discussions with one or more such third parties that have expressed interest with respect to a NAVI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notwithstanding anything to the contrary in this Agreement, Milan will have no obligation or liability to fund or otherwise support or incur any cost or expense relating to NAVI Sub or the NAVI Product in excess of the commitments provided for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(except in respect of clinical trials commenced prior to the date hereof). Milan will use Diligent Efforts to promptly and in good faith evaluate any expression of interest so recommended by the NAVI Team and will, if determined by Milan in good faith to be reasonably likely to result in a NAVI Agreement reasonably acceptable to Milan, use Diligent Efforts to negotiate (with the assistance of the NAVI Team, as requested by Milan) with the relevant third party, the definitive documentation for a NAVI Agreement.</w:t>
      </w:r>
    </w:p>
    <w:p>
      <w:pPr>
        <w:spacing w:after="0" w:line="98" w:lineRule="exact"/>
        <w:rPr>
          <w:rFonts w:ascii="Arial" w:cs="Arial" w:eastAsia="Arial" w:hAnsi="Arial"/>
          <w:sz w:val="18"/>
          <w:szCs w:val="18"/>
          <w:color w:val="auto"/>
        </w:rPr>
      </w:pPr>
    </w:p>
    <w:p>
      <w:pPr>
        <w:ind w:left="200" w:right="60" w:firstLine="885"/>
        <w:spacing w:after="0" w:line="239" w:lineRule="auto"/>
        <w:tabs>
          <w:tab w:leader="none" w:pos="135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 none of Milan or any of its Subsidiaries shall have any obligation or liability whatsoever to any Person relating to or in connection with any action, or failure to act, by the NAVI Team, including in connection with any failure (i) to identify third parties or solicit acceptable third party expressions of interest or (ii) to enter into enter into a NAVI Agreement prior to the expiration of the First NAVI Period.</w:t>
      </w:r>
    </w:p>
    <w:p>
      <w:pPr>
        <w:spacing w:after="0" w:line="93" w:lineRule="exact"/>
        <w:rPr>
          <w:rFonts w:ascii="Arial" w:cs="Arial" w:eastAsia="Arial" w:hAnsi="Arial"/>
          <w:sz w:val="18"/>
          <w:szCs w:val="18"/>
          <w:color w:val="auto"/>
        </w:rPr>
      </w:pPr>
    </w:p>
    <w:p>
      <w:pPr>
        <w:ind w:left="200" w:firstLine="885"/>
        <w:spacing w:after="0" w:line="253" w:lineRule="auto"/>
        <w:tabs>
          <w:tab w:leader="none" w:pos="1341"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entry into a NAVI Agreement by Milan or any of its Subsidiaries (including NAVI Sub) shall be subject to, and contingent upon, a determination by the Milan Board, having consulted with outside counsel, that the NAVI Agreement is fair to, advisable and in the best interests of Milan and its shareholders. Without limiting the foregoing, neither Milan nor any of its Subsidiaries (including NAVI Sub) shall be compelled to enter into any investment agreement, stock sale agreement, or similar agreement with respect to NAVI Sub or the NAVI Product if, immediately following the execution of such agreement, Milan or one or more of its Subsidiaries (other than NAVI Sub) would hold less than nineteen-point-five (19.5%) of the issued and outstanding equity interests of NAVI Sub on a fully-diluted basis.</w:t>
      </w:r>
    </w:p>
    <w:p>
      <w:pPr>
        <w:spacing w:after="0" w:line="87" w:lineRule="exact"/>
        <w:rPr>
          <w:rFonts w:ascii="Arial" w:cs="Arial" w:eastAsia="Arial" w:hAnsi="Arial"/>
          <w:sz w:val="17"/>
          <w:szCs w:val="17"/>
          <w:color w:val="auto"/>
        </w:rPr>
      </w:pPr>
    </w:p>
    <w:p>
      <w:pPr>
        <w:ind w:left="200" w:right="40" w:firstLine="885"/>
        <w:spacing w:after="0" w:line="238" w:lineRule="auto"/>
        <w:tabs>
          <w:tab w:leader="none" w:pos="135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the avoidance of doubt (i) upon and following the entry into a NAVI Agreement, Milan and its Subsidiaries’ obligations, if any, with respect to NAVI Sub or the NAVI Product shall be set forth exclusively in such NAVI Agreement and Milan and its Subsidiaries shall have no obligation or liability to Holders with respect thereto, other than as expressly set forth herein, and (ii) Milan and its Subsidiaries shall not be required to enter into a NAVI Agreement or any other agreement with respect to NAVI Sub or the NAVI Product after the expiration of the First NAVI Period.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200"/>
          </w:cols>
          <w:pgMar w:left="240" w:top="459" w:right="45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Prohibited Actions.</w:t>
      </w:r>
    </w:p>
    <w:p>
      <w:pPr>
        <w:spacing w:after="0" w:line="230" w:lineRule="exact"/>
        <w:rPr>
          <w:sz w:val="20"/>
          <w:szCs w:val="20"/>
          <w:color w:val="auto"/>
        </w:rPr>
      </w:pPr>
    </w:p>
    <w:p>
      <w:pPr>
        <w:ind w:left="200" w:right="740" w:firstLine="441"/>
        <w:spacing w:after="0" w:line="246" w:lineRule="auto"/>
        <w:rPr>
          <w:sz w:val="20"/>
          <w:szCs w:val="20"/>
          <w:color w:val="auto"/>
        </w:rPr>
      </w:pPr>
      <w:r>
        <w:rPr>
          <w:rFonts w:ascii="Arial" w:cs="Arial" w:eastAsia="Arial" w:hAnsi="Arial"/>
          <w:sz w:val="18"/>
          <w:szCs w:val="18"/>
          <w:color w:val="auto"/>
        </w:rPr>
        <w:t>Milan shall take no action for the principal purpose of (i) reducing the amount of any Milestone Payments payable under this Agreement or (ii) restricting Milan’s ability to pay any of the Milestone Payments hereunder.</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Amendments Without Consent of Holders or Rights Agent.</w:t>
      </w:r>
    </w:p>
    <w:p>
      <w:pPr>
        <w:spacing w:after="0" w:line="122" w:lineRule="exact"/>
        <w:rPr>
          <w:sz w:val="20"/>
          <w:szCs w:val="20"/>
          <w:color w:val="auto"/>
        </w:rPr>
      </w:pPr>
    </w:p>
    <w:p>
      <w:pPr>
        <w:ind w:left="200" w:right="200" w:firstLine="885"/>
        <w:spacing w:after="0" w:line="246" w:lineRule="auto"/>
        <w:tabs>
          <w:tab w:leader="none" w:pos="1351" w:val="left"/>
        </w:tabs>
        <w:numPr>
          <w:ilvl w:val="1"/>
          <w:numId w:val="353"/>
        </w:numPr>
        <w:rPr>
          <w:rFonts w:ascii="Arial" w:cs="Arial" w:eastAsia="Arial" w:hAnsi="Arial"/>
          <w:sz w:val="18"/>
          <w:szCs w:val="18"/>
          <w:color w:val="auto"/>
        </w:rPr>
      </w:pPr>
      <w:r>
        <w:rPr>
          <w:rFonts w:ascii="Arial" w:cs="Arial" w:eastAsia="Arial" w:hAnsi="Arial"/>
          <w:sz w:val="18"/>
          <w:szCs w:val="18"/>
          <w:color w:val="auto"/>
        </w:rPr>
        <w:t>Milan, at any time and from time to time, may unilaterally enter into one or more amendments to this Agreement for any of the following purposes, without the consent of any of the Holders or the Rights Agent:</w:t>
      </w:r>
    </w:p>
    <w:p>
      <w:pPr>
        <w:spacing w:after="0" w:line="88" w:lineRule="exact"/>
        <w:rPr>
          <w:rFonts w:ascii="Arial" w:cs="Arial" w:eastAsia="Arial" w:hAnsi="Arial"/>
          <w:sz w:val="18"/>
          <w:szCs w:val="18"/>
          <w:color w:val="auto"/>
        </w:rPr>
      </w:pPr>
    </w:p>
    <w:p>
      <w:pPr>
        <w:ind w:left="640" w:right="240" w:firstLine="428"/>
        <w:spacing w:after="0" w:line="246" w:lineRule="auto"/>
        <w:tabs>
          <w:tab w:leader="none" w:pos="127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88" w:lineRule="exact"/>
        <w:rPr>
          <w:rFonts w:ascii="Arial" w:cs="Arial" w:eastAsia="Arial" w:hAnsi="Arial"/>
          <w:sz w:val="18"/>
          <w:szCs w:val="18"/>
          <w:color w:val="auto"/>
        </w:rPr>
      </w:pPr>
    </w:p>
    <w:p>
      <w:pPr>
        <w:ind w:left="640" w:right="120" w:firstLine="428"/>
        <w:spacing w:after="0" w:line="246" w:lineRule="auto"/>
        <w:tabs>
          <w:tab w:leader="none" w:pos="131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to evidence the succession of another person to Milan and the assumption of any such successor of the covenants of Milan outlined herein in a transaction contemplated by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640" w:right="140" w:firstLine="428"/>
        <w:spacing w:after="0" w:line="246" w:lineRule="auto"/>
        <w:tabs>
          <w:tab w:leader="none" w:pos="135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to add to the covenants of Milan such further covenants, restrictions, conditions or provisions for the protection and benefit of the 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shall not adversely affect the interests of the Holders;</w:t>
      </w:r>
    </w:p>
    <w:p>
      <w:pPr>
        <w:spacing w:after="0" w:line="88" w:lineRule="exact"/>
        <w:rPr>
          <w:rFonts w:ascii="Arial" w:cs="Arial" w:eastAsia="Arial" w:hAnsi="Arial"/>
          <w:sz w:val="18"/>
          <w:szCs w:val="18"/>
          <w:color w:val="auto"/>
        </w:rPr>
      </w:pPr>
    </w:p>
    <w:p>
      <w:pPr>
        <w:ind w:left="640" w:right="220" w:firstLine="428"/>
        <w:spacing w:after="0"/>
        <w:tabs>
          <w:tab w:leader="none" w:pos="136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shall not adversely affect the interests of the Holders;</w:t>
      </w:r>
    </w:p>
    <w:p>
      <w:pPr>
        <w:spacing w:after="0" w:line="94" w:lineRule="exact"/>
        <w:rPr>
          <w:rFonts w:ascii="Arial" w:cs="Arial" w:eastAsia="Arial" w:hAnsi="Arial"/>
          <w:sz w:val="18"/>
          <w:szCs w:val="18"/>
          <w:color w:val="auto"/>
        </w:rPr>
      </w:pPr>
    </w:p>
    <w:p>
      <w:pPr>
        <w:ind w:left="640" w:firstLine="428"/>
        <w:spacing w:after="0"/>
        <w:tabs>
          <w:tab w:leader="none" w:pos="132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94" w:lineRule="exact"/>
        <w:rPr>
          <w:rFonts w:ascii="Arial" w:cs="Arial" w:eastAsia="Arial" w:hAnsi="Arial"/>
          <w:sz w:val="18"/>
          <w:szCs w:val="18"/>
          <w:color w:val="auto"/>
        </w:rPr>
      </w:pPr>
    </w:p>
    <w:p>
      <w:pPr>
        <w:ind w:left="640" w:right="20" w:firstLine="428"/>
        <w:spacing w:after="0" w:line="246" w:lineRule="auto"/>
        <w:tabs>
          <w:tab w:leader="none" w:pos="136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Milan is not required to produce a prospectus or an admission document in order to comply with applicable Law;</w:t>
      </w:r>
    </w:p>
    <w:p>
      <w:pPr>
        <w:spacing w:after="0" w:line="88" w:lineRule="exact"/>
        <w:rPr>
          <w:rFonts w:ascii="Arial" w:cs="Arial" w:eastAsia="Arial" w:hAnsi="Arial"/>
          <w:sz w:val="18"/>
          <w:szCs w:val="18"/>
          <w:color w:val="auto"/>
        </w:rPr>
      </w:pPr>
    </w:p>
    <w:p>
      <w:pPr>
        <w:jc w:val="both"/>
        <w:ind w:left="640" w:right="60" w:firstLine="428"/>
        <w:spacing w:after="0"/>
        <w:tabs>
          <w:tab w:leader="none" w:pos="140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to cancel CVRs (i) in the event that any Holder has abandoned its rights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(ii) in order to give effect to the provisions of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or (iii) following a transfer of such CVRs to Milan or its Affiliates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left="1440" w:hanging="372"/>
        <w:spacing w:after="0"/>
        <w:tabs>
          <w:tab w:leader="none" w:pos="14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Milan complies with applicable Law; or</w:t>
      </w:r>
    </w:p>
    <w:p>
      <w:pPr>
        <w:spacing w:after="0" w:line="103" w:lineRule="exact"/>
        <w:rPr>
          <w:rFonts w:ascii="Arial" w:cs="Arial" w:eastAsia="Arial" w:hAnsi="Arial"/>
          <w:sz w:val="18"/>
          <w:szCs w:val="18"/>
          <w:color w:val="auto"/>
        </w:rPr>
      </w:pPr>
    </w:p>
    <w:p>
      <w:pPr>
        <w:ind w:left="640" w:right="180" w:firstLine="428"/>
        <w:spacing w:after="0" w:line="246" w:lineRule="auto"/>
        <w:tabs>
          <w:tab w:leader="none" w:pos="136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effect any other amendment to this Agreement that would provide any additional rights or benefits to the Holders or that does not adversely affect the legal rights under this Agreement of any such Holder.</w:t>
      </w:r>
    </w:p>
    <w:p>
      <w:pPr>
        <w:spacing w:after="0" w:line="197"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Notwithstanding anything to the contrary contained herein, Milan and the Rights Agent may, but will not be obligated to, enter into any amendment that adversely affects, in any material respect, the Rights Agent’s own rights, duties, responsibilities or protections</w:t>
      </w:r>
    </w:p>
    <w:p>
      <w:pPr>
        <w:spacing w:after="0" w:line="89" w:lineRule="exact"/>
        <w:rPr>
          <w:sz w:val="20"/>
          <w:szCs w:val="20"/>
          <w:color w:val="auto"/>
        </w:rPr>
      </w:pPr>
    </w:p>
    <w:p>
      <w:pPr>
        <w:ind w:left="200" w:right="340" w:firstLine="885"/>
        <w:spacing w:after="0" w:line="246" w:lineRule="auto"/>
        <w:tabs>
          <w:tab w:leader="none" w:pos="135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Promptly after the execution by Milan of any amendment pursuant to this Section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Milan will (or will cause the Rights Agent to) notify the Holders in general terms of the substance of such amendment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20"/>
          </w:cols>
          <w:pgMar w:left="240" w:top="459" w:right="43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Amendments with Consent of Holders.</w:t>
      </w:r>
    </w:p>
    <w:p>
      <w:pPr>
        <w:spacing w:after="0" w:line="122" w:lineRule="exact"/>
        <w:rPr>
          <w:sz w:val="20"/>
          <w:szCs w:val="20"/>
          <w:color w:val="auto"/>
        </w:rPr>
      </w:pPr>
    </w:p>
    <w:p>
      <w:pPr>
        <w:ind w:left="200" w:firstLine="885"/>
        <w:spacing w:after="0" w:line="239" w:lineRule="auto"/>
        <w:tabs>
          <w:tab w:leader="none" w:pos="135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In addition to any amendments to this Agreement that may be made by Milan without the consent of any Holder or the Rights Agent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with the consent of the Majority of Holders, Milan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Promptly after the execution by Milan and the Rights Agent of any amendment pursuant to the provisions of this</w:t>
      </w:r>
    </w:p>
    <w:p>
      <w:pPr>
        <w:ind w:left="200" w:right="560"/>
        <w:spacing w:after="0" w:line="246" w:lineRule="auto"/>
        <w:rPr>
          <w:sz w:val="20"/>
          <w:szCs w:val="20"/>
          <w:color w:val="auto"/>
        </w:rPr>
      </w:pP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5.2, Milan will (or will cause the Rights Agent to) notify the Holders in general terms of the substance of such amendment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Effect of Amendments.</w:t>
      </w:r>
    </w:p>
    <w:p>
      <w:pPr>
        <w:spacing w:after="0" w:line="230"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 xml:space="preserve">Upon the execution of any amendment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this Agreement will be modified in accordance therewith, such amendment will form a part of this Agreement for all purposes and every Holder will be bound thereby. Upon the delivery of a certificate from an appropriate officer of Milan which states that the proposed supplement or amendment is in compliance with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Milan May Not Consolidate, Etc.</w:t>
      </w:r>
    </w:p>
    <w:p>
      <w:pPr>
        <w:spacing w:after="0" w:line="230"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Milan shall not consolidate with or merge into any other Person or convey, transfer or lease its properties and assets substantially as an entirety to any Person, unless:</w:t>
      </w:r>
    </w:p>
    <w:p>
      <w:pPr>
        <w:spacing w:after="0" w:line="89" w:lineRule="exact"/>
        <w:rPr>
          <w:sz w:val="20"/>
          <w:szCs w:val="20"/>
          <w:color w:val="auto"/>
        </w:rPr>
      </w:pPr>
    </w:p>
    <w:p>
      <w:pPr>
        <w:ind w:left="200" w:right="80" w:firstLine="885"/>
        <w:spacing w:after="0" w:line="239" w:lineRule="auto"/>
        <w:tabs>
          <w:tab w:leader="none" w:pos="135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Milan is merged or the Person that acquires by conveyance or transfer, or that leases, the properties and assets of Milan substantially as an entirety (the “</w:t>
      </w:r>
      <w:r>
        <w:rPr>
          <w:rFonts w:ascii="Arial" w:cs="Arial" w:eastAsia="Arial" w:hAnsi="Arial"/>
          <w:sz w:val="18"/>
          <w:szCs w:val="18"/>
          <w:u w:val="single" w:color="auto"/>
          <w:color w:val="auto"/>
        </w:rPr>
        <w:t>Surviving Person</w:t>
      </w:r>
      <w:r>
        <w:rPr>
          <w:rFonts w:ascii="Arial" w:cs="Arial" w:eastAsia="Arial" w:hAnsi="Arial"/>
          <w:sz w:val="18"/>
          <w:szCs w:val="18"/>
          <w:color w:val="auto"/>
        </w:rPr>
        <w:t>”) shall expressly assume payment of amounts on all CVRs and the performance of every duty and covenant of this Agreement on the part of Milan to be performed or observed; and</w:t>
      </w:r>
    </w:p>
    <w:p>
      <w:pPr>
        <w:spacing w:after="0" w:line="93" w:lineRule="exact"/>
        <w:rPr>
          <w:rFonts w:ascii="Arial" w:cs="Arial" w:eastAsia="Arial" w:hAnsi="Arial"/>
          <w:sz w:val="18"/>
          <w:szCs w:val="18"/>
          <w:color w:val="auto"/>
        </w:rPr>
      </w:pPr>
    </w:p>
    <w:p>
      <w:pPr>
        <w:ind w:left="200" w:right="280" w:firstLine="885"/>
        <w:spacing w:after="0"/>
        <w:tabs>
          <w:tab w:leader="none" w:pos="135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Milan has delivered to the Rights Agent an Officer’s Certificate, stating that such consolidation, merger, conveyance, transfer or lease complies with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that all conditions precedent herein provided for relating to such transaction have been complied with.</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Successor Substituted.</w:t>
      </w:r>
    </w:p>
    <w:p>
      <w:pPr>
        <w:spacing w:after="0" w:line="230"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 xml:space="preserve">Upon any consolidation of or merger by Milan with or into any other Person, or any conveyance, transfer or lease of the properties and assets substantially as an entirety to any Person in accordance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the Surviving Person shall succeed to, and be substituted for, and may exercise every right and power of, and shall assume all of the obligations of Milan under this Agreement with the same effect as if the Surviving Person had been named as Milan herein.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220"/>
          </w:cols>
          <w:pgMar w:left="240" w:top="460" w:right="43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MISCELLANEOUS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Notices to Rights Agent and to Milan.</w:t>
      </w:r>
    </w:p>
    <w:p>
      <w:pPr>
        <w:spacing w:after="0" w:line="230" w:lineRule="exact"/>
        <w:rPr>
          <w:sz w:val="20"/>
          <w:szCs w:val="20"/>
          <w:color w:val="auto"/>
        </w:rPr>
      </w:pPr>
    </w:p>
    <w:p>
      <w:pPr>
        <w:ind w:left="200" w:firstLine="441"/>
        <w:spacing w:after="0" w:line="234" w:lineRule="auto"/>
        <w:rPr>
          <w:sz w:val="20"/>
          <w:szCs w:val="20"/>
          <w:color w:val="auto"/>
        </w:rPr>
      </w:pPr>
      <w:r>
        <w:rPr>
          <w:rFonts w:ascii="Arial" w:cs="Arial" w:eastAsia="Arial" w:hAnsi="Arial"/>
          <w:sz w:val="18"/>
          <w:szCs w:val="18"/>
          <w:color w:val="auto"/>
        </w:rPr>
        <w:t>All notices, requests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to any party hereunder shall be in writing. Such Notice shall be deemed given (a) on the date of delivery, if delivered in person or by facsimile or e-mail (upon confirmation of receipt) prior to 5:00 p.m. in the time zone of the receiving party or on the next Business Day, if delivered after 5:00 p.m. in the time zone of the receiving party or</w:t>
      </w:r>
    </w:p>
    <w:p>
      <w:pPr>
        <w:spacing w:after="0" w:line="2" w:lineRule="exact"/>
        <w:rPr>
          <w:sz w:val="20"/>
          <w:szCs w:val="20"/>
          <w:color w:val="auto"/>
        </w:rPr>
      </w:pPr>
    </w:p>
    <w:p>
      <w:pPr>
        <w:ind w:left="200" w:right="120" w:firstLine="4"/>
        <w:spacing w:after="0" w:line="246" w:lineRule="auto"/>
        <w:tabs>
          <w:tab w:leader="none" w:pos="47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on the first Business Day following the date of dispatch, if delivered by FedEx or by other internationally recognized overnight courier service (upon proof of delivery), addressed as follows: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Rights Agent,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Computershare Inc.</w:t>
      </w:r>
    </w:p>
    <w:p>
      <w:pPr>
        <w:ind w:left="1080"/>
        <w:spacing w:after="0" w:line="234" w:lineRule="auto"/>
        <w:rPr>
          <w:sz w:val="20"/>
          <w:szCs w:val="20"/>
          <w:color w:val="auto"/>
        </w:rPr>
      </w:pPr>
      <w:r>
        <w:rPr>
          <w:rFonts w:ascii="Arial" w:cs="Arial" w:eastAsia="Arial" w:hAnsi="Arial"/>
          <w:sz w:val="18"/>
          <w:szCs w:val="18"/>
          <w:color w:val="auto"/>
        </w:rPr>
        <w:t>250 Royall Street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Canton, MA 02021</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Milan,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Mereo BioPharma Group plc</w:t>
      </w:r>
    </w:p>
    <w:p>
      <w:pPr>
        <w:ind w:left="1080"/>
        <w:spacing w:after="0" w:line="234" w:lineRule="auto"/>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1 Cavendish Place</w:t>
      </w:r>
    </w:p>
    <w:p>
      <w:pPr>
        <w:ind w:left="1080"/>
        <w:spacing w:after="0" w:line="235" w:lineRule="auto"/>
        <w:rPr>
          <w:sz w:val="20"/>
          <w:szCs w:val="20"/>
          <w:color w:val="auto"/>
        </w:rPr>
      </w:pPr>
      <w:r>
        <w:rPr>
          <w:rFonts w:ascii="Arial" w:cs="Arial" w:eastAsia="Arial" w:hAnsi="Arial"/>
          <w:sz w:val="18"/>
          <w:szCs w:val="18"/>
          <w:color w:val="auto"/>
        </w:rPr>
        <w:t>London WIG 0QF</w:t>
      </w:r>
    </w:p>
    <w:p>
      <w:pPr>
        <w:ind w:left="1080"/>
        <w:spacing w:after="0" w:line="235" w:lineRule="auto"/>
        <w:rPr>
          <w:sz w:val="20"/>
          <w:szCs w:val="20"/>
          <w:color w:val="auto"/>
        </w:rPr>
      </w:pPr>
      <w:r>
        <w:rPr>
          <w:rFonts w:ascii="Arial" w:cs="Arial" w:eastAsia="Arial" w:hAnsi="Arial"/>
          <w:sz w:val="18"/>
          <w:szCs w:val="18"/>
          <w:color w:val="auto"/>
        </w:rPr>
        <w:t>Attention: General Counsel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legal@mereobiopharma.com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notice,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Davis Polk &amp; Wardwell London LLP</w:t>
      </w:r>
    </w:p>
    <w:p>
      <w:pPr>
        <w:ind w:left="1080"/>
        <w:spacing w:after="0" w:line="234" w:lineRule="auto"/>
        <w:rPr>
          <w:sz w:val="20"/>
          <w:szCs w:val="20"/>
          <w:color w:val="auto"/>
        </w:rPr>
      </w:pPr>
      <w:r>
        <w:rPr>
          <w:rFonts w:ascii="Arial" w:cs="Arial" w:eastAsia="Arial" w:hAnsi="Arial"/>
          <w:sz w:val="18"/>
          <w:szCs w:val="18"/>
          <w:color w:val="auto"/>
        </w:rPr>
        <w:t>5 Aldermanbury Square</w:t>
      </w:r>
    </w:p>
    <w:p>
      <w:pPr>
        <w:ind w:left="1080"/>
        <w:spacing w:after="0" w:line="235" w:lineRule="auto"/>
        <w:rPr>
          <w:sz w:val="20"/>
          <w:szCs w:val="20"/>
          <w:color w:val="auto"/>
        </w:rPr>
      </w:pPr>
      <w:r>
        <w:rPr>
          <w:rFonts w:ascii="Arial" w:cs="Arial" w:eastAsia="Arial" w:hAnsi="Arial"/>
          <w:sz w:val="18"/>
          <w:szCs w:val="18"/>
          <w:color w:val="auto"/>
        </w:rPr>
        <w:t>London EC2V 7HR</w:t>
      </w:r>
    </w:p>
    <w:p>
      <w:pPr>
        <w:ind w:left="1080"/>
        <w:spacing w:after="0" w:line="235" w:lineRule="auto"/>
        <w:rPr>
          <w:sz w:val="20"/>
          <w:szCs w:val="20"/>
          <w:color w:val="auto"/>
        </w:rPr>
      </w:pPr>
      <w:r>
        <w:rPr>
          <w:rFonts w:ascii="Arial" w:cs="Arial" w:eastAsia="Arial" w:hAnsi="Arial"/>
          <w:sz w:val="18"/>
          <w:szCs w:val="18"/>
          <w:color w:val="auto"/>
        </w:rPr>
        <w:t>Attention: Simon Witty, Leo Borchardt, Michael Davis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simon.witty@davispolk.com; leo.borchardt@davispolk.com; michael.davis@davispolk.com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Notice to Holders.</w:t>
      </w:r>
    </w:p>
    <w:p>
      <w:pPr>
        <w:spacing w:after="0" w:line="230"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Entire Agreement.</w:t>
      </w:r>
    </w:p>
    <w:p>
      <w:pPr>
        <w:spacing w:after="0" w:line="230"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As between Milan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20"/>
          </w:cols>
          <w:pgMar w:left="240" w:top="459" w:right="53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Merger or Consolidation or Change of Name of Rights Agent.</w:t>
      </w:r>
    </w:p>
    <w:p>
      <w:pPr>
        <w:spacing w:after="0" w:line="230"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Any corporation or limited liability company or Person into which the Rights Agent or any successor Rights Agent may be merged or with which it may be consolidated, or any corporation or limited liability company or other Person resulting from any merger or consolidation to which the Rights Agent or any successor Rights Agent shall be a party, or any corporation or limited liability company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corporation or limited liability company or other entity would be eligible for appointment as a successor Rights Agent under the provisions of Section 3.3. The purchase of all or substantially all of the Rights Agent’s assets employed in the performance of transfer agent activities shall be deemed a merger or consolidation for purposes of this Section 7.4.</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Successors and Assigns.</w:t>
      </w:r>
    </w:p>
    <w:p>
      <w:pPr>
        <w:spacing w:after="0" w:line="230"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 xml:space="preserve">This Agreement will be binding upon, and will be enforceable by and inure solely to the benefit of, the Holders, Milan and the Rights Agent and their respective successors and assigns. Except for assignments to its Affiliates and as provided in Section 7.4, the Rights Agent may not assign this Agreement without Milan’s prior written consent. Subject to </w:t>
      </w:r>
      <w:r>
        <w:rPr>
          <w:rFonts w:ascii="Arial" w:cs="Arial" w:eastAsia="Arial" w:hAnsi="Arial"/>
          <w:sz w:val="18"/>
          <w:szCs w:val="18"/>
          <w:u w:val="single" w:color="auto"/>
          <w:color w:val="auto"/>
        </w:rPr>
        <w:t>Section 5.1(a)(ii)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hereof, Milan may assign, in its sole discretion and without the consent of any other party, any or all of its rights, interests and obligations hereunder to one or more of its Affiliates or to any Person with whom Milan is merged or consolidated, or any entity resulting from any merger or consolidation to which Milan shall be a party (each,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in connection with any assignment to an Assignee, Milan shall agree to remain liable for the performance by Milan of its obligations hereunder (to the extent Milan exists following such assignment). Milan or an Assignee may not otherwise assign this Agreement without the prior consent of the Majority of Holders. Any attempted assignment of this Agreement in violation of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Benefits of Agreement; Action by Majority of Holders.</w:t>
      </w:r>
    </w:p>
    <w:p>
      <w:pPr>
        <w:spacing w:after="0" w:line="230"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Nothing in this Agreement, express or implied, will give to any Person (other than Milan,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Milan,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Governing Law.</w:t>
      </w:r>
    </w:p>
    <w:p>
      <w:pPr>
        <w:spacing w:after="0" w:line="230"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This Agreement and the CVRs will be governed by, and construed in accordance with, the laws of the State of New York, without regard to the conflicts of law rules of such state.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Jurisdiction.</w:t>
      </w:r>
    </w:p>
    <w:p>
      <w:pPr>
        <w:spacing w:after="0" w:line="230"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200"/>
          </w:cols>
          <w:pgMar w:left="240" w:top="459" w:right="45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line="234" w:lineRule="auto"/>
        <w:rPr>
          <w:sz w:val="20"/>
          <w:szCs w:val="20"/>
          <w:color w:val="auto"/>
        </w:rPr>
      </w:pPr>
      <w:r>
        <w:rPr>
          <w:rFonts w:ascii="Arial" w:cs="Arial" w:eastAsia="Arial" w:hAnsi="Arial"/>
          <w:sz w:val="18"/>
          <w:szCs w:val="18"/>
          <w:color w:val="auto"/>
        </w:rPr>
        <w:t xml:space="preserve">appellate courts thereof); (b) agrees that all claims in respect of such action or proceeding shall be heard and determined exclusively in accordance with clause (a) of this </w:t>
      </w:r>
      <w:r>
        <w:rPr>
          <w:rFonts w:ascii="Arial" w:cs="Arial" w:eastAsia="Arial" w:hAnsi="Arial"/>
          <w:sz w:val="18"/>
          <w:szCs w:val="18"/>
          <w:u w:val="single" w:color="auto"/>
          <w:color w:val="auto"/>
        </w:rPr>
        <w:t>Section 7.8</w:t>
      </w:r>
      <w:r>
        <w:rPr>
          <w:rFonts w:ascii="Arial" w:cs="Arial" w:eastAsia="Arial" w:hAnsi="Arial"/>
          <w:sz w:val="18"/>
          <w:szCs w:val="18"/>
          <w:color w:val="auto"/>
        </w:rPr>
        <w:t>; (c) waives any objection to laying venue in any such action or proceeding in such courts;</w:t>
      </w:r>
    </w:p>
    <w:p>
      <w:pPr>
        <w:spacing w:after="0" w:line="2" w:lineRule="exact"/>
        <w:rPr>
          <w:sz w:val="20"/>
          <w:szCs w:val="20"/>
          <w:color w:val="auto"/>
        </w:rPr>
      </w:pPr>
    </w:p>
    <w:p>
      <w:pPr>
        <w:ind w:left="200" w:right="40" w:firstLine="4"/>
        <w:spacing w:after="0"/>
        <w:tabs>
          <w:tab w:leader="none" w:pos="47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waives any objection that such courts are an inconvenient forum or do not have jurisdiction over any Party; and (e)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7.2 of this Agreement.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b w:val="1"/>
          <w:bCs w:val="1"/>
          <w:i w:val="1"/>
          <w:iCs w:val="1"/>
          <w:color w:val="auto"/>
        </w:rPr>
        <w:t>WAIVER OF JURY TRIAL.</w:t>
      </w:r>
    </w:p>
    <w:p>
      <w:pPr>
        <w:spacing w:after="0" w:line="21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b w:val="1"/>
          <w:bCs w:val="1"/>
          <w:color w:val="auto"/>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7.8</w:t>
      </w:r>
      <w:r>
        <w:rPr>
          <w:rFonts w:ascii="Arial" w:cs="Arial" w:eastAsia="Arial" w:hAnsi="Arial"/>
          <w:sz w:val="18"/>
          <w:szCs w:val="18"/>
          <w:b w:val="1"/>
          <w:bCs w:val="1"/>
          <w:color w:val="auto"/>
        </w:rPr>
        <w: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Severability Clause.</w:t>
      </w:r>
    </w:p>
    <w:p>
      <w:pPr>
        <w:spacing w:after="0" w:line="230"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upon forty-five (45) days’ written notice to Milan.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Counterparts; Effectiveness.</w:t>
      </w:r>
    </w:p>
    <w:p>
      <w:pPr>
        <w:spacing w:after="0" w:line="230"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Termination.</w:t>
      </w:r>
    </w:p>
    <w:p>
      <w:pPr>
        <w:spacing w:after="0" w:line="230"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This Agreement will automatically terminate and be of no further force or effect and, except as provided in Section 3.2, the parties hereto will have no further liability hereunder, and the CVRs will expire without any consideration or compensation therefor, upon the earlier to occur of (i) payment by Milan of each of the TIGIT Milestone Payment and each NAVI Milestone Payment eligible to be attained and (ii) the expiration of each of the TIGIT Milestone Period and the NAVI Milestone Period.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80"/>
          </w:cols>
          <w:pgMar w:left="240" w:top="459" w:right="47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 xml:space="preserve">The termination of this Agreement will not affect or limit the right of Holders to receive the Milestone Payments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the extent earned prior to the termination of this Agreement, and the provisions applicable thereto will survive the expiration or termination of this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Force Majeure</w:t>
      </w:r>
      <w:r>
        <w:rPr>
          <w:rFonts w:ascii="Arial" w:cs="Arial" w:eastAsia="Arial" w:hAnsi="Arial"/>
          <w:sz w:val="18"/>
          <w:szCs w:val="18"/>
          <w:color w:val="auto"/>
        </w:rPr>
        <w:t>.</w:t>
      </w:r>
    </w:p>
    <w:p>
      <w:pPr>
        <w:spacing w:after="0" w:line="230"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Notwithstanding anything to the contrary contained herein, none of the Rights Agent, Milan or any of its Subsidiaries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Construction.</w:t>
      </w:r>
    </w:p>
    <w:p>
      <w:pPr>
        <w:spacing w:after="0" w:line="122" w:lineRule="exact"/>
        <w:rPr>
          <w:sz w:val="20"/>
          <w:szCs w:val="20"/>
          <w:color w:val="auto"/>
        </w:rPr>
      </w:pPr>
    </w:p>
    <w:p>
      <w:pPr>
        <w:jc w:val="both"/>
        <w:ind w:left="200" w:right="220" w:firstLine="885"/>
        <w:spacing w:after="0"/>
        <w:tabs>
          <w:tab w:leader="none" w:pos="135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94" w:lineRule="exact"/>
        <w:rPr>
          <w:rFonts w:ascii="Arial" w:cs="Arial" w:eastAsia="Arial" w:hAnsi="Arial"/>
          <w:sz w:val="18"/>
          <w:szCs w:val="18"/>
          <w:color w:val="auto"/>
        </w:rPr>
      </w:pPr>
    </w:p>
    <w:p>
      <w:pPr>
        <w:ind w:left="200" w:right="300" w:firstLine="885"/>
        <w:spacing w:after="0" w:line="246" w:lineRule="auto"/>
        <w:tabs>
          <w:tab w:leader="none" w:pos="135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will not be deemed to be terms of limitation, but rather will be deemed to be followed by the words “without limitation.”</w:t>
      </w:r>
    </w:p>
    <w:p>
      <w:pPr>
        <w:spacing w:after="0" w:line="88" w:lineRule="exact"/>
        <w:rPr>
          <w:rFonts w:ascii="Arial" w:cs="Arial" w:eastAsia="Arial" w:hAnsi="Arial"/>
          <w:sz w:val="18"/>
          <w:szCs w:val="18"/>
          <w:color w:val="auto"/>
        </w:rPr>
      </w:pPr>
    </w:p>
    <w:p>
      <w:pPr>
        <w:ind w:left="200" w:right="380" w:firstLine="885"/>
        <w:spacing w:after="0" w:line="246" w:lineRule="auto"/>
        <w:tabs>
          <w:tab w:leader="none" w:pos="134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88"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94" w:lineRule="exact"/>
        <w:rPr>
          <w:rFonts w:ascii="Arial" w:cs="Arial" w:eastAsia="Arial" w:hAnsi="Arial"/>
          <w:sz w:val="18"/>
          <w:szCs w:val="18"/>
          <w:color w:val="auto"/>
        </w:rPr>
      </w:pPr>
    </w:p>
    <w:p>
      <w:pPr>
        <w:ind w:left="1360" w:hanging="275"/>
        <w:spacing w:after="0"/>
        <w:tabs>
          <w:tab w:leader="none" w:pos="13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All references herein to “$” are to United States Dollars.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200"/>
          </w:cols>
          <w:pgMar w:left="240" w:top="459" w:right="45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each of the parties has caused this Agreement to be executed as of the day and year first above written.</w:t>
      </w:r>
    </w:p>
    <w:p>
      <w:pPr>
        <w:spacing w:after="0" w:line="2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w:t>
      </w:r>
    </w:p>
    <w:p>
      <w:pPr>
        <w:ind w:left="718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COMPUTERSHARE INC.</w:t>
      </w: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-1905</wp:posOffset>
            </wp:positionV>
            <wp:extent cx="24269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8"/>
          <w:szCs w:val="18"/>
          <w:color w:val="auto"/>
        </w:rPr>
        <w:t>Name:</w:t>
      </w:r>
    </w:p>
    <w:p>
      <w:pPr>
        <w:ind w:left="7400"/>
        <w:spacing w:after="0"/>
        <w:rPr>
          <w:sz w:val="20"/>
          <w:szCs w:val="20"/>
          <w:color w:val="auto"/>
        </w:rPr>
      </w:pPr>
      <w:r>
        <w:rPr>
          <w:rFonts w:ascii="Arial" w:cs="Arial" w:eastAsia="Arial" w:hAnsi="Arial"/>
          <w:sz w:val="18"/>
          <w:szCs w:val="18"/>
          <w:color w:val="auto"/>
        </w:rPr>
        <w:t>Title</w:t>
      </w:r>
    </w:p>
    <w:p>
      <w:pPr>
        <w:spacing w:after="0" w:line="12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Contingent Value Rights Agreement</w:t>
      </w:r>
      <w:r>
        <w:rPr>
          <w:rFonts w:ascii="Arial" w:cs="Arial" w:eastAsia="Arial" w:hAnsi="Arial"/>
          <w:sz w:val="18"/>
          <w:szCs w:val="18"/>
          <w:color w:val="auto"/>
        </w:rPr>
        <w:t>]</w:t>
      </w:r>
    </w:p>
    <w:p>
      <w:pPr>
        <w:sectPr>
          <w:pgSz w:w="11900" w:h="16838" w:orient="portrait"/>
          <w:cols w:equalWidth="0" w:num="1">
            <w:col w:w="11020"/>
          </w:cols>
          <w:pgMar w:left="240" w:top="459" w:right="63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1741170" cy="5060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411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4,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800 Chesapeake Drive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 94063</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have requested our opinion as to the fairness, from a financial point of view, to the holders (other than the holders of Excluded</w:t>
      </w:r>
    </w:p>
    <w:p>
      <w:pPr>
        <w:ind w:left="200"/>
        <w:spacing w:after="0" w:line="234" w:lineRule="auto"/>
        <w:rPr>
          <w:sz w:val="20"/>
          <w:szCs w:val="20"/>
          <w:color w:val="auto"/>
        </w:rPr>
      </w:pPr>
      <w:r>
        <w:rPr>
          <w:rFonts w:ascii="Arial" w:cs="Arial" w:eastAsia="Arial" w:hAnsi="Arial"/>
          <w:sz w:val="18"/>
          <w:szCs w:val="18"/>
          <w:color w:val="auto"/>
        </w:rPr>
        <w:t>Shares, as defined below) of the outstanding shares of common stock, par value $0.001 per share (the “</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of</w:t>
      </w:r>
    </w:p>
    <w:p>
      <w:pPr>
        <w:ind w:left="200"/>
        <w:spacing w:after="0" w:line="235" w:lineRule="auto"/>
        <w:rPr>
          <w:sz w:val="20"/>
          <w:szCs w:val="20"/>
          <w:color w:val="auto"/>
        </w:rPr>
      </w:pPr>
      <w:r>
        <w:rPr>
          <w:rFonts w:ascii="Arial" w:cs="Arial" w:eastAsia="Arial" w:hAnsi="Arial"/>
          <w:sz w:val="18"/>
          <w:szCs w:val="18"/>
          <w:color w:val="auto"/>
        </w:rPr>
        <w:t>OncoMed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of the Merger Consideration (as defined below) proposed to be</w:t>
      </w:r>
    </w:p>
    <w:p>
      <w:pPr>
        <w:ind w:left="200"/>
        <w:spacing w:after="0" w:line="235" w:lineRule="auto"/>
        <w:rPr>
          <w:sz w:val="20"/>
          <w:szCs w:val="20"/>
          <w:color w:val="auto"/>
        </w:rPr>
      </w:pPr>
      <w:r>
        <w:rPr>
          <w:rFonts w:ascii="Arial" w:cs="Arial" w:eastAsia="Arial" w:hAnsi="Arial"/>
          <w:sz w:val="18"/>
          <w:szCs w:val="18"/>
          <w:color w:val="auto"/>
        </w:rPr>
        <w:t>paid to such holders pursuant to the terms of the Agreement and Plan of Merger and Reorganization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to be</w:t>
      </w:r>
    </w:p>
    <w:p>
      <w:pPr>
        <w:ind w:left="200"/>
        <w:spacing w:after="0" w:line="235" w:lineRule="auto"/>
        <w:rPr>
          <w:sz w:val="20"/>
          <w:szCs w:val="20"/>
          <w:color w:val="auto"/>
        </w:rPr>
      </w:pPr>
      <w:r>
        <w:rPr>
          <w:rFonts w:ascii="Arial" w:cs="Arial" w:eastAsia="Arial" w:hAnsi="Arial"/>
          <w:sz w:val="18"/>
          <w:szCs w:val="18"/>
          <w:color w:val="auto"/>
        </w:rPr>
        <w:t>entered into by and among Mereo BioPharma Group Plc, a public limited company incorporated under the laws of England and Wales</w:t>
      </w:r>
    </w:p>
    <w:p>
      <w:pPr>
        <w:ind w:left="2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Mereo</w:t>
      </w:r>
      <w:r>
        <w:rPr>
          <w:rFonts w:ascii="Arial" w:cs="Arial" w:eastAsia="Arial" w:hAnsi="Arial"/>
          <w:sz w:val="18"/>
          <w:szCs w:val="18"/>
          <w:color w:val="auto"/>
        </w:rPr>
        <w:t>”), Mereo US Holdings Inc., a Delaware corporation and wholly-owned subsidiary of Mereo (“HoldCo”), Mereo Mergerco One Inc.,</w:t>
      </w:r>
    </w:p>
    <w:p>
      <w:pPr>
        <w:ind w:left="200"/>
        <w:spacing w:after="0" w:line="235" w:lineRule="auto"/>
        <w:rPr>
          <w:sz w:val="20"/>
          <w:szCs w:val="20"/>
          <w:color w:val="auto"/>
        </w:rPr>
      </w:pPr>
      <w:r>
        <w:rPr>
          <w:rFonts w:ascii="Arial" w:cs="Arial" w:eastAsia="Arial" w:hAnsi="Arial"/>
          <w:sz w:val="18"/>
          <w:szCs w:val="18"/>
          <w:color w:val="auto"/>
        </w:rPr>
        <w:t>a Delaware corporation and wholly-owned subsidiary of HoldCo (“</w:t>
      </w:r>
      <w:r>
        <w:rPr>
          <w:rFonts w:ascii="Arial" w:cs="Arial" w:eastAsia="Arial" w:hAnsi="Arial"/>
          <w:sz w:val="18"/>
          <w:szCs w:val="18"/>
          <w:u w:val="single" w:color="auto"/>
          <w:color w:val="auto"/>
        </w:rPr>
        <w:t>Merger Sub</w:t>
      </w:r>
      <w:r>
        <w:rPr>
          <w:rFonts w:ascii="Arial" w:cs="Arial" w:eastAsia="Arial" w:hAnsi="Arial"/>
          <w:sz w:val="18"/>
          <w:szCs w:val="18"/>
          <w:color w:val="auto"/>
        </w:rPr>
        <w:t>”), and the Company. The Merger Agreement provides for</w:t>
      </w:r>
    </w:p>
    <w:p>
      <w:pPr>
        <w:ind w:left="200"/>
        <w:spacing w:after="0" w:line="235" w:lineRule="auto"/>
        <w:rPr>
          <w:sz w:val="20"/>
          <w:szCs w:val="20"/>
          <w:color w:val="auto"/>
        </w:rPr>
      </w:pPr>
      <w:r>
        <w:rPr>
          <w:rFonts w:ascii="Arial" w:cs="Arial" w:eastAsia="Arial" w:hAnsi="Arial"/>
          <w:sz w:val="18"/>
          <w:szCs w:val="18"/>
          <w:color w:val="auto"/>
        </w:rPr>
        <w:t>the acquisition of the Company by Mereo through the merger of Merger Sub with and into the Company, with the Company as the</w:t>
      </w:r>
    </w:p>
    <w:p>
      <w:pPr>
        <w:ind w:left="200"/>
        <w:spacing w:after="0" w:line="235"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Company will become a wholly-owned subsidiary of HoldCo and indirect,</w:t>
      </w:r>
    </w:p>
    <w:p>
      <w:pPr>
        <w:ind w:left="200"/>
        <w:spacing w:after="0"/>
        <w:rPr>
          <w:sz w:val="20"/>
          <w:szCs w:val="20"/>
          <w:color w:val="auto"/>
        </w:rPr>
      </w:pPr>
      <w:r>
        <w:rPr>
          <w:rFonts w:ascii="Arial" w:cs="Arial" w:eastAsia="Arial" w:hAnsi="Arial"/>
          <w:sz w:val="17"/>
          <w:szCs w:val="17"/>
          <w:color w:val="auto"/>
        </w:rPr>
        <w:t>wholly-owned subsidiary of Mereo. At the effective time of the Merger, each share of Company Capital Stock (other than Excluded Shares)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immediately prior to such effective time shall be converted solely into the right to receive (i) the Share Consideration (as</w:t>
      </w:r>
    </w:p>
    <w:p>
      <w:pPr>
        <w:ind w:left="200"/>
        <w:spacing w:after="0" w:line="234" w:lineRule="auto"/>
        <w:rPr>
          <w:sz w:val="20"/>
          <w:szCs w:val="20"/>
          <w:color w:val="auto"/>
        </w:rPr>
      </w:pPr>
      <w:r>
        <w:rPr>
          <w:rFonts w:ascii="Arial" w:cs="Arial" w:eastAsia="Arial" w:hAnsi="Arial"/>
          <w:sz w:val="18"/>
          <w:szCs w:val="18"/>
          <w:color w:val="auto"/>
        </w:rPr>
        <w:t>defined below) and (ii) one CVR (as defined below and, together with the Share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The “</w:t>
      </w:r>
      <w:r>
        <w:rPr>
          <w:rFonts w:ascii="Arial" w:cs="Arial" w:eastAsia="Arial" w:hAnsi="Arial"/>
          <w:sz w:val="18"/>
          <w:szCs w:val="18"/>
          <w:u w:val="single" w:color="auto"/>
          <w:color w:val="auto"/>
        </w:rPr>
        <w:t>Share</w:t>
      </w:r>
    </w:p>
    <w:p>
      <w:pPr>
        <w:ind w:left="200"/>
        <w:spacing w:after="0" w:line="235" w:lineRule="auto"/>
        <w:rPr>
          <w:sz w:val="20"/>
          <w:szCs w:val="20"/>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consists of Mereo Depositary Receipts (as defined below) evidencing a number of Mereo Depositary Shares (as defined</w:t>
      </w:r>
    </w:p>
    <w:p>
      <w:pPr>
        <w:ind w:left="200"/>
        <w:spacing w:after="0" w:line="235" w:lineRule="auto"/>
        <w:rPr>
          <w:sz w:val="20"/>
          <w:szCs w:val="20"/>
          <w:color w:val="auto"/>
        </w:rPr>
      </w:pPr>
      <w:r>
        <w:rPr>
          <w:rFonts w:ascii="Arial" w:cs="Arial" w:eastAsia="Arial" w:hAnsi="Arial"/>
          <w:sz w:val="18"/>
          <w:szCs w:val="18"/>
          <w:color w:val="auto"/>
        </w:rPr>
        <w:t>below) equal to the Exchange Ratio (as defined below). The “</w:t>
      </w:r>
      <w:r>
        <w:rPr>
          <w:rFonts w:ascii="Arial" w:cs="Arial" w:eastAsia="Arial" w:hAnsi="Arial"/>
          <w:sz w:val="18"/>
          <w:szCs w:val="18"/>
          <w:u w:val="single" w:color="auto"/>
          <w:color w:val="auto"/>
        </w:rPr>
        <w:t>Mereo Depositary Receipts</w:t>
      </w:r>
      <w:r>
        <w:rPr>
          <w:rFonts w:ascii="Arial" w:cs="Arial" w:eastAsia="Arial" w:hAnsi="Arial"/>
          <w:sz w:val="18"/>
          <w:szCs w:val="18"/>
          <w:color w:val="auto"/>
        </w:rPr>
        <w:t>” are American depositary receipts representing</w:t>
      </w:r>
    </w:p>
    <w:p>
      <w:pPr>
        <w:ind w:left="200"/>
        <w:spacing w:after="0" w:line="235" w:lineRule="auto"/>
        <w:rPr>
          <w:sz w:val="20"/>
          <w:szCs w:val="20"/>
          <w:color w:val="auto"/>
        </w:rPr>
      </w:pPr>
      <w:r>
        <w:rPr>
          <w:rFonts w:ascii="Arial" w:cs="Arial" w:eastAsia="Arial" w:hAnsi="Arial"/>
          <w:sz w:val="18"/>
          <w:szCs w:val="18"/>
          <w:color w:val="auto"/>
        </w:rPr>
        <w:t>Mereo Depositary Shares to be issued pursuant to a Deposit Agreement to be entered into among Mereo, the Depositary named therein</w:t>
      </w:r>
    </w:p>
    <w:p>
      <w:pPr>
        <w:ind w:left="200"/>
        <w:spacing w:after="0" w:line="235" w:lineRule="auto"/>
        <w:rPr>
          <w:sz w:val="20"/>
          <w:szCs w:val="20"/>
          <w:color w:val="auto"/>
        </w:rPr>
      </w:pPr>
      <w:r>
        <w:rPr>
          <w:rFonts w:ascii="Arial" w:cs="Arial" w:eastAsia="Arial" w:hAnsi="Arial"/>
          <w:sz w:val="18"/>
          <w:szCs w:val="18"/>
          <w:color w:val="auto"/>
        </w:rPr>
        <w:t>and the holders from time to time of the Mereo Depositary Receipts. The “</w:t>
      </w:r>
      <w:r>
        <w:rPr>
          <w:rFonts w:ascii="Arial" w:cs="Arial" w:eastAsia="Arial" w:hAnsi="Arial"/>
          <w:sz w:val="18"/>
          <w:szCs w:val="18"/>
          <w:u w:val="single" w:color="auto"/>
          <w:color w:val="auto"/>
        </w:rPr>
        <w:t>Mereo Depositary Shares</w:t>
      </w:r>
      <w:r>
        <w:rPr>
          <w:rFonts w:ascii="Arial" w:cs="Arial" w:eastAsia="Arial" w:hAnsi="Arial"/>
          <w:sz w:val="18"/>
          <w:szCs w:val="18"/>
          <w:color w:val="auto"/>
        </w:rPr>
        <w:t>” are American depositary shares,</w:t>
      </w:r>
    </w:p>
    <w:p>
      <w:pPr>
        <w:ind w:left="200"/>
        <w:spacing w:after="0" w:line="235" w:lineRule="auto"/>
        <w:rPr>
          <w:sz w:val="20"/>
          <w:szCs w:val="20"/>
          <w:color w:val="auto"/>
        </w:rPr>
      </w:pPr>
      <w:r>
        <w:rPr>
          <w:rFonts w:ascii="Arial" w:cs="Arial" w:eastAsia="Arial" w:hAnsi="Arial"/>
          <w:sz w:val="18"/>
          <w:szCs w:val="18"/>
          <w:color w:val="auto"/>
        </w:rPr>
        <w:t>each representing five ordinary shares, £0.003 par value per share, of Mereo (the “</w:t>
      </w:r>
      <w:r>
        <w:rPr>
          <w:rFonts w:ascii="Arial" w:cs="Arial" w:eastAsia="Arial" w:hAnsi="Arial"/>
          <w:sz w:val="18"/>
          <w:szCs w:val="18"/>
          <w:u w:val="single" w:color="auto"/>
          <w:color w:val="auto"/>
        </w:rPr>
        <w:t>Mereo Ordinary Shares</w:t>
      </w:r>
      <w:r>
        <w:rPr>
          <w:rFonts w:ascii="Arial" w:cs="Arial" w:eastAsia="Arial" w:hAnsi="Arial"/>
          <w:sz w:val="18"/>
          <w:szCs w:val="18"/>
          <w:color w:val="auto"/>
        </w:rPr>
        <w:t>”). The “</w:t>
      </w:r>
      <w:r>
        <w:rPr>
          <w:rFonts w:ascii="Arial" w:cs="Arial" w:eastAsia="Arial" w:hAnsi="Arial"/>
          <w:sz w:val="18"/>
          <w:szCs w:val="18"/>
          <w:u w:val="single" w:color="auto"/>
          <w:color w:val="auto"/>
        </w:rPr>
        <w:t>Exchange Ratio</w:t>
      </w:r>
      <w:r>
        <w:rPr>
          <w:rFonts w:ascii="Arial" w:cs="Arial" w:eastAsia="Arial" w:hAnsi="Arial"/>
          <w:sz w:val="18"/>
          <w:szCs w:val="18"/>
          <w:color w:val="auto"/>
        </w:rPr>
        <w:t>” is the</w:t>
      </w:r>
    </w:p>
    <w:p>
      <w:pPr>
        <w:ind w:left="200"/>
        <w:spacing w:after="0" w:line="235" w:lineRule="auto"/>
        <w:rPr>
          <w:sz w:val="20"/>
          <w:szCs w:val="20"/>
          <w:color w:val="auto"/>
        </w:rPr>
      </w:pPr>
      <w:r>
        <w:rPr>
          <w:rFonts w:ascii="Arial" w:cs="Arial" w:eastAsia="Arial" w:hAnsi="Arial"/>
          <w:sz w:val="18"/>
          <w:szCs w:val="18"/>
          <w:color w:val="auto"/>
        </w:rPr>
        <w:t>number of Mereo Depositary Shares to be received by holders of Company Capital Stock (other than Excluded Shares) that is derived</w:t>
      </w:r>
    </w:p>
    <w:p>
      <w:pPr>
        <w:ind w:left="200"/>
        <w:spacing w:after="0" w:line="235" w:lineRule="auto"/>
        <w:rPr>
          <w:sz w:val="20"/>
          <w:szCs w:val="20"/>
          <w:color w:val="auto"/>
        </w:rPr>
      </w:pPr>
      <w:r>
        <w:rPr>
          <w:rFonts w:ascii="Arial" w:cs="Arial" w:eastAsia="Arial" w:hAnsi="Arial"/>
          <w:sz w:val="18"/>
          <w:szCs w:val="18"/>
          <w:color w:val="auto"/>
        </w:rPr>
        <w:t>from the relative percentage ownership of the combined company following the Merger by holders of Mereo Ordinary Shares and</w:t>
      </w:r>
    </w:p>
    <w:p>
      <w:pPr>
        <w:ind w:left="200"/>
        <w:spacing w:after="0" w:line="235" w:lineRule="auto"/>
        <w:rPr>
          <w:sz w:val="20"/>
          <w:szCs w:val="20"/>
          <w:color w:val="auto"/>
        </w:rPr>
      </w:pPr>
      <w:r>
        <w:rPr>
          <w:rFonts w:ascii="Arial" w:cs="Arial" w:eastAsia="Arial" w:hAnsi="Arial"/>
          <w:sz w:val="18"/>
          <w:szCs w:val="18"/>
          <w:color w:val="auto"/>
        </w:rPr>
        <w:t>Company Capital Stock prior to the consummation of the Merger, which is equal to 75.24% and 24.76%, respectively. The Exchange Ratio</w:t>
      </w:r>
    </w:p>
    <w:p>
      <w:pPr>
        <w:ind w:left="200"/>
        <w:spacing w:after="0" w:line="234" w:lineRule="auto"/>
        <w:rPr>
          <w:sz w:val="20"/>
          <w:szCs w:val="20"/>
          <w:color w:val="auto"/>
        </w:rPr>
      </w:pPr>
      <w:r>
        <w:rPr>
          <w:rFonts w:ascii="Arial" w:cs="Arial" w:eastAsia="Arial" w:hAnsi="Arial"/>
          <w:sz w:val="18"/>
          <w:szCs w:val="18"/>
          <w:color w:val="auto"/>
        </w:rPr>
        <w:t>is based upon an assumed amount of Net Cash (as defined in the Merger Agreement) and is subject to certain adjustments set forth in the</w:t>
      </w:r>
    </w:p>
    <w:p>
      <w:pPr>
        <w:ind w:left="200"/>
        <w:spacing w:after="0" w:line="235" w:lineRule="auto"/>
        <w:rPr>
          <w:sz w:val="20"/>
          <w:szCs w:val="20"/>
          <w:color w:val="auto"/>
        </w:rPr>
      </w:pPr>
      <w:r>
        <w:rPr>
          <w:rFonts w:ascii="Arial" w:cs="Arial" w:eastAsia="Arial" w:hAnsi="Arial"/>
          <w:sz w:val="18"/>
          <w:szCs w:val="18"/>
          <w:color w:val="auto"/>
        </w:rPr>
        <w:t>Merger Agreement. At your direction, we have assumed that the Net Cash amount will equal $37 million, and we express no opinion as to</w:t>
      </w:r>
    </w:p>
    <w:p>
      <w:pPr>
        <w:ind w:left="200"/>
        <w:spacing w:after="0" w:line="235" w:lineRule="auto"/>
        <w:rPr>
          <w:sz w:val="20"/>
          <w:szCs w:val="20"/>
          <w:color w:val="auto"/>
        </w:rPr>
      </w:pPr>
      <w:r>
        <w:rPr>
          <w:rFonts w:ascii="Arial" w:cs="Arial" w:eastAsia="Arial" w:hAnsi="Arial"/>
          <w:sz w:val="18"/>
          <w:szCs w:val="18"/>
          <w:color w:val="auto"/>
        </w:rPr>
        <w:t>such amount or any adjustment to the Exchange Ratio as set forth in the Merger Agreement. The “</w:t>
      </w:r>
      <w:r>
        <w:rPr>
          <w:rFonts w:ascii="Arial" w:cs="Arial" w:eastAsia="Arial" w:hAnsi="Arial"/>
          <w:sz w:val="18"/>
          <w:szCs w:val="18"/>
          <w:u w:val="single" w:color="auto"/>
          <w:color w:val="auto"/>
        </w:rPr>
        <w:t>CVRs</w:t>
      </w:r>
      <w:r>
        <w:rPr>
          <w:rFonts w:ascii="Arial" w:cs="Arial" w:eastAsia="Arial" w:hAnsi="Arial"/>
          <w:sz w:val="18"/>
          <w:szCs w:val="18"/>
          <w:color w:val="auto"/>
        </w:rPr>
        <w:t>” are contingent value rights to be</w:t>
      </w:r>
    </w:p>
    <w:p>
      <w:pPr>
        <w:ind w:left="200"/>
        <w:spacing w:after="0" w:line="235" w:lineRule="auto"/>
        <w:rPr>
          <w:sz w:val="20"/>
          <w:szCs w:val="20"/>
          <w:color w:val="auto"/>
        </w:rPr>
      </w:pPr>
      <w:r>
        <w:rPr>
          <w:rFonts w:ascii="Arial" w:cs="Arial" w:eastAsia="Arial" w:hAnsi="Arial"/>
          <w:sz w:val="18"/>
          <w:szCs w:val="18"/>
          <w:color w:val="auto"/>
        </w:rPr>
        <w:t>issued pursuant to the Contingent Value Rights Agreement (the “</w:t>
      </w:r>
      <w:r>
        <w:rPr>
          <w:rFonts w:ascii="Arial" w:cs="Arial" w:eastAsia="Arial" w:hAnsi="Arial"/>
          <w:sz w:val="18"/>
          <w:szCs w:val="18"/>
          <w:u w:val="single" w:color="auto"/>
          <w:color w:val="auto"/>
        </w:rPr>
        <w:t>CVR Agreement</w:t>
      </w:r>
      <w:r>
        <w:rPr>
          <w:rFonts w:ascii="Arial" w:cs="Arial" w:eastAsia="Arial" w:hAnsi="Arial"/>
          <w:sz w:val="18"/>
          <w:szCs w:val="18"/>
          <w:color w:val="auto"/>
        </w:rPr>
        <w:t>”) to be entered into between Mereo and a rights agent in</w:t>
      </w:r>
    </w:p>
    <w:p>
      <w:pPr>
        <w:ind w:left="200"/>
        <w:spacing w:after="0" w:line="235" w:lineRule="auto"/>
        <w:rPr>
          <w:sz w:val="20"/>
          <w:szCs w:val="20"/>
          <w:color w:val="auto"/>
        </w:rPr>
      </w:pPr>
      <w:r>
        <w:rPr>
          <w:rFonts w:ascii="Arial" w:cs="Arial" w:eastAsia="Arial" w:hAnsi="Arial"/>
          <w:sz w:val="18"/>
          <w:szCs w:val="18"/>
          <w:color w:val="auto"/>
        </w:rPr>
        <w:t>the form attached to the Merger Agreement. Each CVR will represent the right to receive contingent payments upon the achievement of</w:t>
      </w:r>
    </w:p>
    <w:p>
      <w:pPr>
        <w:ind w:left="200"/>
        <w:spacing w:after="0" w:line="235" w:lineRule="auto"/>
        <w:rPr>
          <w:sz w:val="20"/>
          <w:szCs w:val="20"/>
          <w:color w:val="auto"/>
        </w:rPr>
      </w:pPr>
      <w:r>
        <w:rPr>
          <w:rFonts w:ascii="Arial" w:cs="Arial" w:eastAsia="Arial" w:hAnsi="Arial"/>
          <w:sz w:val="18"/>
          <w:szCs w:val="18"/>
          <w:color w:val="auto"/>
        </w:rPr>
        <w:t>certain milestones set forth in, and subject to and in accordance with the terms and conditions of, the CVR Agreement. Under the terms of</w:t>
      </w:r>
    </w:p>
    <w:p>
      <w:pPr>
        <w:ind w:left="200"/>
        <w:spacing w:after="0" w:line="229" w:lineRule="auto"/>
        <w:rPr>
          <w:sz w:val="20"/>
          <w:szCs w:val="20"/>
          <w:color w:val="auto"/>
        </w:rPr>
      </w:pPr>
      <w:r>
        <w:rPr>
          <w:rFonts w:ascii="Arial" w:cs="Arial" w:eastAsia="Arial" w:hAnsi="Arial"/>
          <w:sz w:val="18"/>
          <w:szCs w:val="18"/>
          <w:color w:val="auto"/>
        </w:rPr>
        <w:t>the Merger Agreement, the number of Mereo Ordinary Shares</w:t>
      </w:r>
    </w:p>
    <w:p>
      <w:pPr>
        <w:ind w:left="200"/>
        <w:spacing w:after="0"/>
        <w:tabs>
          <w:tab w:leader="none" w:pos="10320" w:val="left"/>
        </w:tabs>
        <w:rPr>
          <w:sz w:val="20"/>
          <w:szCs w:val="20"/>
          <w:color w:val="auto"/>
        </w:rPr>
      </w:pPr>
      <w:r>
        <w:rPr>
          <w:rFonts w:ascii="Arial" w:cs="Arial" w:eastAsia="Arial" w:hAnsi="Arial"/>
          <w:sz w:val="13"/>
          <w:szCs w:val="13"/>
          <w:b w:val="1"/>
          <w:bCs w:val="1"/>
          <w:color w:val="auto"/>
        </w:rPr>
        <w:t>NEW YORK / 1301 AVENUE OF THE AMERICAS, 12TH FLOOR, NEW YORK, NY 10019 / 212.277.6000</w:t>
      </w:r>
      <w:r>
        <w:rPr>
          <w:sz w:val="20"/>
          <w:szCs w:val="20"/>
          <w:color w:val="auto"/>
        </w:rPr>
        <w:tab/>
      </w:r>
      <w:r>
        <w:rPr>
          <w:rFonts w:ascii="Arial" w:cs="Arial" w:eastAsia="Arial" w:hAnsi="Arial"/>
          <w:sz w:val="12"/>
          <w:szCs w:val="12"/>
          <w:b w:val="1"/>
          <w:bCs w:val="1"/>
          <w:color w:val="auto"/>
        </w:rPr>
        <w:t>LEERINK.COM</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59" w:right="43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pacing w:after="0" w:line="144" w:lineRule="exact"/>
        <w:rPr>
          <w:sz w:val="20"/>
          <w:szCs w:val="20"/>
          <w:color w:val="auto"/>
        </w:rPr>
      </w:pPr>
    </w:p>
    <w:p>
      <w:pPr>
        <w:ind w:left="200"/>
        <w:spacing w:after="0" w:line="251" w:lineRule="auto"/>
        <w:rPr>
          <w:sz w:val="20"/>
          <w:szCs w:val="20"/>
          <w:color w:val="auto"/>
        </w:rPr>
      </w:pPr>
      <w:r>
        <w:rPr>
          <w:rFonts w:ascii="Arial" w:cs="Arial" w:eastAsia="Arial" w:hAnsi="Arial"/>
          <w:sz w:val="17"/>
          <w:szCs w:val="17"/>
          <w:color w:val="auto"/>
        </w:rPr>
        <w:t>underlying the Mereo Depositary Shares to be issued in the Merger or pursuant to the CVR Agreement shall not, in the aggregate, exceed sixty-six point sixty-seven percent (66.67%) of the Mereo Outstanding Shares (the “Share Consideration Cap”), and in such event the Exchange Ratio and/or the number of Mereo Ordinary Shares underlying Mereo Depositary Shares issued pursuant to the CVR Agreement, as the case may be, shall be adjusted so that the Share Consideration Cap is not exceeded. We express no opinion as to any adjustment to the Merger Consideration pursuant to the preceding sentence. “</w:t>
      </w:r>
      <w:r>
        <w:rPr>
          <w:rFonts w:ascii="Arial" w:cs="Arial" w:eastAsia="Arial" w:hAnsi="Arial"/>
          <w:sz w:val="17"/>
          <w:szCs w:val="17"/>
          <w:u w:val="single" w:color="auto"/>
          <w:color w:val="auto"/>
        </w:rPr>
        <w:t>Excluded Shares</w:t>
      </w:r>
      <w:r>
        <w:rPr>
          <w:rFonts w:ascii="Arial" w:cs="Arial" w:eastAsia="Arial" w:hAnsi="Arial"/>
          <w:sz w:val="17"/>
          <w:szCs w:val="17"/>
          <w:color w:val="auto"/>
        </w:rPr>
        <w:t>” means (a) shares of Company Capital Stock held as treasury stock immediately prior to the effective time of the Merger and (b) shares of Company Capital Stock that are outstanding immediately prior to the effective time of the Merger and which are held by stockholders who have exercised and perfected appraisal rights for such shares of Company Capital Stock in accordance with the Delaware General Corporation Law. The Merger and the other transactions summarized above are collectively referred to herein as the “</w:t>
      </w:r>
      <w:r>
        <w:rPr>
          <w:rFonts w:ascii="Arial" w:cs="Arial" w:eastAsia="Arial" w:hAnsi="Arial"/>
          <w:sz w:val="17"/>
          <w:szCs w:val="17"/>
          <w:u w:val="single" w:color="auto"/>
          <w:color w:val="auto"/>
        </w:rPr>
        <w:t>Transaction</w:t>
      </w:r>
      <w:r>
        <w:rPr>
          <w:rFonts w:ascii="Arial" w:cs="Arial" w:eastAsia="Arial" w:hAnsi="Arial"/>
          <w:sz w:val="17"/>
          <w:szCs w:val="17"/>
          <w:color w:val="auto"/>
        </w:rPr>
        <w:t>.” The terms and conditions of the Transaction are more fully set forth in the Merger Agreement and the terms and conditions of the CVRs are more fully set forth in the CVR Agreement.</w:t>
      </w:r>
    </w:p>
    <w:p>
      <w:pPr>
        <w:spacing w:after="0" w:line="198"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We have been engaged by the Company to act as its financial advisor in connection with the proposed Transaction and we will receive a fee from the Company for providing such services, a portion of which is payable upon delivery of this opinion and the principal portion of which is contingent upon consummation of the Transaction. In addition, the Company has agreed to reimburse certain of our expenses arising, and indemnify us against certain liabilities that may arise, out of our engagement.</w:t>
      </w:r>
    </w:p>
    <w:p>
      <w:pPr>
        <w:spacing w:after="0" w:line="202"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Leerink Partners LLC is a full-service securities firm engaged in securities trading and brokerage activities as well as investment banking and financial advisory services. We have provided certain investment banking services to the Company from time to time, for which we have received compensation, including customary underwriting compensation for our roles as a joint book-running manager for the Company’s initial public offering in July 2013 and as the sole book-running manager for the Company’s follow-on equity offering in August 2016. In the ordinary course of business, we and our affiliates may, in the future, provide commercial and investment banking services to the Company, Mereo or their respective affiliates and would expect to receive customary fees for the rendering of such services. In the ordinary course of our trading and brokerage activities, we or our affiliates have in the past and may in the future hold positions, for our own account or the accounts of our customers, in equity, debt or other securities of the Company, Mereo or their respective affiliates.</w:t>
      </w:r>
    </w:p>
    <w:p>
      <w:pPr>
        <w:spacing w:after="0" w:line="20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Consistent with applicable legal and regulatory requirements, we have adopted policies and procedures to establish and maintain the independence of our research departments and personnel. As a result, our research analysts may hold views, make statements or investment recommendations and/or publish research reports with respect to the Company, Mereo and the proposed Transaction and other participants in the Transaction that differ from the views of our investment banking personnel.</w:t>
      </w:r>
    </w:p>
    <w:p>
      <w:pPr>
        <w:spacing w:after="0" w:line="202" w:lineRule="exact"/>
        <w:rPr>
          <w:sz w:val="20"/>
          <w:szCs w:val="20"/>
          <w:color w:val="auto"/>
        </w:rPr>
      </w:pPr>
    </w:p>
    <w:p>
      <w:pPr>
        <w:ind w:left="200" w:right="180" w:firstLine="441"/>
        <w:spacing w:after="0" w:line="248" w:lineRule="auto"/>
        <w:rPr>
          <w:sz w:val="20"/>
          <w:szCs w:val="20"/>
          <w:color w:val="auto"/>
        </w:rPr>
      </w:pPr>
      <w:r>
        <w:rPr>
          <w:rFonts w:ascii="Arial" w:cs="Arial" w:eastAsia="Arial" w:hAnsi="Arial"/>
          <w:sz w:val="17"/>
          <w:szCs w:val="17"/>
          <w:color w:val="auto"/>
        </w:rPr>
        <w:t>In connection with this opinion, we have reviewed, among other things: (i) a draft of the Merger Agreement, dated December 4, 2018; (ii) a draft of the CVR Agreement, dated December 4, 2018; (iii) the annual report on Form 10-K of the Company for the fiscal year ended December 31, 2017, as filed by the Company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(iv) the annual report to shareholders of Mereo for the fiscal year ended December 31, 2017, as filed by Mereo with the United Kingdom Companies House;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 quarterly reports on Form 10-Q for the quarterly periods ended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w:t>
      </w:r>
    </w:p>
    <w:p>
      <w:pPr>
        <w:spacing w:after="0" w:line="144"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March 31, 2018, June 30, 2018 and September 30, 2018, as filed by the Company with the SEC; (vi) interim results for the six month period ended on June 30, 2018, as issued by Mereo; (vii) certain current reports on Form 8-K, as filed by the Company with, or furnished by the Company to, the SEC; (viii) the registration statement on Form F-1 and amendment No. 1 thereto, as filed by Mereo with the SEC on March 23, 2018 and April 9, 2018, respectively; (ix) certain publicly available research analyst reports for the Company and Mereo;</w:t>
      </w:r>
    </w:p>
    <w:p>
      <w:pPr>
        <w:spacing w:after="0" w:line="3" w:lineRule="exact"/>
        <w:rPr>
          <w:sz w:val="20"/>
          <w:szCs w:val="20"/>
          <w:color w:val="auto"/>
        </w:rPr>
      </w:pPr>
    </w:p>
    <w:p>
      <w:pPr>
        <w:ind w:left="200" w:right="100" w:firstLine="4"/>
        <w:spacing w:after="0" w:line="236" w:lineRule="auto"/>
        <w:tabs>
          <w:tab w:leader="none" w:pos="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certain other communications from the Company and Mereo to each of its respective stockholders; (xi)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w:t>
      </w:r>
      <w:r>
        <w:rPr>
          <w:rFonts w:ascii="Arial" w:cs="Arial" w:eastAsia="Arial" w:hAnsi="Arial"/>
          <w:sz w:val="18"/>
          <w:szCs w:val="18"/>
          <w:u w:val="single" w:color="auto"/>
          <w:color w:val="auto"/>
        </w:rPr>
        <w:t>Company Forecast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Company Internal Data</w:t>
      </w:r>
      <w:r>
        <w:rPr>
          <w:rFonts w:ascii="Arial" w:cs="Arial" w:eastAsia="Arial" w:hAnsi="Arial"/>
          <w:sz w:val="18"/>
          <w:szCs w:val="18"/>
          <w:color w:val="auto"/>
        </w:rPr>
        <w:t>”); and (xii) certain internal information relating to the business, operations, earnings, cash flow, assets, liabilities and prospects of Mereo, including certain financial forecasts, analyses and projections relating to Mereo prepared by management of Mereo and furnished to us by Mereo for purposes of our analysis (the “</w:t>
      </w:r>
      <w:r>
        <w:rPr>
          <w:rFonts w:ascii="Arial" w:cs="Arial" w:eastAsia="Arial" w:hAnsi="Arial"/>
          <w:sz w:val="18"/>
          <w:szCs w:val="18"/>
          <w:u w:val="single" w:color="auto"/>
          <w:color w:val="auto"/>
        </w:rPr>
        <w:t>Mereo Forecast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Mereo Internal Data</w:t>
      </w:r>
      <w:r>
        <w:rPr>
          <w:rFonts w:ascii="Arial" w:cs="Arial" w:eastAsia="Arial" w:hAnsi="Arial"/>
          <w:sz w:val="18"/>
          <w:szCs w:val="18"/>
          <w:color w:val="auto"/>
        </w:rPr>
        <w:t>”). We conducted discussions with members of the senior management and representatives of the Company regarding their assessment of the Company Internal Data and the Mereo Internal Data and with members of the senior management and representatives of Mereo regarding their assessment of the Mereo Internal Data. In addition, we reviewed publicly available financial and stock market data for the Company and Mereo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20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 has been reasonably prepared on bases reflecting the best currently available estimates and judgments of the management of the Company as to the matters covered thereby and that the Mereo Internal Data (including, without limitation, the Mereo Forecast) has been reasonably prepared on bases reflecting the best currently available estimates and judgments of the management of Mereo as to the matters covered thereby. We have relied, at your direction, on the Company Internal Data and the Mereo Internal Data for purposes of our analysis and this opinion. We express no view or opinion as to the Company Internal Data or the Mereo Internal Data or the respective assumptions on which each is based. In addition, at your direction, we have not made any independent evaluation or appraisal of any of the assets or liabilities (contingent, derivative, off-balance-sheet or otherwise) of the Company or Mereo, nor have we been furnished with any such evaluation or appraisal, and we have not been asked to conduct, and did not conduct, a physical inspection of the properties or assets of the Company or Mereo. We have assumed, at your direction, that the final executed Merger Agreement and the final executed CVR Agreement will not differ in any respect material to our analysis or this opinion from the last draft of the Merger Agreement or the last draft of the CVR Agreement reviewed by us. We have also assumed, at your direction, that the Transaction will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our analysis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59" w:right="43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4</w:t>
      </w:r>
    </w:p>
    <w:p>
      <w:pPr>
        <w:spacing w:after="0" w:line="14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Mereo, or their respective abilities to pay their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5"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Company Capital Stock (other than Excluded Shares) of the Merger Consideration to be paid to such holders pursuant to the terms of the Merger Agreement. We have not been asked to, nor do we express any view on, and our opinion does not address, any other term or aspect of the Merger Agreement, the CVR Agreement or the Transaction, including, without limitation, the structure or form of the Transaction, the form or terms of the CVRs with respect to transferability, illiquidity or otherwise,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other party, or class of such persons in connection with the Transaction, whether relative to the Merger Consideration to be paid to the holders of the Company Capital Stock (other than Excluded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how such holder should vote with respect to the Merger or otherwise act with respect to the Transaction or any other matter.</w:t>
      </w:r>
    </w:p>
    <w:p>
      <w:pPr>
        <w:spacing w:after="0" w:line="214"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This opinion has been authorized by our Fairness Opinion Review Committee.</w:t>
      </w:r>
    </w:p>
    <w:p>
      <w:pPr>
        <w:spacing w:after="0" w:line="203"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Based upon and subject to the foregoing, including the various assumptions and limitations set forth herein, it is our opinion that, as of the date hereof, the Merger Consideration to be paid to the holders of the Company Capital Stock (other than Excluded Shares) pursuant to the terms of the Merger Agreement is fair, from a financial point of view, to such holders.</w:t>
      </w: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Leerink Partners LLC</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80"/>
          </w:cols>
          <w:pgMar w:left="240" w:top="459" w:right="47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234" w:lineRule="exact"/>
        <w:rPr>
          <w:sz w:val="20"/>
          <w:szCs w:val="20"/>
          <w:color w:val="auto"/>
        </w:rPr>
      </w:pPr>
    </w:p>
    <w:p>
      <w:pPr>
        <w:ind w:left="200" w:firstLine="444"/>
        <w:spacing w:after="0" w:line="234" w:lineRule="auto"/>
        <w:tabs>
          <w:tab w:leader="none" w:pos="91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w:t>
      </w:r>
    </w:p>
    <w:p>
      <w:pPr>
        <w:spacing w:after="0" w:line="6"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the depository.</w:t>
      </w:r>
    </w:p>
    <w:p>
      <w:pPr>
        <w:spacing w:after="0" w:line="211" w:lineRule="exact"/>
        <w:rPr>
          <w:rFonts w:ascii="Arial" w:cs="Arial" w:eastAsia="Arial" w:hAnsi="Arial"/>
          <w:sz w:val="18"/>
          <w:szCs w:val="18"/>
          <w:color w:val="auto"/>
        </w:rPr>
      </w:pPr>
    </w:p>
    <w:p>
      <w:pPr>
        <w:ind w:left="200" w:right="160" w:firstLine="444"/>
        <w:spacing w:after="0" w:line="248" w:lineRule="auto"/>
        <w:tabs>
          <w:tab w:leader="none" w:pos="911"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Appraisal rights shall be available for the shares of any class or series of stock of a constituent corporation in a merger or consolidation to be effected pursuant to § 251 (other than a merger effected pursuant to § 251(g) of this title), § 252, § 254, § 255, § 256,</w:t>
      </w:r>
    </w:p>
    <w:p>
      <w:pPr>
        <w:spacing w:after="0" w:line="1" w:lineRule="exact"/>
        <w:rPr>
          <w:rFonts w:ascii="Arial" w:cs="Arial" w:eastAsia="Arial" w:hAnsi="Arial"/>
          <w:sz w:val="17"/>
          <w:szCs w:val="17"/>
          <w:color w:val="auto"/>
        </w:rPr>
      </w:pPr>
    </w:p>
    <w:p>
      <w:pPr>
        <w:ind w:left="360" w:hanging="156"/>
        <w:spacing w:after="0"/>
        <w:tabs>
          <w:tab w:leader="none" w:pos="3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257, § 258, § 263 or § 264 of this title:</w:t>
      </w:r>
    </w:p>
    <w:p>
      <w:pPr>
        <w:spacing w:after="0" w:line="103" w:lineRule="exact"/>
        <w:rPr>
          <w:rFonts w:ascii="Arial" w:cs="Arial" w:eastAsia="Arial" w:hAnsi="Arial"/>
          <w:sz w:val="18"/>
          <w:szCs w:val="18"/>
          <w:color w:val="auto"/>
        </w:rPr>
      </w:pPr>
    </w:p>
    <w:p>
      <w:pPr>
        <w:ind w:left="200" w:right="80" w:firstLine="885"/>
        <w:spacing w:after="0" w:line="234" w:lineRule="auto"/>
        <w:tabs>
          <w:tab w:leader="none" w:pos="1351" w:val="left"/>
        </w:tabs>
        <w:numPr>
          <w:ilvl w:val="2"/>
          <w:numId w:val="362"/>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w:t>
      </w:r>
    </w:p>
    <w:p>
      <w:pPr>
        <w:spacing w:after="0" w:line="3" w:lineRule="exact"/>
        <w:rPr>
          <w:rFonts w:ascii="Arial" w:cs="Arial" w:eastAsia="Arial" w:hAnsi="Arial"/>
          <w:sz w:val="18"/>
          <w:szCs w:val="18"/>
          <w:color w:val="auto"/>
        </w:rPr>
      </w:pPr>
    </w:p>
    <w:p>
      <w:pPr>
        <w:ind w:left="200" w:right="80"/>
        <w:spacing w:after="0"/>
        <w:rPr>
          <w:rFonts w:ascii="Arial" w:cs="Arial" w:eastAsia="Arial" w:hAnsi="Arial"/>
          <w:sz w:val="18"/>
          <w:szCs w:val="18"/>
          <w:color w:val="auto"/>
        </w:rPr>
      </w:pPr>
      <w:r>
        <w:rPr>
          <w:rFonts w:ascii="Arial" w:cs="Arial" w:eastAsia="Arial" w:hAnsi="Arial"/>
          <w:sz w:val="18"/>
          <w:szCs w:val="18"/>
          <w:color w:val="auto"/>
        </w:rPr>
        <w:t>(i)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4" w:lineRule="exact"/>
        <w:rPr>
          <w:rFonts w:ascii="Arial" w:cs="Arial" w:eastAsia="Arial" w:hAnsi="Arial"/>
          <w:sz w:val="18"/>
          <w:szCs w:val="18"/>
          <w:color w:val="auto"/>
        </w:rPr>
      </w:pPr>
    </w:p>
    <w:p>
      <w:pPr>
        <w:ind w:left="200" w:right="160" w:firstLine="885"/>
        <w:spacing w:after="0"/>
        <w:tabs>
          <w:tab w:leader="none" w:pos="1351" w:val="left"/>
        </w:tabs>
        <w:numPr>
          <w:ilvl w:val="2"/>
          <w:numId w:val="362"/>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90" w:lineRule="exact"/>
        <w:rPr>
          <w:rFonts w:ascii="Arial" w:cs="Arial" w:eastAsia="Arial" w:hAnsi="Arial"/>
          <w:sz w:val="18"/>
          <w:szCs w:val="18"/>
          <w:color w:val="auto"/>
        </w:rPr>
      </w:pPr>
    </w:p>
    <w:p>
      <w:pPr>
        <w:ind w:left="1840" w:hanging="204"/>
        <w:spacing w:after="0"/>
        <w:tabs>
          <w:tab w:leader="none" w:pos="1840" w:val="left"/>
        </w:tabs>
        <w:numPr>
          <w:ilvl w:val="3"/>
          <w:numId w:val="362"/>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w:t>
      </w:r>
    </w:p>
    <w:p>
      <w:pPr>
        <w:ind w:left="200"/>
        <w:spacing w:after="0"/>
        <w:rPr>
          <w:rFonts w:ascii="Arial" w:cs="Arial" w:eastAsia="Arial" w:hAnsi="Arial"/>
          <w:sz w:val="18"/>
          <w:szCs w:val="18"/>
          <w:color w:val="auto"/>
        </w:rPr>
      </w:pPr>
      <w:r>
        <w:rPr>
          <w:rFonts w:ascii="Arial" w:cs="Arial" w:eastAsia="Arial" w:hAnsi="Arial"/>
          <w:sz w:val="18"/>
          <w:szCs w:val="18"/>
          <w:color w:val="auto"/>
        </w:rPr>
        <w:t>respect thereof;</w:t>
      </w:r>
    </w:p>
    <w:p>
      <w:pPr>
        <w:spacing w:after="0" w:line="99" w:lineRule="exact"/>
        <w:rPr>
          <w:rFonts w:ascii="Arial" w:cs="Arial" w:eastAsia="Arial" w:hAnsi="Arial"/>
          <w:sz w:val="18"/>
          <w:szCs w:val="18"/>
          <w:color w:val="auto"/>
        </w:rPr>
      </w:pPr>
    </w:p>
    <w:p>
      <w:pPr>
        <w:ind w:left="1840" w:hanging="204"/>
        <w:spacing w:after="0"/>
        <w:tabs>
          <w:tab w:leader="none" w:pos="1840" w:val="left"/>
        </w:tabs>
        <w:numPr>
          <w:ilvl w:val="3"/>
          <w:numId w:val="362"/>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w:t>
      </w:r>
    </w:p>
    <w:p>
      <w:pPr>
        <w:ind w:left="200" w:right="140"/>
        <w:spacing w:after="0" w:line="246" w:lineRule="auto"/>
        <w:rPr>
          <w:sz w:val="20"/>
          <w:szCs w:val="20"/>
          <w:color w:val="auto"/>
        </w:rPr>
      </w:pPr>
      <w:r>
        <w:rPr>
          <w:rFonts w:ascii="Arial" w:cs="Arial" w:eastAsia="Arial" w:hAnsi="Arial"/>
          <w:sz w:val="18"/>
          <w:szCs w:val="18"/>
          <w:color w:val="auto"/>
        </w:rPr>
        <w:t>(or depository receipts in respect thereof) or depository receipts at the effective date of the merger or consolidation will be either listed on a national securities exchange or held of record by more than 2,000 holders;</w:t>
      </w:r>
    </w:p>
    <w:p>
      <w:pPr>
        <w:spacing w:after="0" w:line="8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 Cash in lieu of fractional shares or fractional depository receipts described in the foregoing paragraphs (b)(2)a. and b.</w:t>
      </w:r>
    </w:p>
    <w:p>
      <w:pPr>
        <w:ind w:left="200"/>
        <w:spacing w:after="0"/>
        <w:rPr>
          <w:sz w:val="20"/>
          <w:szCs w:val="20"/>
          <w:color w:val="auto"/>
        </w:rPr>
      </w:pPr>
      <w:r>
        <w:rPr>
          <w:rFonts w:ascii="Arial" w:cs="Arial" w:eastAsia="Arial" w:hAnsi="Arial"/>
          <w:sz w:val="18"/>
          <w:szCs w:val="18"/>
          <w:color w:val="auto"/>
        </w:rPr>
        <w:t>of this section; or</w:t>
      </w:r>
    </w:p>
    <w:p>
      <w:pPr>
        <w:spacing w:after="0" w:line="104" w:lineRule="exact"/>
        <w:rPr>
          <w:sz w:val="20"/>
          <w:szCs w:val="20"/>
          <w:color w:val="auto"/>
        </w:rPr>
      </w:pPr>
    </w:p>
    <w:p>
      <w:pPr>
        <w:ind w:left="200" w:right="820" w:firstLine="1433"/>
        <w:spacing w:after="0" w:line="246" w:lineRule="auto"/>
        <w:rPr>
          <w:sz w:val="20"/>
          <w:szCs w:val="20"/>
          <w:color w:val="auto"/>
        </w:rPr>
      </w:pPr>
      <w:r>
        <w:rPr>
          <w:rFonts w:ascii="Arial" w:cs="Arial" w:eastAsia="Arial" w:hAnsi="Arial"/>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89" w:lineRule="exact"/>
        <w:rPr>
          <w:sz w:val="20"/>
          <w:szCs w:val="20"/>
          <w:color w:val="auto"/>
        </w:rPr>
      </w:pPr>
    </w:p>
    <w:p>
      <w:pPr>
        <w:ind w:left="200" w:right="60" w:firstLine="885"/>
        <w:spacing w:after="0"/>
        <w:tabs>
          <w:tab w:leader="none" w:pos="135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94" w:lineRule="exact"/>
        <w:rPr>
          <w:rFonts w:ascii="Arial" w:cs="Arial" w:eastAsia="Arial" w:hAnsi="Arial"/>
          <w:sz w:val="18"/>
          <w:szCs w:val="18"/>
          <w:color w:val="auto"/>
        </w:rPr>
      </w:pPr>
    </w:p>
    <w:p>
      <w:pPr>
        <w:ind w:left="200" w:right="160" w:firstLine="885"/>
        <w:spacing w:after="0" w:line="246" w:lineRule="auto"/>
        <w:tabs>
          <w:tab w:leader="none" w:pos="135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20"/>
          </w:cols>
          <w:pgMar w:left="240" w:top="459" w:right="43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203" w:lineRule="exact"/>
        <w:rPr>
          <w:sz w:val="20"/>
          <w:szCs w:val="20"/>
          <w:color w:val="auto"/>
        </w:rPr>
      </w:pPr>
    </w:p>
    <w:p>
      <w:pPr>
        <w:ind w:left="200" w:right="260" w:firstLine="444"/>
        <w:spacing w:after="0" w:line="238" w:lineRule="auto"/>
        <w:tabs>
          <w:tab w:leader="none" w:pos="90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202" w:lineRule="exact"/>
        <w:rPr>
          <w:rFonts w:ascii="Arial" w:cs="Arial" w:eastAsia="Arial" w:hAnsi="Arial"/>
          <w:sz w:val="18"/>
          <w:szCs w:val="18"/>
          <w:color w:val="auto"/>
        </w:rPr>
      </w:pPr>
    </w:p>
    <w:p>
      <w:pPr>
        <w:ind w:left="920" w:hanging="276"/>
        <w:spacing w:after="0"/>
        <w:tabs>
          <w:tab w:leader="none" w:pos="9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03" w:lineRule="exact"/>
        <w:rPr>
          <w:rFonts w:ascii="Arial" w:cs="Arial" w:eastAsia="Arial" w:hAnsi="Arial"/>
          <w:sz w:val="18"/>
          <w:szCs w:val="18"/>
          <w:color w:val="auto"/>
        </w:rPr>
      </w:pPr>
    </w:p>
    <w:p>
      <w:pPr>
        <w:ind w:left="200" w:right="60" w:firstLine="885"/>
        <w:spacing w:after="0" w:line="236" w:lineRule="auto"/>
        <w:tabs>
          <w:tab w:leader="none" w:pos="1351"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95" w:lineRule="exact"/>
        <w:rPr>
          <w:rFonts w:ascii="Arial" w:cs="Arial" w:eastAsia="Arial" w:hAnsi="Arial"/>
          <w:sz w:val="18"/>
          <w:szCs w:val="18"/>
          <w:color w:val="auto"/>
        </w:rPr>
      </w:pPr>
    </w:p>
    <w:p>
      <w:pPr>
        <w:ind w:left="200" w:right="20" w:firstLine="885"/>
        <w:spacing w:after="0" w:line="234" w:lineRule="auto"/>
        <w:tabs>
          <w:tab w:leader="none" w:pos="1351"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w:t>
      </w:r>
    </w:p>
    <w:p>
      <w:pPr>
        <w:spacing w:after="0" w:line="5" w:lineRule="exact"/>
        <w:rPr>
          <w:rFonts w:ascii="Arial" w:cs="Arial" w:eastAsia="Arial" w:hAnsi="Arial"/>
          <w:sz w:val="18"/>
          <w:szCs w:val="18"/>
          <w:color w:val="auto"/>
        </w:rPr>
      </w:pPr>
    </w:p>
    <w:p>
      <w:pPr>
        <w:ind w:left="200"/>
        <w:spacing w:after="0" w:line="236" w:lineRule="auto"/>
        <w:rPr>
          <w:rFonts w:ascii="Arial" w:cs="Arial" w:eastAsia="Arial" w:hAnsi="Arial"/>
          <w:sz w:val="18"/>
          <w:szCs w:val="18"/>
          <w:color w:val="auto"/>
        </w:rPr>
      </w:pPr>
      <w:r>
        <w:rPr>
          <w:rFonts w:ascii="Arial" w:cs="Arial" w:eastAsia="Arial" w:hAnsi="Arial"/>
          <w:sz w:val="18"/>
          <w:szCs w:val="18"/>
          <w:color w:val="auto"/>
        </w:rPr>
        <w:t>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20"/>
          </w:cols>
          <w:pgMar w:left="240" w:top="460" w:right="43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07" w:lineRule="exact"/>
        <w:rPr>
          <w:sz w:val="20"/>
          <w:szCs w:val="20"/>
          <w:color w:val="auto"/>
        </w:rPr>
      </w:pPr>
    </w:p>
    <w:p>
      <w:pPr>
        <w:ind w:left="200" w:right="60" w:firstLine="444"/>
        <w:spacing w:after="0" w:line="234" w:lineRule="auto"/>
        <w:tabs>
          <w:tab w:leader="none" w:pos="911" w:val="left"/>
        </w:tabs>
        <w:numPr>
          <w:ilvl w:val="1"/>
          <w:numId w:val="365"/>
        </w:numPr>
        <w:rPr>
          <w:rFonts w:ascii="Arial" w:cs="Arial" w:eastAsia="Arial" w:hAnsi="Arial"/>
          <w:sz w:val="18"/>
          <w:szCs w:val="18"/>
          <w:color w:val="auto"/>
        </w:rPr>
      </w:pPr>
      <w:r>
        <w:rPr>
          <w:rFonts w:ascii="Arial" w:cs="Arial" w:eastAsia="Arial" w:hAnsi="Arial"/>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w:t>
      </w:r>
    </w:p>
    <w:p>
      <w:pPr>
        <w:spacing w:after="0" w:line="7" w:lineRule="exact"/>
        <w:rPr>
          <w:rFonts w:ascii="Arial" w:cs="Arial" w:eastAsia="Arial" w:hAnsi="Arial"/>
          <w:sz w:val="18"/>
          <w:szCs w:val="18"/>
          <w:color w:val="auto"/>
        </w:rPr>
      </w:pPr>
    </w:p>
    <w:p>
      <w:pPr>
        <w:ind w:left="200" w:firstLine="4"/>
        <w:spacing w:after="0" w:line="237" w:lineRule="auto"/>
        <w:tabs>
          <w:tab w:leader="none" w:pos="35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03" w:lineRule="exact"/>
        <w:rPr>
          <w:rFonts w:ascii="Arial" w:cs="Arial" w:eastAsia="Arial" w:hAnsi="Arial"/>
          <w:sz w:val="18"/>
          <w:szCs w:val="18"/>
          <w:color w:val="auto"/>
        </w:rPr>
      </w:pPr>
    </w:p>
    <w:p>
      <w:pPr>
        <w:ind w:left="200" w:firstLine="444"/>
        <w:spacing w:after="0" w:line="236" w:lineRule="auto"/>
        <w:tabs>
          <w:tab w:leader="none" w:pos="86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00"/>
          </w:cols>
          <w:pgMar w:left="240" w:top="459" w:right="45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4"/>
        <w:spacing w:after="0" w:line="236" w:lineRule="auto"/>
        <w:tabs>
          <w:tab w:leader="none" w:pos="91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207" w:lineRule="exact"/>
        <w:rPr>
          <w:rFonts w:ascii="Arial" w:cs="Arial" w:eastAsia="Arial" w:hAnsi="Arial"/>
          <w:sz w:val="18"/>
          <w:szCs w:val="18"/>
          <w:color w:val="auto"/>
        </w:rPr>
      </w:pPr>
    </w:p>
    <w:p>
      <w:pPr>
        <w:ind w:left="200" w:firstLine="444"/>
        <w:spacing w:after="0" w:line="235" w:lineRule="auto"/>
        <w:tabs>
          <w:tab w:leader="none" w:pos="91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214" w:lineRule="exact"/>
        <w:rPr>
          <w:rFonts w:ascii="Arial" w:cs="Arial" w:eastAsia="Arial" w:hAnsi="Arial"/>
          <w:sz w:val="18"/>
          <w:szCs w:val="18"/>
          <w:color w:val="auto"/>
        </w:rPr>
      </w:pPr>
    </w:p>
    <w:p>
      <w:pPr>
        <w:ind w:left="200" w:right="300" w:firstLine="444"/>
        <w:spacing w:after="0" w:line="238" w:lineRule="auto"/>
        <w:tabs>
          <w:tab w:leader="none" w:pos="85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202" w:lineRule="exact"/>
        <w:rPr>
          <w:rFonts w:ascii="Arial" w:cs="Arial" w:eastAsia="Arial" w:hAnsi="Arial"/>
          <w:sz w:val="18"/>
          <w:szCs w:val="18"/>
          <w:color w:val="auto"/>
        </w:rPr>
      </w:pPr>
    </w:p>
    <w:p>
      <w:pPr>
        <w:jc w:val="both"/>
        <w:ind w:left="200" w:firstLine="444"/>
        <w:spacing w:after="0" w:line="239" w:lineRule="auto"/>
        <w:tabs>
          <w:tab w:leader="none" w:pos="85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201" w:lineRule="exact"/>
        <w:rPr>
          <w:rFonts w:ascii="Arial" w:cs="Arial" w:eastAsia="Arial" w:hAnsi="Arial"/>
          <w:sz w:val="18"/>
          <w:szCs w:val="18"/>
          <w:color w:val="auto"/>
        </w:rPr>
      </w:pPr>
    </w:p>
    <w:p>
      <w:pPr>
        <w:ind w:left="200" w:right="140" w:firstLine="444"/>
        <w:spacing w:after="0" w:line="246" w:lineRule="auto"/>
        <w:tabs>
          <w:tab w:leader="none" w:pos="90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From and after the effective date of the merger or consolidation, no stockholder who has demanded appraisal rights as provided in subsection (d) of this section shall be entitled to vote such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20"/>
          </w:cols>
          <w:pgMar w:left="240" w:top="460" w:right="43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206" w:lineRule="exact"/>
        <w:rPr>
          <w:sz w:val="20"/>
          <w:szCs w:val="20"/>
          <w:color w:val="auto"/>
        </w:rPr>
      </w:pPr>
    </w:p>
    <w:p>
      <w:pPr>
        <w:ind w:left="200" w:firstLine="444"/>
        <w:spacing w:after="0"/>
        <w:tabs>
          <w:tab w:leader="none" w:pos="85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D-5</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F6384"/>
    <w:multiLevelType w:val="hybridMultilevel"/>
    <w:lvl w:ilvl="0">
      <w:lvlJc w:val="left"/>
      <w:lvlText w:val="∎"/>
      <w:numFmt w:val="bullet"/>
      <w:start w:val="1"/>
    </w:lvl>
  </w:abstractNum>
  <w:abstractNum w:abstractNumId="1">
    <w:nsid w:val="2B4B8B53"/>
    <w:multiLevelType w:val="hybridMultilevel"/>
    <w:lvl w:ilvl="0">
      <w:lvlJc w:val="left"/>
      <w:lvlText w:val="∎"/>
      <w:numFmt w:val="bullet"/>
      <w:start w:val="1"/>
    </w:lvl>
  </w:abstractNum>
  <w:abstractNum w:abstractNumId="2">
    <w:nsid w:val="72E3413A"/>
    <w:multiLevelType w:val="hybridMultilevel"/>
    <w:lvl w:ilvl="0">
      <w:lvlJc w:val="left"/>
      <w:lvlText w:val="∎"/>
      <w:numFmt w:val="bullet"/>
      <w:start w:val="1"/>
    </w:lvl>
  </w:abstractNum>
  <w:abstractNum w:abstractNumId="3">
    <w:nsid w:val="116AE494"/>
    <w:multiLevelType w:val="hybridMultilevel"/>
    <w:lvl w:ilvl="0">
      <w:lvlJc w:val="left"/>
      <w:lvlText w:val="(%1)"/>
      <w:numFmt w:val="lowerRoman"/>
      <w:start w:val="2"/>
    </w:lvl>
  </w:abstractNum>
  <w:abstractNum w:abstractNumId="4">
    <w:nsid w:val="3494B2FB"/>
    <w:multiLevelType w:val="hybridMultilevel"/>
    <w:lvl w:ilvl="0">
      <w:lvlJc w:val="left"/>
      <w:lvlText w:val="∎"/>
      <w:numFmt w:val="bullet"/>
      <w:start w:val="1"/>
    </w:lvl>
  </w:abstractNum>
  <w:abstractNum w:abstractNumId="5">
    <w:nsid w:val="B13A31"/>
    <w:multiLevelType w:val="hybridMultilevel"/>
    <w:lvl w:ilvl="0">
      <w:lvlJc w:val="left"/>
      <w:lvlText w:val="∎"/>
      <w:numFmt w:val="bullet"/>
      <w:start w:val="1"/>
    </w:lvl>
  </w:abstractNum>
  <w:abstractNum w:abstractNumId="6">
    <w:nsid w:val="64429599"/>
    <w:multiLevelType w:val="hybridMultilevel"/>
    <w:lvl w:ilvl="0">
      <w:lvlJc w:val="left"/>
      <w:lvlText w:val="∎"/>
      <w:numFmt w:val="bullet"/>
      <w:start w:val="1"/>
    </w:lvl>
  </w:abstractNum>
  <w:abstractNum w:abstractNumId="7">
    <w:nsid w:val="631F1690"/>
    <w:multiLevelType w:val="hybridMultilevel"/>
    <w:lvl w:ilvl="0">
      <w:lvlJc w:val="left"/>
      <w:lvlText w:val="∎"/>
      <w:numFmt w:val="bullet"/>
      <w:start w:val="1"/>
    </w:lvl>
  </w:abstractNum>
  <w:abstractNum w:abstractNumId="8">
    <w:nsid w:val="25973E32"/>
    <w:multiLevelType w:val="hybridMultilevel"/>
    <w:lvl w:ilvl="0">
      <w:lvlJc w:val="left"/>
      <w:lvlText w:val="∎"/>
      <w:numFmt w:val="bullet"/>
      <w:start w:val="1"/>
    </w:lvl>
  </w:abstractNum>
  <w:abstractNum w:abstractNumId="9">
    <w:nsid w:val="EAD6F57"/>
    <w:multiLevelType w:val="hybridMultilevel"/>
    <w:lvl w:ilvl="0">
      <w:lvlJc w:val="left"/>
      <w:lvlText w:val="∎"/>
      <w:numFmt w:val="bullet"/>
      <w:start w:val="1"/>
    </w:lvl>
  </w:abstractNum>
  <w:abstractNum w:abstractNumId="10">
    <w:nsid w:val="6EC9D844"/>
    <w:multiLevelType w:val="hybridMultilevel"/>
    <w:lvl w:ilvl="0">
      <w:lvlJc w:val="left"/>
      <w:lvlText w:val="∎"/>
      <w:numFmt w:val="bullet"/>
      <w:start w:val="1"/>
    </w:lvl>
  </w:abstractNum>
  <w:abstractNum w:abstractNumId="11">
    <w:nsid w:val="5C49EAEE"/>
    <w:multiLevelType w:val="hybridMultilevel"/>
    <w:lvl w:ilvl="0">
      <w:lvlJc w:val="left"/>
      <w:lvlText w:val="∎"/>
      <w:numFmt w:val="bullet"/>
      <w:start w:val="1"/>
    </w:lvl>
  </w:abstractNum>
  <w:abstractNum w:abstractNumId="12">
    <w:nsid w:val="64AF49B"/>
    <w:multiLevelType w:val="hybridMultilevel"/>
    <w:lvl w:ilvl="0">
      <w:lvlJc w:val="left"/>
      <w:lvlText w:val="∎"/>
      <w:numFmt w:val="bullet"/>
      <w:start w:val="1"/>
    </w:lvl>
  </w:abstractNum>
  <w:abstractNum w:abstractNumId="13">
    <w:nsid w:val="397C46BC"/>
    <w:multiLevelType w:val="hybridMultilevel"/>
    <w:lvl w:ilvl="0">
      <w:lvlJc w:val="left"/>
      <w:lvlText w:val="∎"/>
      <w:numFmt w:val="bullet"/>
      <w:start w:val="1"/>
    </w:lvl>
  </w:abstractNum>
  <w:abstractNum w:abstractNumId="14">
    <w:nsid w:val="7E448DE9"/>
    <w:multiLevelType w:val="hybridMultilevel"/>
    <w:lvl w:ilvl="0">
      <w:lvlJc w:val="left"/>
      <w:lvlText w:val="∎"/>
      <w:numFmt w:val="bullet"/>
      <w:start w:val="1"/>
    </w:lvl>
  </w:abstractNum>
  <w:abstractNum w:abstractNumId="15">
    <w:nsid w:val="5A9CC3E5"/>
    <w:multiLevelType w:val="hybridMultilevel"/>
    <w:lvl w:ilvl="0">
      <w:lvlJc w:val="left"/>
      <w:lvlText w:val="∎"/>
      <w:numFmt w:val="bullet"/>
      <w:start w:val="1"/>
    </w:lvl>
  </w:abstractNum>
  <w:abstractNum w:abstractNumId="16">
    <w:nsid w:val="1AFE3625"/>
    <w:multiLevelType w:val="hybridMultilevel"/>
    <w:lvl w:ilvl="0">
      <w:lvlJc w:val="left"/>
      <w:lvlText w:val="∎"/>
      <w:numFmt w:val="bullet"/>
      <w:start w:val="1"/>
    </w:lvl>
  </w:abstractNum>
  <w:abstractNum w:abstractNumId="17">
    <w:nsid w:val="3CA88ECF"/>
    <w:multiLevelType w:val="hybridMultilevel"/>
    <w:lvl w:ilvl="0">
      <w:lvlJc w:val="left"/>
      <w:lvlText w:val="∎"/>
      <w:numFmt w:val="bullet"/>
      <w:start w:val="1"/>
    </w:lvl>
  </w:abstractNum>
  <w:abstractNum w:abstractNumId="18">
    <w:nsid w:val="6EBE4208"/>
    <w:multiLevelType w:val="hybridMultilevel"/>
    <w:lvl w:ilvl="0">
      <w:lvlJc w:val="left"/>
      <w:lvlText w:val="∎"/>
      <w:numFmt w:val="bullet"/>
      <w:start w:val="1"/>
    </w:lvl>
  </w:abstractNum>
  <w:abstractNum w:abstractNumId="19">
    <w:nsid w:val="C058DF5"/>
    <w:multiLevelType w:val="hybridMultilevel"/>
    <w:lvl w:ilvl="0">
      <w:lvlJc w:val="left"/>
      <w:lvlText w:val="∎"/>
      <w:numFmt w:val="bullet"/>
      <w:start w:val="1"/>
    </w:lvl>
  </w:abstractNum>
  <w:abstractNum w:abstractNumId="20">
    <w:nsid w:val="CBE5BE9"/>
    <w:multiLevelType w:val="hybridMultilevel"/>
    <w:lvl w:ilvl="0">
      <w:lvlJc w:val="left"/>
      <w:lvlText w:val="∎"/>
      <w:numFmt w:val="bullet"/>
      <w:start w:val="1"/>
    </w:lvl>
  </w:abstractNum>
  <w:abstractNum w:abstractNumId="21">
    <w:nsid w:val="3102BBE2"/>
    <w:multiLevelType w:val="hybridMultilevel"/>
    <w:lvl w:ilvl="0">
      <w:lvlJc w:val="left"/>
      <w:lvlText w:val="∎"/>
      <w:numFmt w:val="bullet"/>
      <w:start w:val="1"/>
    </w:lvl>
  </w:abstractNum>
  <w:abstractNum w:abstractNumId="22">
    <w:nsid w:val="26A02C5E"/>
    <w:multiLevelType w:val="hybridMultilevel"/>
    <w:lvl w:ilvl="0">
      <w:lvlJc w:val="left"/>
      <w:lvlText w:val="∎"/>
      <w:numFmt w:val="bullet"/>
      <w:start w:val="1"/>
    </w:lvl>
  </w:abstractNum>
  <w:abstractNum w:abstractNumId="23">
    <w:nsid w:val="541C8153"/>
    <w:multiLevelType w:val="hybridMultilevel"/>
    <w:lvl w:ilvl="0">
      <w:lvlJc w:val="left"/>
      <w:lvlText w:val="∎"/>
      <w:numFmt w:val="bullet"/>
      <w:start w:val="1"/>
    </w:lvl>
  </w:abstractNum>
  <w:abstractNum w:abstractNumId="24">
    <w:nsid w:val="67906F60"/>
    <w:multiLevelType w:val="hybridMultilevel"/>
    <w:lvl w:ilvl="0">
      <w:lvlJc w:val="left"/>
      <w:lvlText w:val="∎"/>
      <w:numFmt w:val="bullet"/>
      <w:start w:val="1"/>
    </w:lvl>
  </w:abstractNum>
  <w:abstractNum w:abstractNumId="25">
    <w:nsid w:val="10DB9DAA"/>
    <w:multiLevelType w:val="hybridMultilevel"/>
    <w:lvl w:ilvl="0">
      <w:lvlJc w:val="left"/>
      <w:lvlText w:val="∎"/>
      <w:numFmt w:val="bullet"/>
      <w:start w:val="1"/>
    </w:lvl>
  </w:abstractNum>
  <w:abstractNum w:abstractNumId="26">
    <w:nsid w:val="697D2D2"/>
    <w:multiLevelType w:val="hybridMultilevel"/>
    <w:lvl w:ilvl="0">
      <w:lvlJc w:val="left"/>
      <w:lvlText w:val="∎"/>
      <w:numFmt w:val="bullet"/>
      <w:start w:val="1"/>
    </w:lvl>
  </w:abstractNum>
  <w:abstractNum w:abstractNumId="27">
    <w:nsid w:val="6D68AB2"/>
    <w:multiLevelType w:val="hybridMultilevel"/>
    <w:lvl w:ilvl="0">
      <w:lvlJc w:val="left"/>
      <w:lvlText w:val="∎"/>
      <w:numFmt w:val="bullet"/>
      <w:start w:val="1"/>
    </w:lvl>
  </w:abstractNum>
  <w:abstractNum w:abstractNumId="28">
    <w:nsid w:val="3A966CD0"/>
    <w:multiLevelType w:val="hybridMultilevel"/>
    <w:lvl w:ilvl="0">
      <w:lvlJc w:val="left"/>
      <w:lvlText w:val="(%1)"/>
      <w:numFmt w:val="decimal"/>
      <w:start w:val="3"/>
    </w:lvl>
  </w:abstractNum>
  <w:abstractNum w:abstractNumId="29">
    <w:nsid w:val="63F37E85"/>
    <w:multiLevelType w:val="hybridMultilevel"/>
    <w:lvl w:ilvl="0">
      <w:lvlJc w:val="left"/>
      <w:lvlText w:val="(%1)"/>
      <w:numFmt w:val="decimal"/>
      <w:start w:val="1"/>
    </w:lvl>
  </w:abstractNum>
  <w:abstractNum w:abstractNumId="30">
    <w:nsid w:val="5895F5FA"/>
    <w:multiLevelType w:val="hybridMultilevel"/>
    <w:lvl w:ilvl="0">
      <w:lvlJc w:val="left"/>
      <w:lvlText w:val="(%1)"/>
      <w:numFmt w:val="decimal"/>
      <w:start w:val="1"/>
    </w:lvl>
    <w:lvl w:ilvl="1">
      <w:lvlJc w:val="left"/>
      <w:lvlText w:val="(%2)"/>
      <w:numFmt w:val="lowerRoman"/>
      <w:start w:val="1"/>
    </w:lvl>
  </w:abstractNum>
  <w:abstractNum w:abstractNumId="31">
    <w:nsid w:val="38A5D054"/>
    <w:multiLevelType w:val="hybridMultilevel"/>
    <w:lvl w:ilvl="0">
      <w:lvlJc w:val="left"/>
      <w:lvlText w:val="(%1)"/>
      <w:numFmt w:val="lowerRoman"/>
      <w:start w:val="2"/>
    </w:lvl>
  </w:abstractNum>
  <w:abstractNum w:abstractNumId="32">
    <w:nsid w:val="F3F09D8"/>
    <w:multiLevelType w:val="hybridMultilevel"/>
    <w:lvl w:ilvl="0">
      <w:lvlJc w:val="left"/>
      <w:lvlText w:val="(%1)"/>
      <w:numFmt w:val="lowerRoman"/>
      <w:start w:val="1"/>
    </w:lvl>
  </w:abstractNum>
  <w:abstractNum w:abstractNumId="33">
    <w:nsid w:val="4B793735"/>
    <w:multiLevelType w:val="hybridMultilevel"/>
    <w:lvl w:ilvl="0">
      <w:lvlJc w:val="left"/>
      <w:lvlText w:val="(%1)"/>
      <w:numFmt w:val="lowerRoman"/>
      <w:start w:val="2"/>
    </w:lvl>
  </w:abstractNum>
  <w:abstractNum w:abstractNumId="34">
    <w:nsid w:val="4A10B4E8"/>
    <w:multiLevelType w:val="hybridMultilevel"/>
    <w:lvl w:ilvl="0">
      <w:lvlJc w:val="left"/>
      <w:lvlText w:val="∎"/>
      <w:numFmt w:val="bullet"/>
      <w:start w:val="1"/>
    </w:lvl>
  </w:abstractNum>
  <w:abstractNum w:abstractNumId="35">
    <w:nsid w:val="43D3BCD4"/>
    <w:multiLevelType w:val="hybridMultilevel"/>
    <w:lvl w:ilvl="0">
      <w:lvlJc w:val="left"/>
      <w:lvlText w:val="∎"/>
      <w:numFmt w:val="bullet"/>
      <w:start w:val="1"/>
    </w:lvl>
  </w:abstractNum>
  <w:abstractNum w:abstractNumId="36">
    <w:nsid w:val="4C2A7166"/>
    <w:multiLevelType w:val="hybridMultilevel"/>
    <w:lvl w:ilvl="0">
      <w:lvlJc w:val="left"/>
      <w:lvlText w:val="∎"/>
      <w:numFmt w:val="bullet"/>
      <w:start w:val="1"/>
    </w:lvl>
  </w:abstractNum>
  <w:abstractNum w:abstractNumId="37">
    <w:nsid w:val="2E534A82"/>
    <w:multiLevelType w:val="hybridMultilevel"/>
    <w:lvl w:ilvl="0">
      <w:lvlJc w:val="left"/>
      <w:lvlText w:val="∎"/>
      <w:numFmt w:val="bullet"/>
      <w:start w:val="1"/>
    </w:lvl>
  </w:abstractNum>
  <w:abstractNum w:abstractNumId="38">
    <w:nsid w:val="26F2D364"/>
    <w:multiLevelType w:val="hybridMultilevel"/>
    <w:lvl w:ilvl="0">
      <w:lvlJc w:val="left"/>
      <w:lvlText w:val="∎"/>
      <w:numFmt w:val="bullet"/>
      <w:start w:val="1"/>
    </w:lvl>
  </w:abstractNum>
  <w:abstractNum w:abstractNumId="39">
    <w:nsid w:val="71C1AF98"/>
    <w:multiLevelType w:val="hybridMultilevel"/>
    <w:lvl w:ilvl="0">
      <w:lvlJc w:val="left"/>
      <w:lvlText w:val="∎"/>
      <w:numFmt w:val="bullet"/>
      <w:start w:val="1"/>
    </w:lvl>
  </w:abstractNum>
  <w:abstractNum w:abstractNumId="40">
    <w:nsid w:val="3D00B9D9"/>
    <w:multiLevelType w:val="hybridMultilevel"/>
    <w:lvl w:ilvl="0">
      <w:lvlJc w:val="left"/>
      <w:lvlText w:val="∎"/>
      <w:numFmt w:val="bullet"/>
      <w:start w:val="1"/>
    </w:lvl>
  </w:abstractNum>
  <w:abstractNum w:abstractNumId="41">
    <w:nsid w:val="15BCABA8"/>
    <w:multiLevelType w:val="hybridMultilevel"/>
    <w:lvl w:ilvl="0">
      <w:lvlJc w:val="left"/>
      <w:lvlText w:val="∎"/>
      <w:numFmt w:val="bullet"/>
      <w:start w:val="1"/>
    </w:lvl>
  </w:abstractNum>
  <w:abstractNum w:abstractNumId="42">
    <w:nsid w:val="4E0B9A87"/>
    <w:multiLevelType w:val="hybridMultilevel"/>
    <w:lvl w:ilvl="0">
      <w:lvlJc w:val="left"/>
      <w:lvlText w:val="∎"/>
      <w:numFmt w:val="bullet"/>
      <w:start w:val="1"/>
    </w:lvl>
  </w:abstractNum>
  <w:abstractNum w:abstractNumId="43">
    <w:nsid w:val="434BAE75"/>
    <w:multiLevelType w:val="hybridMultilevel"/>
    <w:lvl w:ilvl="0">
      <w:lvlJc w:val="left"/>
      <w:lvlText w:val="∎"/>
      <w:numFmt w:val="bullet"/>
      <w:start w:val="1"/>
    </w:lvl>
  </w:abstractNum>
  <w:abstractNum w:abstractNumId="44">
    <w:nsid w:val="4F38F265"/>
    <w:multiLevelType w:val="hybridMultilevel"/>
    <w:lvl w:ilvl="0">
      <w:lvlJc w:val="left"/>
      <w:lvlText w:val="∎"/>
      <w:numFmt w:val="bullet"/>
      <w:start w:val="1"/>
    </w:lvl>
  </w:abstractNum>
  <w:abstractNum w:abstractNumId="45">
    <w:nsid w:val="4C502870"/>
    <w:multiLevelType w:val="hybridMultilevel"/>
    <w:lvl w:ilvl="0">
      <w:lvlJc w:val="left"/>
      <w:lvlText w:val="∎"/>
      <w:numFmt w:val="bullet"/>
      <w:start w:val="1"/>
    </w:lvl>
  </w:abstractNum>
  <w:abstractNum w:abstractNumId="46">
    <w:nsid w:val="1DE8725A"/>
    <w:multiLevelType w:val="hybridMultilevel"/>
    <w:lvl w:ilvl="0">
      <w:lvlJc w:val="left"/>
      <w:lvlText w:val="∎"/>
      <w:numFmt w:val="bullet"/>
      <w:start w:val="1"/>
    </w:lvl>
  </w:abstractNum>
  <w:abstractNum w:abstractNumId="47">
    <w:nsid w:val="6A37288A"/>
    <w:multiLevelType w:val="hybridMultilevel"/>
    <w:lvl w:ilvl="0">
      <w:lvlJc w:val="left"/>
      <w:lvlText w:val="∎"/>
      <w:numFmt w:val="bullet"/>
      <w:start w:val="1"/>
    </w:lvl>
  </w:abstractNum>
  <w:abstractNum w:abstractNumId="48">
    <w:nsid w:val="8F8B73F"/>
    <w:multiLevelType w:val="hybridMultilevel"/>
    <w:lvl w:ilvl="0">
      <w:lvlJc w:val="left"/>
      <w:lvlText w:val="∎"/>
      <w:numFmt w:val="bullet"/>
      <w:start w:val="1"/>
    </w:lvl>
  </w:abstractNum>
  <w:abstractNum w:abstractNumId="49">
    <w:nsid w:val="CA6B462"/>
    <w:multiLevelType w:val="hybridMultilevel"/>
    <w:lvl w:ilvl="0">
      <w:lvlJc w:val="left"/>
      <w:lvlText w:val="∎"/>
      <w:numFmt w:val="bullet"/>
      <w:start w:val="1"/>
    </w:lvl>
  </w:abstractNum>
  <w:abstractNum w:abstractNumId="50">
    <w:nsid w:val="763CB680"/>
    <w:multiLevelType w:val="hybridMultilevel"/>
    <w:lvl w:ilvl="0">
      <w:lvlJc w:val="left"/>
      <w:lvlText w:val="∎"/>
      <w:numFmt w:val="bullet"/>
      <w:start w:val="1"/>
    </w:lvl>
  </w:abstractNum>
  <w:abstractNum w:abstractNumId="51">
    <w:nsid w:val="15B71329"/>
    <w:multiLevelType w:val="hybridMultilevel"/>
    <w:lvl w:ilvl="0">
      <w:lvlJc w:val="left"/>
      <w:lvlText w:val="∎"/>
      <w:numFmt w:val="bullet"/>
      <w:start w:val="1"/>
    </w:lvl>
  </w:abstractNum>
  <w:abstractNum w:abstractNumId="52">
    <w:nsid w:val="3DA97044"/>
    <w:multiLevelType w:val="hybridMultilevel"/>
    <w:lvl w:ilvl="0">
      <w:lvlJc w:val="left"/>
      <w:lvlText w:val="∎"/>
      <w:numFmt w:val="bullet"/>
      <w:start w:val="1"/>
    </w:lvl>
  </w:abstractNum>
  <w:abstractNum w:abstractNumId="53">
    <w:nsid w:val="1CDCE2DE"/>
    <w:multiLevelType w:val="hybridMultilevel"/>
    <w:lvl w:ilvl="0">
      <w:lvlJc w:val="left"/>
      <w:lvlText w:val="(%1)"/>
      <w:numFmt w:val="lowerRoman"/>
      <w:start w:val="4"/>
    </w:lvl>
  </w:abstractNum>
  <w:abstractNum w:abstractNumId="54">
    <w:nsid w:val="69D3947C"/>
    <w:multiLevelType w:val="hybridMultilevel"/>
    <w:lvl w:ilvl="0">
      <w:lvlJc w:val="left"/>
      <w:lvlText w:val="∎"/>
      <w:numFmt w:val="bullet"/>
      <w:start w:val="1"/>
    </w:lvl>
  </w:abstractNum>
  <w:abstractNum w:abstractNumId="55">
    <w:nsid w:val="2539DFA5"/>
    <w:multiLevelType w:val="hybridMultilevel"/>
    <w:lvl w:ilvl="0">
      <w:lvlJc w:val="left"/>
      <w:lvlText w:val="∎"/>
      <w:numFmt w:val="bullet"/>
      <w:start w:val="1"/>
    </w:lvl>
  </w:abstractNum>
  <w:abstractNum w:abstractNumId="56">
    <w:nsid w:val="2DB88089"/>
    <w:multiLevelType w:val="hybridMultilevel"/>
    <w:lvl w:ilvl="0">
      <w:lvlJc w:val="left"/>
      <w:lvlText w:val="∎"/>
      <w:numFmt w:val="bullet"/>
      <w:start w:val="1"/>
    </w:lvl>
  </w:abstractNum>
  <w:abstractNum w:abstractNumId="57">
    <w:nsid w:val="706B674E"/>
    <w:multiLevelType w:val="hybridMultilevel"/>
    <w:lvl w:ilvl="0">
      <w:lvlJc w:val="left"/>
      <w:lvlText w:val="∎"/>
      <w:numFmt w:val="bullet"/>
      <w:start w:val="1"/>
    </w:lvl>
  </w:abstractNum>
  <w:abstractNum w:abstractNumId="58">
    <w:nsid w:val="2C106A57"/>
    <w:multiLevelType w:val="hybridMultilevel"/>
    <w:lvl w:ilvl="0">
      <w:lvlJc w:val="left"/>
      <w:lvlText w:val="(%1)"/>
      <w:numFmt w:val="lowerRoman"/>
      <w:start w:val="6"/>
    </w:lvl>
  </w:abstractNum>
  <w:abstractNum w:abstractNumId="59">
    <w:nsid w:val="684EED59"/>
    <w:multiLevelType w:val="hybridMultilevel"/>
    <w:lvl w:ilvl="0">
      <w:lvlJc w:val="left"/>
      <w:lvlText w:val="∎"/>
      <w:numFmt w:val="bullet"/>
      <w:start w:val="1"/>
    </w:lvl>
  </w:abstractNum>
  <w:abstractNum w:abstractNumId="60">
    <w:nsid w:val="545EE5D3"/>
    <w:multiLevelType w:val="hybridMultilevel"/>
    <w:lvl w:ilvl="0">
      <w:lvlJc w:val="left"/>
      <w:lvlText w:val="∎"/>
      <w:numFmt w:val="bullet"/>
      <w:start w:val="1"/>
    </w:lvl>
  </w:abstractNum>
  <w:abstractNum w:abstractNumId="61">
    <w:nsid w:val="4A66051"/>
    <w:multiLevelType w:val="hybridMultilevel"/>
    <w:lvl w:ilvl="0">
      <w:lvlJc w:val="left"/>
      <w:lvlText w:val="∎"/>
      <w:numFmt w:val="bullet"/>
      <w:start w:val="1"/>
    </w:lvl>
  </w:abstractNum>
  <w:abstractNum w:abstractNumId="62">
    <w:nsid w:val="20F4BDAD"/>
    <w:multiLevelType w:val="hybridMultilevel"/>
    <w:lvl w:ilvl="0">
      <w:lvlJc w:val="left"/>
      <w:lvlText w:val="(%1)"/>
      <w:numFmt w:val="lowerRoman"/>
      <w:start w:val="1"/>
    </w:lvl>
  </w:abstractNum>
  <w:abstractNum w:abstractNumId="63">
    <w:nsid w:val="639DEFAC"/>
    <w:multiLevelType w:val="hybridMultilevel"/>
    <w:lvl w:ilvl="0">
      <w:lvlJc w:val="left"/>
      <w:lvlText w:val="∎"/>
      <w:numFmt w:val="bullet"/>
      <w:start w:val="1"/>
    </w:lvl>
  </w:abstractNum>
  <w:abstractNum w:abstractNumId="64">
    <w:nsid w:val="501F9786"/>
    <w:multiLevelType w:val="hybridMultilevel"/>
    <w:lvl w:ilvl="0">
      <w:lvlJc w:val="left"/>
      <w:lvlText w:val="%1."/>
      <w:numFmt w:val="decimal"/>
      <w:start w:val="1"/>
    </w:lvl>
  </w:abstractNum>
  <w:abstractNum w:abstractNumId="65">
    <w:nsid w:val="6B057295"/>
    <w:multiLevelType w:val="hybridMultilevel"/>
    <w:lvl w:ilvl="0">
      <w:lvlJc w:val="left"/>
      <w:lvlText w:val="∎"/>
      <w:numFmt w:val="bullet"/>
      <w:start w:val="1"/>
    </w:lvl>
  </w:abstractNum>
  <w:abstractNum w:abstractNumId="66">
    <w:nsid w:val="2771AC80"/>
    <w:multiLevelType w:val="hybridMultilevel"/>
    <w:lvl w:ilvl="0">
      <w:lvlJc w:val="left"/>
      <w:lvlText w:val="∎"/>
      <w:numFmt w:val="bullet"/>
      <w:start w:val="1"/>
    </w:lvl>
  </w:abstractNum>
  <w:abstractNum w:abstractNumId="67">
    <w:nsid w:val="1C4A08EC"/>
    <w:multiLevelType w:val="hybridMultilevel"/>
    <w:lvl w:ilvl="0">
      <w:lvlJc w:val="left"/>
      <w:lvlText w:val="∎"/>
      <w:numFmt w:val="bullet"/>
      <w:start w:val="1"/>
    </w:lvl>
  </w:abstractNum>
  <w:abstractNum w:abstractNumId="68">
    <w:nsid w:val="1958BD17"/>
    <w:multiLevelType w:val="hybridMultilevel"/>
    <w:lvl w:ilvl="0">
      <w:lvlJc w:val="left"/>
      <w:lvlText w:val="∎"/>
      <w:numFmt w:val="bullet"/>
      <w:start w:val="1"/>
    </w:lvl>
  </w:abstractNum>
  <w:abstractNum w:abstractNumId="69">
    <w:nsid w:val="4E647FE4"/>
    <w:multiLevelType w:val="hybridMultilevel"/>
    <w:lvl w:ilvl="0">
      <w:lvlJc w:val="left"/>
      <w:lvlText w:val="∎"/>
      <w:numFmt w:val="bullet"/>
      <w:start w:val="1"/>
    </w:lvl>
  </w:abstractNum>
  <w:abstractNum w:abstractNumId="70">
    <w:nsid w:val="E0BB885"/>
    <w:multiLevelType w:val="hybridMultilevel"/>
    <w:lvl w:ilvl="0">
      <w:lvlJc w:val="left"/>
      <w:lvlText w:val="∎"/>
      <w:numFmt w:val="bullet"/>
      <w:start w:val="1"/>
    </w:lvl>
  </w:abstractNum>
  <w:abstractNum w:abstractNumId="71">
    <w:nsid w:val="565976F1"/>
    <w:multiLevelType w:val="hybridMultilevel"/>
    <w:lvl w:ilvl="0">
      <w:lvlJc w:val="left"/>
      <w:lvlText w:val="∎"/>
      <w:numFmt w:val="bullet"/>
      <w:start w:val="1"/>
    </w:lvl>
  </w:abstractNum>
  <w:abstractNum w:abstractNumId="72">
    <w:nsid w:val="64212B8C"/>
    <w:multiLevelType w:val="hybridMultilevel"/>
    <w:lvl w:ilvl="0">
      <w:lvlJc w:val="left"/>
      <w:lvlText w:val="∎"/>
      <w:numFmt w:val="bullet"/>
      <w:start w:val="1"/>
    </w:lvl>
  </w:abstractNum>
  <w:abstractNum w:abstractNumId="73">
    <w:nsid w:val="5C17530C"/>
    <w:multiLevelType w:val="hybridMultilevel"/>
    <w:lvl w:ilvl="0">
      <w:lvlJc w:val="left"/>
      <w:lvlText w:val="∎"/>
      <w:numFmt w:val="bullet"/>
      <w:start w:val="1"/>
    </w:lvl>
  </w:abstractNum>
  <w:abstractNum w:abstractNumId="74">
    <w:nsid w:val="19A52566"/>
    <w:multiLevelType w:val="hybridMultilevel"/>
    <w:lvl w:ilvl="0">
      <w:lvlJc w:val="left"/>
      <w:lvlText w:val="∎"/>
      <w:numFmt w:val="bullet"/>
      <w:start w:val="1"/>
    </w:lvl>
  </w:abstractNum>
  <w:abstractNum w:abstractNumId="75">
    <w:nsid w:val="335A1DF1"/>
    <w:multiLevelType w:val="hybridMultilevel"/>
    <w:lvl w:ilvl="0">
      <w:lvlJc w:val="left"/>
      <w:lvlText w:val="∎"/>
      <w:numFmt w:val="bullet"/>
      <w:start w:val="1"/>
    </w:lvl>
  </w:abstractNum>
  <w:abstractNum w:abstractNumId="76">
    <w:nsid w:val="28677B7C"/>
    <w:multiLevelType w:val="hybridMultilevel"/>
    <w:lvl w:ilvl="0">
      <w:lvlJc w:val="left"/>
      <w:lvlText w:val="∎"/>
      <w:numFmt w:val="bullet"/>
      <w:start w:val="1"/>
    </w:lvl>
  </w:abstractNum>
  <w:abstractNum w:abstractNumId="77">
    <w:nsid w:val="378D97C0"/>
    <w:multiLevelType w:val="hybridMultilevel"/>
    <w:lvl w:ilvl="0">
      <w:lvlJc w:val="left"/>
      <w:lvlText w:val="(%1)"/>
      <w:numFmt w:val="lowerLetter"/>
      <w:start w:val="2"/>
    </w:lvl>
  </w:abstractNum>
  <w:abstractNum w:abstractNumId="78">
    <w:nsid w:val="1D91467C"/>
    <w:multiLevelType w:val="hybridMultilevel"/>
    <w:lvl w:ilvl="0">
      <w:lvlJc w:val="left"/>
      <w:lvlText w:val="(%1)"/>
      <w:numFmt w:val="decimal"/>
      <w:start w:val="1"/>
    </w:lvl>
  </w:abstractNum>
  <w:abstractNum w:abstractNumId="79">
    <w:nsid w:val="316032BB"/>
    <w:multiLevelType w:val="hybridMultilevel"/>
    <w:lvl w:ilvl="0">
      <w:lvlJc w:val="left"/>
      <w:lvlText w:val="(%1)"/>
      <w:numFmt w:val="decimal"/>
      <w:start w:val="2"/>
    </w:lvl>
  </w:abstractNum>
  <w:abstractNum w:abstractNumId="80">
    <w:nsid w:val="44344C22"/>
    <w:multiLevelType w:val="hybridMultilevel"/>
    <w:lvl w:ilvl="0">
      <w:lvlJc w:val="left"/>
      <w:lvlText w:val="(%1)"/>
      <w:numFmt w:val="decimal"/>
      <w:start w:val="3"/>
    </w:lvl>
  </w:abstractNum>
  <w:abstractNum w:abstractNumId="81">
    <w:nsid w:val="13CDFCFC"/>
    <w:multiLevelType w:val="hybridMultilevel"/>
    <w:lvl w:ilvl="0">
      <w:lvlJc w:val="left"/>
      <w:lvlText w:val="∎"/>
      <w:numFmt w:val="bullet"/>
      <w:start w:val="1"/>
    </w:lvl>
  </w:abstractNum>
  <w:abstractNum w:abstractNumId="82">
    <w:nsid w:val="471745E4"/>
    <w:multiLevelType w:val="hybridMultilevel"/>
    <w:lvl w:ilvl="0">
      <w:lvlJc w:val="left"/>
      <w:lvlText w:val="∎"/>
      <w:numFmt w:val="bullet"/>
      <w:start w:val="1"/>
    </w:lvl>
  </w:abstractNum>
  <w:abstractNum w:abstractNumId="83">
    <w:nsid w:val="1DDBC66"/>
    <w:multiLevelType w:val="hybridMultilevel"/>
    <w:lvl w:ilvl="0">
      <w:lvlJc w:val="left"/>
      <w:lvlText w:val="∎"/>
      <w:numFmt w:val="bullet"/>
      <w:start w:val="1"/>
    </w:lvl>
  </w:abstractNum>
  <w:abstractNum w:abstractNumId="84">
    <w:nsid w:val="30AADFDA"/>
    <w:multiLevelType w:val="hybridMultilevel"/>
    <w:lvl w:ilvl="0">
      <w:lvlJc w:val="left"/>
      <w:lvlText w:val="∎"/>
      <w:numFmt w:val="bullet"/>
      <w:start w:val="1"/>
    </w:lvl>
    <w:lvl w:ilvl="1">
      <w:lvlJc w:val="left"/>
      <w:lvlText w:val="∎"/>
      <w:numFmt w:val="bullet"/>
      <w:start w:val="1"/>
    </w:lvl>
  </w:abstractNum>
  <w:abstractNum w:abstractNumId="85">
    <w:nsid w:val="30EADA61"/>
    <w:multiLevelType w:val="hybridMultilevel"/>
    <w:lvl w:ilvl="0">
      <w:lvlJc w:val="left"/>
      <w:lvlText w:val="∎"/>
      <w:numFmt w:val="bullet"/>
      <w:start w:val="1"/>
    </w:lvl>
  </w:abstractNum>
  <w:abstractNum w:abstractNumId="86">
    <w:nsid w:val="27179C0B"/>
    <w:multiLevelType w:val="hybridMultilevel"/>
    <w:lvl w:ilvl="0">
      <w:lvlJc w:val="left"/>
      <w:lvlText w:val="∎"/>
      <w:numFmt w:val="bullet"/>
      <w:start w:val="1"/>
    </w:lvl>
  </w:abstractNum>
  <w:abstractNum w:abstractNumId="87">
    <w:nsid w:val="5E636063"/>
    <w:multiLevelType w:val="hybridMultilevel"/>
    <w:lvl w:ilvl="0">
      <w:lvlJc w:val="left"/>
      <w:lvlText w:val="∎"/>
      <w:numFmt w:val="bullet"/>
      <w:start w:val="1"/>
    </w:lvl>
    <w:lvl w:ilvl="1">
      <w:lvlJc w:val="left"/>
      <w:lvlText w:val="∎"/>
      <w:numFmt w:val="bullet"/>
      <w:start w:val="1"/>
    </w:lvl>
  </w:abstractNum>
  <w:abstractNum w:abstractNumId="88">
    <w:nsid w:val="215641AF"/>
    <w:multiLevelType w:val="hybridMultilevel"/>
    <w:lvl w:ilvl="0">
      <w:lvlJc w:val="left"/>
      <w:lvlText w:val="∎"/>
      <w:numFmt w:val="bullet"/>
      <w:start w:val="1"/>
    </w:lvl>
    <w:lvl w:ilvl="1">
      <w:lvlJc w:val="left"/>
      <w:lvlText w:val="∎"/>
      <w:numFmt w:val="bullet"/>
      <w:start w:val="1"/>
    </w:lvl>
  </w:abstractNum>
  <w:abstractNum w:abstractNumId="89">
    <w:nsid w:val="53280662"/>
    <w:multiLevelType w:val="hybridMultilevel"/>
    <w:lvl w:ilvl="0">
      <w:lvlJc w:val="left"/>
      <w:lvlText w:val="(%1)"/>
      <w:numFmt w:val="lowerRoman"/>
      <w:start w:val="2"/>
    </w:lvl>
  </w:abstractNum>
  <w:abstractNum w:abstractNumId="90">
    <w:nsid w:val="46B24DBC"/>
    <w:multiLevelType w:val="hybridMultilevel"/>
    <w:lvl w:ilvl="0">
      <w:lvlJc w:val="left"/>
      <w:lvlText w:val="∎"/>
      <w:numFmt w:val="bullet"/>
      <w:start w:val="1"/>
    </w:lvl>
  </w:abstractNum>
  <w:abstractNum w:abstractNumId="91">
    <w:nsid w:val="75B52783"/>
    <w:multiLevelType w:val="hybridMultilevel"/>
    <w:lvl w:ilvl="0">
      <w:lvlJc w:val="left"/>
      <w:lvlText w:val="∎"/>
      <w:numFmt w:val="bullet"/>
      <w:start w:val="1"/>
    </w:lvl>
  </w:abstractNum>
  <w:abstractNum w:abstractNumId="92">
    <w:nsid w:val="57CE66B4"/>
    <w:multiLevelType w:val="hybridMultilevel"/>
    <w:lvl w:ilvl="0">
      <w:lvlJc w:val="left"/>
      <w:lvlText w:val="∎"/>
      <w:numFmt w:val="bullet"/>
      <w:start w:val="1"/>
    </w:lvl>
  </w:abstractNum>
  <w:abstractNum w:abstractNumId="93">
    <w:nsid w:val="67A70B69"/>
    <w:multiLevelType w:val="hybridMultilevel"/>
    <w:lvl w:ilvl="0">
      <w:lvlJc w:val="left"/>
      <w:lvlText w:val="∎"/>
      <w:numFmt w:val="bullet"/>
      <w:start w:val="1"/>
    </w:lvl>
  </w:abstractNum>
  <w:abstractNum w:abstractNumId="94">
    <w:nsid w:val="5953172F"/>
    <w:multiLevelType w:val="hybridMultilevel"/>
    <w:lvl w:ilvl="0">
      <w:lvlJc w:val="left"/>
      <w:lvlText w:val="∎"/>
      <w:numFmt w:val="bullet"/>
      <w:start w:val="1"/>
    </w:lvl>
  </w:abstractNum>
  <w:abstractNum w:abstractNumId="95">
    <w:nsid w:val="27EDFE3A"/>
    <w:multiLevelType w:val="hybridMultilevel"/>
    <w:lvl w:ilvl="0">
      <w:lvlJc w:val="left"/>
      <w:lvlText w:val="(%1)"/>
      <w:numFmt w:val="lowerRoman"/>
      <w:start w:val="3"/>
    </w:lvl>
  </w:abstractNum>
  <w:abstractNum w:abstractNumId="96">
    <w:nsid w:val="52AC7DFF"/>
    <w:multiLevelType w:val="hybridMultilevel"/>
    <w:lvl w:ilvl="0">
      <w:lvlJc w:val="left"/>
      <w:lvlText w:val="(%1)"/>
      <w:numFmt w:val="lowerRoman"/>
      <w:start w:val="4"/>
    </w:lvl>
    <w:lvl w:ilvl="1">
      <w:lvlJc w:val="left"/>
      <w:lvlText w:val="∎"/>
      <w:numFmt w:val="bullet"/>
      <w:start w:val="1"/>
    </w:lvl>
  </w:abstractNum>
  <w:abstractNum w:abstractNumId="97">
    <w:nsid w:val="C4C3AF"/>
    <w:multiLevelType w:val="hybridMultilevel"/>
    <w:lvl w:ilvl="0">
      <w:lvlJc w:val="left"/>
      <w:lvlText w:val="∎"/>
      <w:numFmt w:val="bullet"/>
      <w:start w:val="1"/>
    </w:lvl>
  </w:abstractNum>
  <w:abstractNum w:abstractNumId="98">
    <w:nsid w:val="44380727"/>
    <w:multiLevelType w:val="hybridMultilevel"/>
    <w:lvl w:ilvl="0">
      <w:lvlJc w:val="left"/>
      <w:lvlText w:val="∎"/>
      <w:numFmt w:val="bullet"/>
      <w:start w:val="1"/>
    </w:lvl>
  </w:abstractNum>
  <w:abstractNum w:abstractNumId="99">
    <w:nsid w:val="6C053B16"/>
    <w:multiLevelType w:val="hybridMultilevel"/>
    <w:lvl w:ilvl="0">
      <w:lvlJc w:val="left"/>
      <w:lvlText w:val="∎"/>
      <w:numFmt w:val="bullet"/>
      <w:start w:val="1"/>
    </w:lvl>
  </w:abstractNum>
  <w:abstractNum w:abstractNumId="100">
    <w:nsid w:val="4F294393"/>
    <w:multiLevelType w:val="hybridMultilevel"/>
    <w:lvl w:ilvl="0">
      <w:lvlJc w:val="left"/>
      <w:lvlText w:val="∎"/>
      <w:numFmt w:val="bullet"/>
      <w:start w:val="1"/>
    </w:lvl>
  </w:abstractNum>
  <w:abstractNum w:abstractNumId="101">
    <w:nsid w:val="5243BFAC"/>
    <w:multiLevelType w:val="hybridMultilevel"/>
    <w:lvl w:ilvl="0">
      <w:lvlJc w:val="left"/>
      <w:lvlText w:val="∎"/>
      <w:numFmt w:val="bullet"/>
      <w:start w:val="1"/>
    </w:lvl>
  </w:abstractNum>
  <w:abstractNum w:abstractNumId="102">
    <w:nsid w:val="425EB207"/>
    <w:multiLevelType w:val="hybridMultilevel"/>
    <w:lvl w:ilvl="0">
      <w:lvlJc w:val="left"/>
      <w:lvlText w:val="∎"/>
      <w:numFmt w:val="bullet"/>
      <w:start w:val="1"/>
    </w:lvl>
  </w:abstractNum>
  <w:abstractNum w:abstractNumId="103">
    <w:nsid w:val="334A6F1F"/>
    <w:multiLevelType w:val="hybridMultilevel"/>
    <w:lvl w:ilvl="0">
      <w:lvlJc w:val="left"/>
      <w:lvlText w:val="∎"/>
      <w:numFmt w:val="bullet"/>
      <w:start w:val="1"/>
    </w:lvl>
  </w:abstractNum>
  <w:abstractNum w:abstractNumId="104">
    <w:nsid w:val="2E5B12B8"/>
    <w:multiLevelType w:val="hybridMultilevel"/>
    <w:lvl w:ilvl="0">
      <w:lvlJc w:val="left"/>
      <w:lvlText w:val="∎"/>
      <w:numFmt w:val="bullet"/>
      <w:start w:val="1"/>
    </w:lvl>
  </w:abstractNum>
  <w:abstractNum w:abstractNumId="105">
    <w:nsid w:val="5C03D76D"/>
    <w:multiLevelType w:val="hybridMultilevel"/>
    <w:lvl w:ilvl="0">
      <w:lvlJc w:val="left"/>
      <w:lvlText w:val="∎"/>
      <w:numFmt w:val="bullet"/>
      <w:start w:val="1"/>
    </w:lvl>
  </w:abstractNum>
  <w:abstractNum w:abstractNumId="106">
    <w:nsid w:val="66A48D11"/>
    <w:multiLevelType w:val="hybridMultilevel"/>
    <w:lvl w:ilvl="0">
      <w:lvlJc w:val="left"/>
      <w:lvlText w:val="∎"/>
      <w:numFmt w:val="bullet"/>
      <w:start w:val="1"/>
    </w:lvl>
  </w:abstractNum>
  <w:abstractNum w:abstractNumId="107">
    <w:nsid w:val="56C28E34"/>
    <w:multiLevelType w:val="hybridMultilevel"/>
    <w:lvl w:ilvl="0">
      <w:lvlJc w:val="left"/>
      <w:lvlText w:val="∎"/>
      <w:numFmt w:val="bullet"/>
      <w:start w:val="1"/>
    </w:lvl>
  </w:abstractNum>
  <w:abstractNum w:abstractNumId="108">
    <w:nsid w:val="13916F2D"/>
    <w:multiLevelType w:val="hybridMultilevel"/>
    <w:lvl w:ilvl="0">
      <w:lvlJc w:val="left"/>
      <w:lvlText w:val="∎"/>
      <w:numFmt w:val="bullet"/>
      <w:start w:val="1"/>
    </w:lvl>
  </w:abstractNum>
  <w:abstractNum w:abstractNumId="109">
    <w:nsid w:val="435D38D"/>
    <w:multiLevelType w:val="hybridMultilevel"/>
    <w:lvl w:ilvl="0">
      <w:lvlJc w:val="left"/>
      <w:lvlText w:val="∎"/>
      <w:numFmt w:val="bullet"/>
      <w:start w:val="1"/>
    </w:lvl>
  </w:abstractNum>
  <w:abstractNum w:abstractNumId="110">
    <w:nsid w:val="822C0EF"/>
    <w:multiLevelType w:val="hybridMultilevel"/>
    <w:lvl w:ilvl="0">
      <w:lvlJc w:val="left"/>
      <w:lvlText w:val="∎"/>
      <w:numFmt w:val="bullet"/>
      <w:start w:val="1"/>
    </w:lvl>
  </w:abstractNum>
  <w:abstractNum w:abstractNumId="111">
    <w:nsid w:val="57C5BB4F"/>
    <w:multiLevelType w:val="hybridMultilevel"/>
    <w:lvl w:ilvl="0">
      <w:lvlJc w:val="left"/>
      <w:lvlText w:val="∎"/>
      <w:numFmt w:val="bullet"/>
      <w:start w:val="1"/>
    </w:lvl>
  </w:abstractNum>
  <w:abstractNum w:abstractNumId="112">
    <w:nsid w:val="1803D089"/>
    <w:multiLevelType w:val="hybridMultilevel"/>
    <w:lvl w:ilvl="0">
      <w:lvlJc w:val="left"/>
      <w:lvlText w:val="∎"/>
      <w:numFmt w:val="bullet"/>
      <w:start w:val="1"/>
    </w:lvl>
  </w:abstractNum>
  <w:abstractNum w:abstractNumId="113">
    <w:nsid w:val="4F3A06D4"/>
    <w:multiLevelType w:val="hybridMultilevel"/>
    <w:lvl w:ilvl="0">
      <w:lvlJc w:val="left"/>
      <w:lvlText w:val="∎"/>
      <w:numFmt w:val="bullet"/>
      <w:start w:val="1"/>
    </w:lvl>
  </w:abstractNum>
  <w:abstractNum w:abstractNumId="114">
    <w:nsid w:val="59A377B6"/>
    <w:multiLevelType w:val="hybridMultilevel"/>
    <w:lvl w:ilvl="0">
      <w:lvlJc w:val="left"/>
      <w:lvlText w:val="∎"/>
      <w:numFmt w:val="bullet"/>
      <w:start w:val="1"/>
    </w:lvl>
  </w:abstractNum>
  <w:abstractNum w:abstractNumId="115">
    <w:nsid w:val="48AEB063"/>
    <w:multiLevelType w:val="hybridMultilevel"/>
    <w:lvl w:ilvl="0">
      <w:lvlJc w:val="left"/>
      <w:lvlText w:val="∎"/>
      <w:numFmt w:val="bullet"/>
      <w:start w:val="1"/>
    </w:lvl>
  </w:abstractNum>
  <w:abstractNum w:abstractNumId="116">
    <w:nsid w:val="24E135"/>
    <w:multiLevelType w:val="hybridMultilevel"/>
    <w:lvl w:ilvl="0">
      <w:lvlJc w:val="left"/>
      <w:lvlText w:val="∎"/>
      <w:numFmt w:val="bullet"/>
      <w:start w:val="1"/>
    </w:lvl>
  </w:abstractNum>
  <w:abstractNum w:abstractNumId="117">
    <w:nsid w:val="BB13C1"/>
    <w:multiLevelType w:val="hybridMultilevel"/>
    <w:lvl w:ilvl="0">
      <w:lvlJc w:val="left"/>
      <w:lvlText w:val="∎"/>
      <w:numFmt w:val="bullet"/>
      <w:start w:val="1"/>
    </w:lvl>
  </w:abstractNum>
  <w:abstractNum w:abstractNumId="118">
    <w:nsid w:val="271210C7"/>
    <w:multiLevelType w:val="hybridMultilevel"/>
    <w:lvl w:ilvl="0">
      <w:lvlJc w:val="left"/>
      <w:lvlText w:val="∎"/>
      <w:numFmt w:val="bullet"/>
      <w:start w:val="1"/>
    </w:lvl>
  </w:abstractNum>
  <w:abstractNum w:abstractNumId="119">
    <w:nsid w:val="217B22E4"/>
    <w:multiLevelType w:val="hybridMultilevel"/>
    <w:lvl w:ilvl="0">
      <w:lvlJc w:val="left"/>
      <w:lvlText w:val="∎"/>
      <w:numFmt w:val="bullet"/>
      <w:start w:val="1"/>
    </w:lvl>
  </w:abstractNum>
  <w:abstractNum w:abstractNumId="120">
    <w:nsid w:val="53E31A24"/>
    <w:multiLevelType w:val="hybridMultilevel"/>
    <w:lvl w:ilvl="0">
      <w:lvlJc w:val="left"/>
      <w:lvlText w:val="∎"/>
      <w:numFmt w:val="bullet"/>
      <w:start w:val="1"/>
    </w:lvl>
  </w:abstractNum>
  <w:abstractNum w:abstractNumId="121">
    <w:nsid w:val="6DC45E83"/>
    <w:multiLevelType w:val="hybridMultilevel"/>
    <w:lvl w:ilvl="0">
      <w:lvlJc w:val="left"/>
      <w:lvlText w:val="∎"/>
      <w:numFmt w:val="bullet"/>
      <w:start w:val="1"/>
    </w:lvl>
  </w:abstractNum>
  <w:abstractNum w:abstractNumId="122">
    <w:nsid w:val="17304A67"/>
    <w:multiLevelType w:val="hybridMultilevel"/>
    <w:lvl w:ilvl="0">
      <w:lvlJc w:val="left"/>
      <w:lvlText w:val="(%1)"/>
      <w:numFmt w:val="lowerRoman"/>
      <w:start w:val="1"/>
    </w:lvl>
  </w:abstractNum>
  <w:abstractNum w:abstractNumId="123">
    <w:nsid w:val="2BB180D8"/>
    <w:multiLevelType w:val="hybridMultilevel"/>
    <w:lvl w:ilvl="0">
      <w:lvlJc w:val="left"/>
      <w:lvlText w:val="∎"/>
      <w:numFmt w:val="bullet"/>
      <w:start w:val="1"/>
    </w:lvl>
  </w:abstractNum>
  <w:abstractNum w:abstractNumId="124">
    <w:nsid w:val="556B69ED"/>
    <w:multiLevelType w:val="hybridMultilevel"/>
    <w:lvl w:ilvl="0">
      <w:lvlJc w:val="left"/>
      <w:lvlText w:val="∎"/>
      <w:numFmt w:val="bullet"/>
      <w:start w:val="1"/>
    </w:lvl>
  </w:abstractNum>
  <w:abstractNum w:abstractNumId="125">
    <w:nsid w:val="70836196"/>
    <w:multiLevelType w:val="hybridMultilevel"/>
    <w:lvl w:ilvl="0">
      <w:lvlJc w:val="left"/>
      <w:lvlText w:val="∎"/>
      <w:numFmt w:val="bullet"/>
      <w:start w:val="1"/>
    </w:lvl>
  </w:abstractNum>
  <w:abstractNum w:abstractNumId="126">
    <w:nsid w:val="539F7F12"/>
    <w:multiLevelType w:val="hybridMultilevel"/>
    <w:lvl w:ilvl="0">
      <w:lvlJc w:val="left"/>
      <w:lvlText w:val="∎"/>
      <w:numFmt w:val="bullet"/>
      <w:start w:val="1"/>
    </w:lvl>
  </w:abstractNum>
  <w:abstractNum w:abstractNumId="127">
    <w:nsid w:val="2817E7EC"/>
    <w:multiLevelType w:val="hybridMultilevel"/>
    <w:lvl w:ilvl="0">
      <w:lvlJc w:val="left"/>
      <w:lvlText w:val="∎"/>
      <w:numFmt w:val="bullet"/>
      <w:start w:val="1"/>
    </w:lvl>
    <w:lvl w:ilvl="1">
      <w:lvlJc w:val="left"/>
      <w:lvlText w:val="∎"/>
      <w:numFmt w:val="bullet"/>
      <w:start w:val="1"/>
    </w:lvl>
  </w:abstractNum>
  <w:abstractNum w:abstractNumId="128">
    <w:nsid w:val="71482545"/>
    <w:multiLevelType w:val="hybridMultilevel"/>
    <w:lvl w:ilvl="0">
      <w:lvlJc w:val="left"/>
      <w:lvlText w:val="(%1)"/>
      <w:numFmt w:val="decimal"/>
      <w:start w:val="1"/>
    </w:lvl>
  </w:abstractNum>
  <w:abstractNum w:abstractNumId="129">
    <w:nsid w:val="17D78639"/>
    <w:multiLevelType w:val="hybridMultilevel"/>
    <w:lvl w:ilvl="0">
      <w:lvlJc w:val="left"/>
      <w:lvlText w:val="∎"/>
      <w:numFmt w:val="bullet"/>
      <w:start w:val="1"/>
    </w:lvl>
  </w:abstractNum>
  <w:abstractNum w:abstractNumId="130">
    <w:nsid w:val="141D2302"/>
    <w:multiLevelType w:val="hybridMultilevel"/>
    <w:lvl w:ilvl="0">
      <w:lvlJc w:val="left"/>
      <w:lvlText w:val="∎"/>
      <w:numFmt w:val="bullet"/>
      <w:start w:val="1"/>
    </w:lvl>
  </w:abstractNum>
  <w:abstractNum w:abstractNumId="131">
    <w:nsid w:val="407168D8"/>
    <w:multiLevelType w:val="hybridMultilevel"/>
    <w:lvl w:ilvl="0">
      <w:lvlJc w:val="left"/>
      <w:lvlText w:val="∎"/>
      <w:numFmt w:val="bullet"/>
      <w:start w:val="1"/>
    </w:lvl>
  </w:abstractNum>
  <w:abstractNum w:abstractNumId="132">
    <w:nsid w:val="6A1B45E5"/>
    <w:multiLevelType w:val="hybridMultilevel"/>
    <w:lvl w:ilvl="0">
      <w:lvlJc w:val="left"/>
      <w:lvlText w:val="∎"/>
      <w:numFmt w:val="bullet"/>
      <w:start w:val="1"/>
    </w:lvl>
  </w:abstractNum>
  <w:abstractNum w:abstractNumId="133">
    <w:nsid w:val="567BD50A"/>
    <w:multiLevelType w:val="hybridMultilevel"/>
    <w:lvl w:ilvl="0">
      <w:lvlJc w:val="left"/>
      <w:lvlText w:val="%1"/>
      <w:numFmt w:val="upperLetter"/>
      <w:start w:val="34"/>
    </w:lvl>
  </w:abstractNum>
  <w:abstractNum w:abstractNumId="134">
    <w:nsid w:val="73BBD7F8"/>
    <w:multiLevelType w:val="hybridMultilevel"/>
    <w:lvl w:ilvl="0">
      <w:lvlJc w:val="left"/>
      <w:lvlText w:val="*"/>
      <w:numFmt w:val="bullet"/>
      <w:start w:val="1"/>
    </w:lvl>
  </w:abstractNum>
  <w:abstractNum w:abstractNumId="135">
    <w:nsid w:val="1876589D"/>
    <w:multiLevelType w:val="hybridMultilevel"/>
    <w:lvl w:ilvl="0">
      <w:lvlJc w:val="left"/>
      <w:lvlText w:val="**"/>
      <w:numFmt w:val="bullet"/>
      <w:start w:val="1"/>
    </w:lvl>
  </w:abstractNum>
  <w:abstractNum w:abstractNumId="136">
    <w:nsid w:val="327FAC77"/>
    <w:multiLevelType w:val="hybridMultilevel"/>
    <w:lvl w:ilvl="0">
      <w:lvlJc w:val="left"/>
      <w:lvlText w:val="***"/>
      <w:numFmt w:val="bullet"/>
      <w:start w:val="1"/>
    </w:lvl>
  </w:abstractNum>
  <w:abstractNum w:abstractNumId="137">
    <w:nsid w:val="5A606509"/>
    <w:multiLevelType w:val="hybridMultilevel"/>
    <w:lvl w:ilvl="0">
      <w:lvlJc w:val="left"/>
      <w:lvlText w:val="****"/>
      <w:numFmt w:val="bullet"/>
      <w:start w:val="1"/>
    </w:lvl>
  </w:abstractNum>
  <w:abstractNum w:abstractNumId="138">
    <w:nsid w:val="6F38E6D1"/>
    <w:multiLevelType w:val="hybridMultilevel"/>
    <w:lvl w:ilvl="0">
      <w:lvlJc w:val="left"/>
      <w:lvlText w:val="∎"/>
      <w:numFmt w:val="bullet"/>
      <w:start w:val="1"/>
    </w:lvl>
  </w:abstractNum>
  <w:abstractNum w:abstractNumId="139">
    <w:nsid w:val="46111BA5"/>
    <w:multiLevelType w:val="hybridMultilevel"/>
    <w:lvl w:ilvl="0">
      <w:lvlJc w:val="left"/>
      <w:lvlText w:val="∎"/>
      <w:numFmt w:val="bullet"/>
      <w:start w:val="1"/>
    </w:lvl>
  </w:abstractNum>
  <w:abstractNum w:abstractNumId="140">
    <w:nsid w:val="5E963896"/>
    <w:multiLevelType w:val="hybridMultilevel"/>
    <w:lvl w:ilvl="0">
      <w:lvlJc w:val="left"/>
      <w:lvlText w:val="∎"/>
      <w:numFmt w:val="bullet"/>
      <w:start w:val="1"/>
    </w:lvl>
  </w:abstractNum>
  <w:abstractNum w:abstractNumId="141">
    <w:nsid w:val="775BA7C1"/>
    <w:multiLevelType w:val="hybridMultilevel"/>
    <w:lvl w:ilvl="0">
      <w:lvlJc w:val="left"/>
      <w:lvlText w:val="∎"/>
      <w:numFmt w:val="bullet"/>
      <w:start w:val="1"/>
    </w:lvl>
  </w:abstractNum>
  <w:abstractNum w:abstractNumId="142">
    <w:nsid w:val="1DD6D6F4"/>
    <w:multiLevelType w:val="hybridMultilevel"/>
    <w:lvl w:ilvl="0">
      <w:lvlJc w:val="left"/>
      <w:lvlText w:val="∎"/>
      <w:numFmt w:val="bullet"/>
      <w:start w:val="1"/>
    </w:lvl>
  </w:abstractNum>
  <w:abstractNum w:abstractNumId="143">
    <w:nsid w:val="769A091F"/>
    <w:multiLevelType w:val="hybridMultilevel"/>
    <w:lvl w:ilvl="0">
      <w:lvlJc w:val="left"/>
      <w:lvlText w:val="∎"/>
      <w:numFmt w:val="bullet"/>
      <w:start w:val="1"/>
    </w:lvl>
  </w:abstractNum>
  <w:abstractNum w:abstractNumId="144">
    <w:nsid w:val="4695AE95"/>
    <w:multiLevelType w:val="hybridMultilevel"/>
    <w:lvl w:ilvl="0">
      <w:lvlJc w:val="left"/>
      <w:lvlText w:val="∎"/>
      <w:numFmt w:val="bullet"/>
      <w:start w:val="1"/>
    </w:lvl>
  </w:abstractNum>
  <w:abstractNum w:abstractNumId="145">
    <w:nsid w:val="777A4EAA"/>
    <w:multiLevelType w:val="hybridMultilevel"/>
    <w:lvl w:ilvl="0">
      <w:lvlJc w:val="left"/>
      <w:lvlText w:val="∎"/>
      <w:numFmt w:val="bullet"/>
      <w:start w:val="1"/>
    </w:lvl>
  </w:abstractNum>
  <w:abstractNum w:abstractNumId="146">
    <w:nsid w:val="3F48B982"/>
    <w:multiLevelType w:val="hybridMultilevel"/>
    <w:lvl w:ilvl="0">
      <w:lvlJc w:val="left"/>
      <w:lvlText w:val="∎"/>
      <w:numFmt w:val="bullet"/>
      <w:start w:val="1"/>
    </w:lvl>
  </w:abstractNum>
  <w:abstractNum w:abstractNumId="147">
    <w:nsid w:val="46BA8FCA"/>
    <w:multiLevelType w:val="hybridMultilevel"/>
    <w:lvl w:ilvl="0">
      <w:lvlJc w:val="left"/>
      <w:lvlText w:val="∎"/>
      <w:numFmt w:val="bullet"/>
      <w:start w:val="1"/>
    </w:lvl>
  </w:abstractNum>
  <w:abstractNum w:abstractNumId="148">
    <w:nsid w:val="7835626C"/>
    <w:multiLevelType w:val="hybridMultilevel"/>
    <w:lvl w:ilvl="0">
      <w:lvlJc w:val="left"/>
      <w:lvlText w:val="∎"/>
      <w:numFmt w:val="bullet"/>
      <w:start w:val="1"/>
    </w:lvl>
  </w:abstractNum>
  <w:abstractNum w:abstractNumId="149">
    <w:nsid w:val="665ACA49"/>
    <w:multiLevelType w:val="hybridMultilevel"/>
    <w:lvl w:ilvl="0">
      <w:lvlJc w:val="left"/>
      <w:lvlText w:val="∎"/>
      <w:numFmt w:val="bullet"/>
      <w:start w:val="1"/>
    </w:lvl>
  </w:abstractNum>
  <w:abstractNum w:abstractNumId="150">
    <w:nsid w:val="6835B2AE"/>
    <w:multiLevelType w:val="hybridMultilevel"/>
    <w:lvl w:ilvl="0">
      <w:lvlJc w:val="left"/>
      <w:lvlText w:val="*"/>
      <w:numFmt w:val="bullet"/>
      <w:start w:val="1"/>
    </w:lvl>
  </w:abstractNum>
  <w:abstractNum w:abstractNumId="151">
    <w:nsid w:val="4C187C90"/>
    <w:multiLevelType w:val="hybridMultilevel"/>
    <w:lvl w:ilvl="0">
      <w:lvlJc w:val="left"/>
      <w:lvlText w:val="∎"/>
      <w:numFmt w:val="bullet"/>
      <w:start w:val="1"/>
    </w:lvl>
  </w:abstractNum>
  <w:abstractNum w:abstractNumId="152">
    <w:nsid w:val="541F28CD"/>
    <w:multiLevelType w:val="hybridMultilevel"/>
    <w:lvl w:ilvl="0">
      <w:lvlJc w:val="left"/>
      <w:lvlText w:val="∎"/>
      <w:numFmt w:val="bullet"/>
      <w:start w:val="1"/>
    </w:lvl>
  </w:abstractNum>
  <w:abstractNum w:abstractNumId="153">
    <w:nsid w:val="7F65FD16"/>
    <w:multiLevelType w:val="hybridMultilevel"/>
    <w:lvl w:ilvl="0">
      <w:lvlJc w:val="left"/>
      <w:lvlText w:val="∎"/>
      <w:numFmt w:val="bullet"/>
      <w:start w:val="1"/>
    </w:lvl>
  </w:abstractNum>
  <w:abstractNum w:abstractNumId="154">
    <w:nsid w:val="77C9FD68"/>
    <w:multiLevelType w:val="hybridMultilevel"/>
    <w:lvl w:ilvl="0">
      <w:lvlJc w:val="left"/>
      <w:lvlText w:val="∎"/>
      <w:numFmt w:val="bullet"/>
      <w:start w:val="1"/>
    </w:lvl>
  </w:abstractNum>
  <w:abstractNum w:abstractNumId="155">
    <w:nsid w:val="298A92BA"/>
    <w:multiLevelType w:val="hybridMultilevel"/>
    <w:lvl w:ilvl="0">
      <w:lvlJc w:val="left"/>
      <w:lvlText w:val="∎"/>
      <w:numFmt w:val="bullet"/>
      <w:start w:val="1"/>
    </w:lvl>
  </w:abstractNum>
  <w:abstractNum w:abstractNumId="156">
    <w:nsid w:val="6FE95EAC"/>
    <w:multiLevelType w:val="hybridMultilevel"/>
    <w:lvl w:ilvl="0">
      <w:lvlJc w:val="left"/>
      <w:lvlText w:val="(%1)"/>
      <w:numFmt w:val="decimal"/>
      <w:start w:val="1"/>
    </w:lvl>
  </w:abstractNum>
  <w:abstractNum w:abstractNumId="157">
    <w:nsid w:val="4B697C7A"/>
    <w:multiLevelType w:val="hybridMultilevel"/>
    <w:lvl w:ilvl="0">
      <w:lvlJc w:val="left"/>
      <w:lvlText w:val="∎"/>
      <w:numFmt w:val="bullet"/>
      <w:start w:val="1"/>
    </w:lvl>
  </w:abstractNum>
  <w:abstractNum w:abstractNumId="158">
    <w:nsid w:val="51A27AA6"/>
    <w:multiLevelType w:val="hybridMultilevel"/>
    <w:lvl w:ilvl="0">
      <w:lvlJc w:val="left"/>
      <w:lvlText w:val="*"/>
      <w:numFmt w:val="bullet"/>
      <w:start w:val="1"/>
    </w:lvl>
  </w:abstractNum>
  <w:abstractNum w:abstractNumId="159">
    <w:nsid w:val="613183F2"/>
    <w:multiLevelType w:val="hybridMultilevel"/>
    <w:lvl w:ilvl="0">
      <w:lvlJc w:val="left"/>
      <w:lvlText w:val="(%1)"/>
      <w:numFmt w:val="decimal"/>
      <w:start w:val="1"/>
    </w:lvl>
  </w:abstractNum>
  <w:abstractNum w:abstractNumId="160">
    <w:nsid w:val="634102B4"/>
    <w:multiLevelType w:val="hybridMultilevel"/>
    <w:lvl w:ilvl="0">
      <w:lvlJc w:val="left"/>
      <w:lvlText w:val="(%1)"/>
      <w:numFmt w:val="decimal"/>
      <w:start w:val="11"/>
    </w:lvl>
  </w:abstractNum>
  <w:abstractNum w:abstractNumId="161">
    <w:nsid w:val="65BF9DA8"/>
    <w:multiLevelType w:val="hybridMultilevel"/>
    <w:lvl w:ilvl="0">
      <w:lvlJc w:val="left"/>
      <w:lvlText w:val="∎"/>
      <w:numFmt w:val="bullet"/>
      <w:start w:val="1"/>
    </w:lvl>
  </w:abstractNum>
  <w:abstractNum w:abstractNumId="162">
    <w:nsid w:val="21A2ECCA"/>
    <w:multiLevelType w:val="hybridMultilevel"/>
    <w:lvl w:ilvl="0">
      <w:lvlJc w:val="left"/>
      <w:lvlText w:val="∎"/>
      <w:numFmt w:val="bullet"/>
      <w:start w:val="1"/>
    </w:lvl>
  </w:abstractNum>
  <w:abstractNum w:abstractNumId="163">
    <w:nsid w:val="4D5C4899"/>
    <w:multiLevelType w:val="hybridMultilevel"/>
    <w:lvl w:ilvl="0">
      <w:lvlJc w:val="left"/>
      <w:lvlText w:val="∎"/>
      <w:numFmt w:val="bullet"/>
      <w:start w:val="1"/>
    </w:lvl>
  </w:abstractNum>
  <w:abstractNum w:abstractNumId="164">
    <w:nsid w:val="3C3B72B2"/>
    <w:multiLevelType w:val="hybridMultilevel"/>
    <w:lvl w:ilvl="0">
      <w:lvlJc w:val="left"/>
      <w:lvlText w:val="∎"/>
      <w:numFmt w:val="bullet"/>
      <w:start w:val="1"/>
    </w:lvl>
  </w:abstractNum>
  <w:abstractNum w:abstractNumId="165">
    <w:nsid w:val="155EC4C2"/>
    <w:multiLevelType w:val="hybridMultilevel"/>
    <w:lvl w:ilvl="0">
      <w:lvlJc w:val="left"/>
      <w:lvlText w:val="∎"/>
      <w:numFmt w:val="bullet"/>
      <w:start w:val="1"/>
    </w:lvl>
  </w:abstractNum>
  <w:abstractNum w:abstractNumId="166">
    <w:nsid w:val="65D2A137"/>
    <w:multiLevelType w:val="hybridMultilevel"/>
    <w:lvl w:ilvl="0">
      <w:lvlJc w:val="left"/>
      <w:lvlText w:val="∎"/>
      <w:numFmt w:val="bullet"/>
      <w:start w:val="1"/>
    </w:lvl>
  </w:abstractNum>
  <w:abstractNum w:abstractNumId="167">
    <w:nsid w:val="6EBB1F2A"/>
    <w:multiLevelType w:val="hybridMultilevel"/>
    <w:lvl w:ilvl="0">
      <w:lvlJc w:val="left"/>
      <w:lvlText w:val="(%1)"/>
      <w:numFmt w:val="decimal"/>
      <w:start w:val="1"/>
    </w:lvl>
  </w:abstractNum>
  <w:abstractNum w:abstractNumId="168">
    <w:nsid w:val="6FBF29CB"/>
    <w:multiLevelType w:val="hybridMultilevel"/>
    <w:lvl w:ilvl="0">
      <w:lvlJc w:val="left"/>
      <w:lvlText w:val="∎"/>
      <w:numFmt w:val="bullet"/>
      <w:start w:val="1"/>
    </w:lvl>
  </w:abstractNum>
  <w:abstractNum w:abstractNumId="169">
    <w:nsid w:val="550B8808"/>
    <w:multiLevelType w:val="hybridMultilevel"/>
    <w:lvl w:ilvl="0">
      <w:lvlJc w:val="left"/>
      <w:lvlText w:val="∎"/>
      <w:numFmt w:val="bullet"/>
      <w:start w:val="1"/>
    </w:lvl>
    <w:lvl w:ilvl="1">
      <w:lvlJc w:val="left"/>
      <w:lvlText w:val="∎"/>
      <w:numFmt w:val="bullet"/>
      <w:start w:val="1"/>
    </w:lvl>
  </w:abstractNum>
  <w:abstractNum w:abstractNumId="170">
    <w:nsid w:val="34CC3ACF"/>
    <w:multiLevelType w:val="hybridMultilevel"/>
    <w:lvl w:ilvl="0">
      <w:lvlJc w:val="left"/>
      <w:lvlText w:val="∎"/>
      <w:numFmt w:val="bullet"/>
      <w:start w:val="1"/>
    </w:lvl>
  </w:abstractNum>
  <w:abstractNum w:abstractNumId="171">
    <w:nsid w:val="4E556261"/>
    <w:multiLevelType w:val="hybridMultilevel"/>
    <w:lvl w:ilvl="0">
      <w:lvlJc w:val="left"/>
      <w:lvlText w:val="*"/>
      <w:numFmt w:val="bullet"/>
      <w:start w:val="1"/>
    </w:lvl>
  </w:abstractNum>
  <w:abstractNum w:abstractNumId="172">
    <w:nsid w:val="4C672FC9"/>
    <w:multiLevelType w:val="hybridMultilevel"/>
    <w:lvl w:ilvl="0">
      <w:lvlJc w:val="left"/>
      <w:lvlText w:val="(%1)"/>
      <w:numFmt w:val="decimal"/>
      <w:start w:val="1"/>
    </w:lvl>
  </w:abstractNum>
  <w:abstractNum w:abstractNumId="173">
    <w:nsid w:val="52A311C3"/>
    <w:multiLevelType w:val="hybridMultilevel"/>
    <w:lvl w:ilvl="0">
      <w:lvlJc w:val="left"/>
      <w:lvlText w:val="(%1)"/>
      <w:numFmt w:val="decimal"/>
      <w:start w:val="7"/>
    </w:lvl>
  </w:abstractNum>
  <w:abstractNum w:abstractNumId="174">
    <w:nsid w:val="44EF6B80"/>
    <w:multiLevelType w:val="hybridMultilevel"/>
    <w:lvl w:ilvl="0">
      <w:lvlJc w:val="left"/>
      <w:lvlText w:val="(%1)"/>
      <w:numFmt w:val="decimal"/>
      <w:start w:val="19"/>
    </w:lvl>
  </w:abstractNum>
  <w:abstractNum w:abstractNumId="175">
    <w:nsid w:val="12FCDE5E"/>
    <w:multiLevelType w:val="hybridMultilevel"/>
    <w:lvl w:ilvl="0">
      <w:lvlJc w:val="left"/>
      <w:lvlText w:val="∎"/>
      <w:numFmt w:val="bullet"/>
      <w:start w:val="1"/>
    </w:lvl>
  </w:abstractNum>
  <w:abstractNum w:abstractNumId="176">
    <w:nsid w:val="4A1D606E"/>
    <w:multiLevelType w:val="hybridMultilevel"/>
    <w:lvl w:ilvl="0">
      <w:lvlJc w:val="left"/>
      <w:lvlText w:val="∎"/>
      <w:numFmt w:val="bullet"/>
      <w:start w:val="1"/>
    </w:lvl>
  </w:abstractNum>
  <w:abstractNum w:abstractNumId="177">
    <w:nsid w:val="4382503"/>
    <w:multiLevelType w:val="hybridMultilevel"/>
    <w:lvl w:ilvl="0">
      <w:lvlJc w:val="left"/>
      <w:lvlText w:val="(%1)"/>
      <w:numFmt w:val="lowerRoman"/>
      <w:start w:val="2"/>
    </w:lvl>
  </w:abstractNum>
  <w:abstractNum w:abstractNumId="178">
    <w:nsid w:val="59B76E28"/>
    <w:multiLevelType w:val="hybridMultilevel"/>
    <w:lvl w:ilvl="0">
      <w:lvlJc w:val="left"/>
      <w:lvlText w:val="∎"/>
      <w:numFmt w:val="bullet"/>
      <w:start w:val="1"/>
    </w:lvl>
  </w:abstractNum>
  <w:abstractNum w:abstractNumId="179">
    <w:nsid w:val="4252C2DA"/>
    <w:multiLevelType w:val="hybridMultilevel"/>
    <w:lvl w:ilvl="0">
      <w:lvlJc w:val="left"/>
      <w:lvlText w:val="∎"/>
      <w:numFmt w:val="bullet"/>
      <w:start w:val="1"/>
    </w:lvl>
  </w:abstractNum>
  <w:abstractNum w:abstractNumId="180">
    <w:nsid w:val="6A92EF4C"/>
    <w:multiLevelType w:val="hybridMultilevel"/>
    <w:lvl w:ilvl="0">
      <w:lvlJc w:val="left"/>
      <w:lvlText w:val="∎"/>
      <w:numFmt w:val="bullet"/>
      <w:start w:val="1"/>
    </w:lvl>
  </w:abstractNum>
  <w:abstractNum w:abstractNumId="181">
    <w:nsid w:val="41ED20D7"/>
    <w:multiLevelType w:val="hybridMultilevel"/>
    <w:lvl w:ilvl="0">
      <w:lvlJc w:val="left"/>
      <w:lvlText w:val="∎"/>
      <w:numFmt w:val="bullet"/>
      <w:start w:val="1"/>
    </w:lvl>
  </w:abstractNum>
  <w:abstractNum w:abstractNumId="182">
    <w:nsid w:val="E6B3F6A"/>
    <w:multiLevelType w:val="hybridMultilevel"/>
    <w:lvl w:ilvl="0">
      <w:lvlJc w:val="left"/>
      <w:lvlText w:val="∎"/>
      <w:numFmt w:val="bullet"/>
      <w:start w:val="1"/>
    </w:lvl>
  </w:abstractNum>
  <w:abstractNum w:abstractNumId="183">
    <w:nsid w:val="3EB21819"/>
    <w:multiLevelType w:val="hybridMultilevel"/>
    <w:lvl w:ilvl="0">
      <w:lvlJc w:val="left"/>
      <w:lvlText w:val="∎"/>
      <w:numFmt w:val="bullet"/>
      <w:start w:val="1"/>
    </w:lvl>
    <w:lvl w:ilvl="1">
      <w:lvlJc w:val="left"/>
      <w:lvlText w:val="∎"/>
      <w:numFmt w:val="bullet"/>
      <w:start w:val="1"/>
    </w:lvl>
  </w:abstractNum>
  <w:abstractNum w:abstractNumId="184">
    <w:nsid w:val="41531DED"/>
    <w:multiLevelType w:val="hybridMultilevel"/>
    <w:lvl w:ilvl="0">
      <w:lvlJc w:val="left"/>
      <w:lvlText w:val="∎"/>
      <w:numFmt w:val="bullet"/>
      <w:start w:val="1"/>
    </w:lvl>
  </w:abstractNum>
  <w:abstractNum w:abstractNumId="185">
    <w:nsid w:val="6353CD2"/>
    <w:multiLevelType w:val="hybridMultilevel"/>
    <w:lvl w:ilvl="0">
      <w:lvlJc w:val="left"/>
      <w:lvlText w:val="∎"/>
      <w:numFmt w:val="bullet"/>
      <w:start w:val="1"/>
    </w:lvl>
  </w:abstractNum>
  <w:abstractNum w:abstractNumId="186">
    <w:nsid w:val="683CAAD3"/>
    <w:multiLevelType w:val="hybridMultilevel"/>
    <w:lvl w:ilvl="0">
      <w:lvlJc w:val="left"/>
      <w:lvlText w:val="∎"/>
      <w:numFmt w:val="bullet"/>
      <w:start w:val="1"/>
    </w:lvl>
  </w:abstractNum>
  <w:abstractNum w:abstractNumId="187">
    <w:nsid w:val="313C7C99"/>
    <w:multiLevelType w:val="hybridMultilevel"/>
    <w:lvl w:ilvl="0">
      <w:lvlJc w:val="left"/>
      <w:lvlText w:val="∎"/>
      <w:numFmt w:val="bullet"/>
      <w:start w:val="1"/>
    </w:lvl>
  </w:abstractNum>
  <w:abstractNum w:abstractNumId="188">
    <w:nsid w:val="519EB94C"/>
    <w:multiLevelType w:val="hybridMultilevel"/>
    <w:lvl w:ilvl="0">
      <w:lvlJc w:val="left"/>
      <w:lvlText w:val="∎"/>
      <w:numFmt w:val="bullet"/>
      <w:start w:val="1"/>
    </w:lvl>
  </w:abstractNum>
  <w:abstractNum w:abstractNumId="189">
    <w:nsid w:val="39DF2579"/>
    <w:multiLevelType w:val="hybridMultilevel"/>
    <w:lvl w:ilvl="0">
      <w:lvlJc w:val="left"/>
      <w:lvlText w:val="∎"/>
      <w:numFmt w:val="bullet"/>
      <w:start w:val="1"/>
    </w:lvl>
  </w:abstractNum>
  <w:abstractNum w:abstractNumId="190">
    <w:nsid w:val="126E008B"/>
    <w:multiLevelType w:val="hybridMultilevel"/>
    <w:lvl w:ilvl="0">
      <w:lvlJc w:val="left"/>
      <w:lvlText w:val="∎"/>
      <w:numFmt w:val="bullet"/>
      <w:start w:val="1"/>
    </w:lvl>
  </w:abstractNum>
  <w:abstractNum w:abstractNumId="191">
    <w:nsid w:val="34DFBC00"/>
    <w:multiLevelType w:val="hybridMultilevel"/>
    <w:lvl w:ilvl="0">
      <w:lvlJc w:val="left"/>
      <w:lvlText w:val="∎"/>
      <w:numFmt w:val="bullet"/>
      <w:start w:val="1"/>
    </w:lvl>
  </w:abstractNum>
  <w:abstractNum w:abstractNumId="192">
    <w:nsid w:val="1F9EC322"/>
    <w:multiLevelType w:val="hybridMultilevel"/>
    <w:lvl w:ilvl="0">
      <w:lvlJc w:val="left"/>
      <w:lvlText w:val="∎"/>
      <w:numFmt w:val="bullet"/>
      <w:start w:val="1"/>
    </w:lvl>
  </w:abstractNum>
  <w:abstractNum w:abstractNumId="193">
    <w:nsid w:val="3410ED56"/>
    <w:multiLevelType w:val="hybridMultilevel"/>
    <w:lvl w:ilvl="0">
      <w:lvlJc w:val="left"/>
      <w:lvlText w:val="∎"/>
      <w:numFmt w:val="bullet"/>
      <w:start w:val="1"/>
    </w:lvl>
  </w:abstractNum>
  <w:abstractNum w:abstractNumId="194">
    <w:nsid w:val="23C049A"/>
    <w:multiLevelType w:val="hybridMultilevel"/>
    <w:lvl w:ilvl="0">
      <w:lvlJc w:val="left"/>
      <w:lvlText w:val="∎"/>
      <w:numFmt w:val="bullet"/>
      <w:start w:val="1"/>
    </w:lvl>
  </w:abstractNum>
  <w:abstractNum w:abstractNumId="195">
    <w:nsid w:val="5BDA35D4"/>
    <w:multiLevelType w:val="hybridMultilevel"/>
    <w:lvl w:ilvl="0">
      <w:lvlJc w:val="left"/>
      <w:lvlText w:val="∎"/>
      <w:numFmt w:val="bullet"/>
      <w:start w:val="1"/>
    </w:lvl>
  </w:abstractNum>
  <w:abstractNum w:abstractNumId="196">
    <w:nsid w:val="496FB218"/>
    <w:multiLevelType w:val="hybridMultilevel"/>
    <w:lvl w:ilvl="0">
      <w:lvlJc w:val="left"/>
      <w:lvlText w:val="∎"/>
      <w:numFmt w:val="bullet"/>
      <w:start w:val="1"/>
    </w:lvl>
  </w:abstractNum>
  <w:abstractNum w:abstractNumId="197">
    <w:nsid w:val="680EA5D1"/>
    <w:multiLevelType w:val="hybridMultilevel"/>
    <w:lvl w:ilvl="0">
      <w:lvlJc w:val="left"/>
      <w:lvlText w:val="∎"/>
      <w:numFmt w:val="bullet"/>
      <w:start w:val="1"/>
    </w:lvl>
  </w:abstractNum>
  <w:abstractNum w:abstractNumId="198">
    <w:nsid w:val="4A9554FE"/>
    <w:multiLevelType w:val="hybridMultilevel"/>
    <w:lvl w:ilvl="0">
      <w:lvlJc w:val="left"/>
      <w:lvlText w:val="∎"/>
      <w:numFmt w:val="bullet"/>
      <w:start w:val="1"/>
    </w:lvl>
  </w:abstractNum>
  <w:abstractNum w:abstractNumId="199">
    <w:nsid w:val="392EDBE4"/>
    <w:multiLevelType w:val="hybridMultilevel"/>
    <w:lvl w:ilvl="0">
      <w:lvlJc w:val="left"/>
      <w:lvlText w:val="(%1)"/>
      <w:numFmt w:val="decimal"/>
      <w:start w:val="1"/>
    </w:lvl>
    <w:lvl w:ilvl="1">
      <w:lvlJc w:val="left"/>
      <w:lvlText w:val="(%2)"/>
      <w:numFmt w:val="lowerRoman"/>
      <w:start w:val="1"/>
    </w:lvl>
  </w:abstractNum>
  <w:abstractNum w:abstractNumId="200">
    <w:nsid w:val="3D1A2DD9"/>
    <w:multiLevelType w:val="hybridMultilevel"/>
    <w:lvl w:ilvl="0">
      <w:lvlJc w:val="left"/>
      <w:lvlText w:val="(%1)"/>
      <w:numFmt w:val="decimal"/>
      <w:start w:val="3"/>
    </w:lvl>
  </w:abstractNum>
  <w:abstractNum w:abstractNumId="201">
    <w:nsid w:val="7F618FCD"/>
    <w:multiLevelType w:val="hybridMultilevel"/>
    <w:lvl w:ilvl="0">
      <w:lvlJc w:val="left"/>
      <w:lvlText w:val="∎"/>
      <w:numFmt w:val="bullet"/>
      <w:start w:val="1"/>
    </w:lvl>
  </w:abstractNum>
  <w:abstractNum w:abstractNumId="202">
    <w:nsid w:val="7843E45"/>
    <w:multiLevelType w:val="hybridMultilevel"/>
    <w:lvl w:ilvl="0">
      <w:lvlJc w:val="left"/>
      <w:lvlText w:val="(%1)"/>
      <w:numFmt w:val="decimal"/>
      <w:start w:val="1"/>
    </w:lvl>
  </w:abstractNum>
  <w:abstractNum w:abstractNumId="203">
    <w:nsid w:val="9815DA3"/>
    <w:multiLevelType w:val="hybridMultilevel"/>
    <w:lvl w:ilvl="0">
      <w:lvlJc w:val="left"/>
      <w:lvlText w:val="(%1)"/>
      <w:numFmt w:val="decimal"/>
      <w:start w:val="1"/>
    </w:lvl>
  </w:abstractNum>
  <w:abstractNum w:abstractNumId="204">
    <w:nsid w:val="5204A191"/>
    <w:multiLevelType w:val="hybridMultilevel"/>
    <w:lvl w:ilvl="0">
      <w:lvlJc w:val="left"/>
      <w:lvlText w:val="∎"/>
      <w:numFmt w:val="bullet"/>
      <w:start w:val="1"/>
    </w:lvl>
  </w:abstractNum>
  <w:abstractNum w:abstractNumId="205">
    <w:nsid w:val="4C73A9C6"/>
    <w:multiLevelType w:val="hybridMultilevel"/>
    <w:lvl w:ilvl="0">
      <w:lvlJc w:val="left"/>
      <w:lvlText w:val="∎"/>
      <w:numFmt w:val="bullet"/>
      <w:start w:val="1"/>
    </w:lvl>
  </w:abstractNum>
  <w:abstractNum w:abstractNumId="206">
    <w:nsid w:val="1C7E3C01"/>
    <w:multiLevelType w:val="hybridMultilevel"/>
    <w:lvl w:ilvl="0">
      <w:lvlJc w:val="left"/>
      <w:lvlText w:val="∎"/>
      <w:numFmt w:val="bullet"/>
      <w:start w:val="1"/>
    </w:lvl>
  </w:abstractNum>
  <w:abstractNum w:abstractNumId="207">
    <w:nsid w:val="1C2201FF"/>
    <w:multiLevelType w:val="hybridMultilevel"/>
    <w:lvl w:ilvl="0">
      <w:lvlJc w:val="left"/>
      <w:lvlText w:val="(%1)"/>
      <w:numFmt w:val="decimal"/>
      <w:start w:val="2"/>
    </w:lvl>
  </w:abstractNum>
  <w:abstractNum w:abstractNumId="208">
    <w:nsid w:val="50ABCEC9"/>
    <w:multiLevelType w:val="hybridMultilevel"/>
    <w:lvl w:ilvl="0">
      <w:lvlJc w:val="left"/>
      <w:lvlText w:val="(%1)"/>
      <w:numFmt w:val="decimal"/>
      <w:start w:val="1"/>
    </w:lvl>
  </w:abstractNum>
  <w:abstractNum w:abstractNumId="209">
    <w:nsid w:val="7635AA2A"/>
    <w:multiLevelType w:val="hybridMultilevel"/>
    <w:lvl w:ilvl="0">
      <w:lvlJc w:val="left"/>
      <w:lvlText w:val="∎"/>
      <w:numFmt w:val="bullet"/>
      <w:start w:val="1"/>
    </w:lvl>
  </w:abstractNum>
  <w:abstractNum w:abstractNumId="210">
    <w:nsid w:val="5E74C4D9"/>
    <w:multiLevelType w:val="hybridMultilevel"/>
    <w:lvl w:ilvl="0">
      <w:lvlJc w:val="left"/>
      <w:lvlText w:val="(%1)"/>
      <w:numFmt w:val="decimal"/>
      <w:start w:val="1"/>
    </w:lvl>
  </w:abstractNum>
  <w:abstractNum w:abstractNumId="211">
    <w:nsid w:val="3B3EBE15"/>
    <w:multiLevelType w:val="hybridMultilevel"/>
    <w:lvl w:ilvl="0">
      <w:lvlJc w:val="left"/>
      <w:lvlText w:val="%1)"/>
      <w:numFmt w:val="upperLetter"/>
      <w:start w:val="11"/>
    </w:lvl>
  </w:abstractNum>
  <w:abstractNum w:abstractNumId="212">
    <w:nsid w:val="3822CB01"/>
    <w:multiLevelType w:val="hybridMultilevel"/>
    <w:lvl w:ilvl="0">
      <w:lvlJc w:val="left"/>
      <w:lvlText w:val="∎"/>
      <w:numFmt w:val="bullet"/>
      <w:start w:val="1"/>
    </w:lvl>
  </w:abstractNum>
  <w:abstractNum w:abstractNumId="213">
    <w:nsid w:val="6CE00443"/>
    <w:multiLevelType w:val="hybridMultilevel"/>
    <w:lvl w:ilvl="0">
      <w:lvlJc w:val="left"/>
      <w:lvlText w:val="∎"/>
      <w:numFmt w:val="bullet"/>
      <w:start w:val="1"/>
    </w:lvl>
  </w:abstractNum>
  <w:abstractNum w:abstractNumId="214">
    <w:nsid w:val="79F0D62F"/>
    <w:multiLevelType w:val="hybridMultilevel"/>
    <w:lvl w:ilvl="0">
      <w:lvlJc w:val="left"/>
      <w:lvlText w:val="∎"/>
      <w:numFmt w:val="bullet"/>
      <w:start w:val="1"/>
    </w:lvl>
  </w:abstractNum>
  <w:abstractNum w:abstractNumId="215">
    <w:nsid w:val="7975E8EE"/>
    <w:multiLevelType w:val="hybridMultilevel"/>
    <w:lvl w:ilvl="0">
      <w:lvlJc w:val="left"/>
      <w:lvlText w:val="%1."/>
      <w:numFmt w:val="decimal"/>
      <w:start w:val="2"/>
    </w:lvl>
  </w:abstractNum>
  <w:abstractNum w:abstractNumId="216">
    <w:nsid w:val="73154115"/>
    <w:multiLevelType w:val="hybridMultilevel"/>
    <w:lvl w:ilvl="0">
      <w:lvlJc w:val="left"/>
      <w:lvlText w:val="•"/>
      <w:numFmt w:val="bullet"/>
      <w:start w:val="1"/>
    </w:lvl>
  </w:abstractNum>
  <w:abstractNum w:abstractNumId="217">
    <w:nsid w:val="622D8102"/>
    <w:multiLevelType w:val="hybridMultilevel"/>
    <w:lvl w:ilvl="0">
      <w:lvlJc w:val="left"/>
      <w:lvlText w:val="•"/>
      <w:numFmt w:val="bullet"/>
      <w:start w:val="1"/>
    </w:lvl>
  </w:abstractNum>
  <w:abstractNum w:abstractNumId="218">
    <w:nsid w:val="2AB26587"/>
    <w:multiLevelType w:val="hybridMultilevel"/>
    <w:lvl w:ilvl="0">
      <w:lvlJc w:val="left"/>
      <w:lvlText w:val="%1."/>
      <w:numFmt w:val="decimal"/>
      <w:start w:val="5"/>
    </w:lvl>
  </w:abstractNum>
  <w:abstractNum w:abstractNumId="219">
    <w:nsid w:val="44B3FA61"/>
    <w:multiLevelType w:val="hybridMultilevel"/>
    <w:lvl w:ilvl="0">
      <w:lvlJc w:val="left"/>
      <w:lvlText w:val="•"/>
      <w:numFmt w:val="bullet"/>
      <w:start w:val="1"/>
    </w:lvl>
  </w:abstractNum>
  <w:abstractNum w:abstractNumId="220">
    <w:nsid w:val="1C0CA67C"/>
    <w:multiLevelType w:val="hybridMultilevel"/>
    <w:lvl w:ilvl="0">
      <w:lvlJc w:val="left"/>
      <w:lvlText w:val="•"/>
      <w:numFmt w:val="bullet"/>
      <w:start w:val="1"/>
    </w:lvl>
    <w:lvl w:ilvl="1">
      <w:lvlJc w:val="left"/>
      <w:lvlText w:val="•"/>
      <w:numFmt w:val="bullet"/>
      <w:start w:val="1"/>
    </w:lvl>
  </w:abstractNum>
  <w:abstractNum w:abstractNumId="221">
    <w:nsid w:val="3D206613"/>
    <w:multiLevelType w:val="hybridMultilevel"/>
    <w:lvl w:ilvl="0">
      <w:lvlJc w:val="left"/>
      <w:lvlText w:val="•"/>
      <w:numFmt w:val="bullet"/>
      <w:start w:val="1"/>
    </w:lvl>
  </w:abstractNum>
  <w:abstractNum w:abstractNumId="222">
    <w:nsid w:val="7993B662"/>
    <w:multiLevelType w:val="hybridMultilevel"/>
    <w:lvl w:ilvl="0">
      <w:lvlJc w:val="left"/>
      <w:lvlText w:val="•"/>
      <w:numFmt w:val="bullet"/>
      <w:start w:val="1"/>
    </w:lvl>
  </w:abstractNum>
  <w:abstractNum w:abstractNumId="223">
    <w:nsid w:val="3BAB699E"/>
    <w:multiLevelType w:val="hybridMultilevel"/>
    <w:lvl w:ilvl="0">
      <w:lvlJc w:val="left"/>
      <w:lvlText w:val="%1."/>
      <w:numFmt w:val="decimal"/>
      <w:start w:val="19"/>
    </w:lvl>
  </w:abstractNum>
  <w:abstractNum w:abstractNumId="224">
    <w:nsid w:val="71315369"/>
    <w:multiLevelType w:val="hybridMultilevel"/>
    <w:lvl w:ilvl="0">
      <w:lvlJc w:val="left"/>
      <w:lvlText w:val="%1"/>
      <w:numFmt w:val="decimal"/>
      <w:start w:val="31"/>
    </w:lvl>
  </w:abstractNum>
  <w:abstractNum w:abstractNumId="225">
    <w:nsid w:val="7BCFBAFC"/>
    <w:multiLevelType w:val="hybridMultilevel"/>
    <w:lvl w:ilvl="0">
      <w:lvlJc w:val="left"/>
      <w:lvlText w:val="%1."/>
      <w:numFmt w:val="decimal"/>
      <w:start w:val="21"/>
    </w:lvl>
    <w:lvl w:ilvl="1">
      <w:lvlJc w:val="left"/>
      <w:lvlText w:val="•"/>
      <w:numFmt w:val="bullet"/>
      <w:start w:val="1"/>
    </w:lvl>
  </w:abstractNum>
  <w:abstractNum w:abstractNumId="226">
    <w:nsid w:val="17859F72"/>
    <w:multiLevelType w:val="hybridMultilevel"/>
    <w:lvl w:ilvl="0">
      <w:lvlJc w:val="left"/>
      <w:lvlText w:val="%1."/>
      <w:numFmt w:val="decimal"/>
      <w:start w:val="23"/>
    </w:lvl>
  </w:abstractNum>
  <w:abstractNum w:abstractNumId="227">
    <w:nsid w:val="3AA10581"/>
    <w:multiLevelType w:val="hybridMultilevel"/>
    <w:lvl w:ilvl="0">
      <w:lvlJc w:val="left"/>
      <w:lvlText w:val="23.%1."/>
      <w:numFmt w:val="decimal"/>
      <w:start w:val="1"/>
    </w:lvl>
  </w:abstractNum>
  <w:abstractNum w:abstractNumId="228">
    <w:nsid w:val="63DE60CD"/>
    <w:multiLevelType w:val="hybridMultilevel"/>
    <w:lvl w:ilvl="0">
      <w:lvlJc w:val="left"/>
      <w:lvlText w:val="•"/>
      <w:numFmt w:val="bullet"/>
      <w:start w:val="1"/>
    </w:lvl>
  </w:abstractNum>
  <w:abstractNum w:abstractNumId="229">
    <w:nsid w:val="621AF471"/>
    <w:multiLevelType w:val="hybridMultilevel"/>
    <w:lvl w:ilvl="0">
      <w:lvlJc w:val="left"/>
      <w:lvlText w:val="•"/>
      <w:numFmt w:val="bullet"/>
      <w:start w:val="1"/>
    </w:lvl>
  </w:abstractNum>
  <w:abstractNum w:abstractNumId="230">
    <w:nsid w:val="73CFE165"/>
    <w:multiLevelType w:val="hybridMultilevel"/>
    <w:lvl w:ilvl="0">
      <w:lvlJc w:val="left"/>
      <w:lvlText w:val="•"/>
      <w:numFmt w:val="bullet"/>
      <w:start w:val="1"/>
    </w:lvl>
  </w:abstractNum>
  <w:abstractNum w:abstractNumId="231">
    <w:nsid w:val="20F88EA6"/>
    <w:multiLevelType w:val="hybridMultilevel"/>
    <w:lvl w:ilvl="0">
      <w:lvlJc w:val="left"/>
      <w:lvlText w:val="•"/>
      <w:numFmt w:val="bullet"/>
      <w:start w:val="1"/>
    </w:lvl>
  </w:abstractNum>
  <w:abstractNum w:abstractNumId="232">
    <w:nsid w:val="617C843E"/>
    <w:multiLevelType w:val="hybridMultilevel"/>
    <w:lvl w:ilvl="0">
      <w:lvlJc w:val="left"/>
      <w:lvlText w:val="(%1)"/>
      <w:numFmt w:val="lowerRoman"/>
      <w:start w:val="3"/>
    </w:lvl>
    <w:lvl w:ilvl="1">
      <w:lvlJc w:val="left"/>
      <w:lvlText w:val="%2."/>
      <w:numFmt w:val="upperLetter"/>
      <w:start w:val="4"/>
    </w:lvl>
  </w:abstractNum>
  <w:abstractNum w:abstractNumId="233">
    <w:nsid w:val="7B541FAB"/>
    <w:multiLevelType w:val="hybridMultilevel"/>
    <w:lvl w:ilvl="0">
      <w:lvlJc w:val="left"/>
      <w:lvlText w:val="(%1)"/>
      <w:numFmt w:val="lowerRoman"/>
      <w:start w:val="3"/>
    </w:lvl>
    <w:lvl w:ilvl="1">
      <w:lvlJc w:val="left"/>
      <w:lvlText w:val="%2."/>
      <w:numFmt w:val="upperLetter"/>
      <w:start w:val="5"/>
    </w:lvl>
  </w:abstractNum>
  <w:abstractNum w:abstractNumId="234">
    <w:nsid w:val="2A79EC49"/>
    <w:multiLevelType w:val="hybridMultilevel"/>
    <w:lvl w:ilvl="0">
      <w:lvlJc w:val="left"/>
      <w:lvlText w:val="(%1)"/>
      <w:numFmt w:val="lowerRoman"/>
      <w:start w:val="3"/>
    </w:lvl>
    <w:lvl w:ilvl="1">
      <w:lvlJc w:val="left"/>
      <w:lvlText w:val="%2"/>
      <w:numFmt w:val="upperLetter"/>
      <w:start w:val="1"/>
    </w:lvl>
  </w:abstractNum>
  <w:abstractNum w:abstractNumId="235">
    <w:nsid w:val="338125CF"/>
    <w:multiLevelType w:val="hybridMultilevel"/>
    <w:lvl w:ilvl="0">
      <w:lvlJc w:val="left"/>
      <w:lvlText w:val="(%1)"/>
      <w:numFmt w:val="lowerRoman"/>
      <w:start w:val="3"/>
    </w:lvl>
    <w:lvl w:ilvl="1">
      <w:lvlJc w:val="left"/>
      <w:lvlText w:val="%2."/>
      <w:numFmt w:val="upperLetter"/>
      <w:start w:val="7"/>
    </w:lvl>
  </w:abstractNum>
  <w:abstractNum w:abstractNumId="236">
    <w:nsid w:val="47C7C971"/>
    <w:multiLevelType w:val="hybridMultilevel"/>
    <w:lvl w:ilvl="0">
      <w:lvlJc w:val="left"/>
      <w:lvlText w:val="(%1)"/>
      <w:numFmt w:val="lowerLetter"/>
      <w:start w:val="1"/>
    </w:lvl>
  </w:abstractNum>
  <w:abstractNum w:abstractNumId="237">
    <w:nsid w:val="46F8284B"/>
    <w:multiLevelType w:val="hybridMultilevel"/>
    <w:lvl w:ilvl="0">
      <w:lvlJc w:val="left"/>
      <w:lvlText w:val="(%1)"/>
      <w:numFmt w:val="lowerLetter"/>
      <w:start w:val="1"/>
    </w:lvl>
    <w:lvl w:ilvl="1">
      <w:lvlJc w:val="left"/>
      <w:lvlText w:val="(%2)"/>
      <w:numFmt w:val="lowerRoman"/>
      <w:start w:val="1"/>
    </w:lvl>
  </w:abstractNum>
  <w:abstractNum w:abstractNumId="238">
    <w:nsid w:val="4FA327CE"/>
    <w:multiLevelType w:val="hybridMultilevel"/>
    <w:lvl w:ilvl="0">
      <w:lvlJc w:val="left"/>
      <w:lvlText w:val="(%1)"/>
      <w:numFmt w:val="lowerLetter"/>
      <w:start w:val="1"/>
    </w:lvl>
  </w:abstractNum>
  <w:abstractNum w:abstractNumId="239">
    <w:nsid w:val="1873983A"/>
    <w:multiLevelType w:val="hybridMultilevel"/>
    <w:lvl w:ilvl="0">
      <w:lvlJc w:val="left"/>
      <w:lvlText w:val="(%1)"/>
      <w:numFmt w:val="lowerLetter"/>
      <w:start w:val="3"/>
    </w:lvl>
  </w:abstractNum>
  <w:abstractNum w:abstractNumId="240">
    <w:nsid w:val="3D2DD275"/>
    <w:multiLevelType w:val="hybridMultilevel"/>
    <w:lvl w:ilvl="0">
      <w:lvlJc w:val="left"/>
      <w:lvlText w:val="(%1)"/>
      <w:numFmt w:val="lowerLetter"/>
      <w:start w:val="1"/>
    </w:lvl>
  </w:abstractNum>
  <w:abstractNum w:abstractNumId="241">
    <w:nsid w:val="2E17ECA7"/>
    <w:multiLevelType w:val="hybridMultilevel"/>
    <w:lvl w:ilvl="0">
      <w:lvlJc w:val="left"/>
      <w:lvlText w:val="(%1)"/>
      <w:numFmt w:val="lowerLetter"/>
      <w:start w:val="2"/>
    </w:lvl>
  </w:abstractNum>
  <w:abstractNum w:abstractNumId="242">
    <w:nsid w:val="53B2564F"/>
    <w:multiLevelType w:val="hybridMultilevel"/>
    <w:lvl w:ilvl="0">
      <w:lvlJc w:val="left"/>
      <w:lvlText w:val="(%1)"/>
      <w:numFmt w:val="lowerLetter"/>
      <w:start w:val="6"/>
    </w:lvl>
  </w:abstractNum>
  <w:abstractNum w:abstractNumId="243">
    <w:nsid w:val="75509D76"/>
    <w:multiLevelType w:val="hybridMultilevel"/>
    <w:lvl w:ilvl="0">
      <w:lvlJc w:val="left"/>
      <w:lvlText w:val="(%1)"/>
      <w:numFmt w:val="lowerLetter"/>
      <w:start w:val="1"/>
    </w:lvl>
  </w:abstractNum>
  <w:abstractNum w:abstractNumId="244">
    <w:nsid w:val="1AF7F0EA"/>
    <w:multiLevelType w:val="hybridMultilevel"/>
    <w:lvl w:ilvl="0">
      <w:lvlJc w:val="left"/>
      <w:lvlText w:val="(%1)"/>
      <w:numFmt w:val="lowerLetter"/>
      <w:start w:val="1"/>
    </w:lvl>
  </w:abstractNum>
  <w:abstractNum w:abstractNumId="245">
    <w:nsid w:val="4DA32C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6">
    <w:nsid w:val="6EC6866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5"/>
    </w:lvl>
  </w:abstractNum>
  <w:abstractNum w:abstractNumId="247">
    <w:nsid w:val="E0D31FF"/>
    <w:multiLevelType w:val="hybridMultilevel"/>
    <w:lvl w:ilvl="0">
      <w:lvlJc w:val="left"/>
      <w:lvlText w:val="(%1)"/>
      <w:numFmt w:val="lowerLetter"/>
      <w:start w:val="1"/>
    </w:lvl>
  </w:abstractNum>
  <w:abstractNum w:abstractNumId="248">
    <w:nsid w:val="2FD0AD81"/>
    <w:multiLevelType w:val="hybridMultilevel"/>
    <w:lvl w:ilvl="0">
      <w:lvlJc w:val="left"/>
      <w:lvlText w:val="(%1)"/>
      <w:numFmt w:val="lowerLetter"/>
      <w:start w:val="2"/>
    </w:lvl>
  </w:abstractNum>
  <w:abstractNum w:abstractNumId="249">
    <w:nsid w:val="1978EBEB"/>
    <w:multiLevelType w:val="hybridMultilevel"/>
    <w:lvl w:ilvl="0">
      <w:lvlJc w:val="left"/>
      <w:lvlText w:val="(%1)"/>
      <w:numFmt w:val="lowerLetter"/>
      <w:start w:val="1"/>
    </w:lvl>
  </w:abstractNum>
  <w:abstractNum w:abstractNumId="250">
    <w:nsid w:val="52C12C61"/>
    <w:multiLevelType w:val="hybridMultilevel"/>
    <w:lvl w:ilvl="0">
      <w:lvlJc w:val="left"/>
      <w:lvlText w:val="(%1)"/>
      <w:numFmt w:val="lowerLetter"/>
      <w:start w:val="2"/>
    </w:lvl>
  </w:abstractNum>
  <w:abstractNum w:abstractNumId="251">
    <w:nsid w:val="4BDD53FD"/>
    <w:multiLevelType w:val="hybridMultilevel"/>
    <w:lvl w:ilvl="0">
      <w:lvlJc w:val="left"/>
      <w:lvlText w:val="(%1)"/>
      <w:numFmt w:val="lowerLetter"/>
      <w:start w:val="8"/>
    </w:lvl>
  </w:abstractNum>
  <w:abstractNum w:abstractNumId="252">
    <w:nsid w:val="569951FE"/>
    <w:multiLevelType w:val="hybridMultilevel"/>
    <w:lvl w:ilvl="0">
      <w:lvlJc w:val="left"/>
      <w:lvlText w:val="(%1)"/>
      <w:numFmt w:val="lowerLetter"/>
      <w:start w:val="3"/>
    </w:lvl>
  </w:abstractNum>
  <w:abstractNum w:abstractNumId="253">
    <w:nsid w:val="4C54E2C3"/>
    <w:multiLevelType w:val="hybridMultilevel"/>
    <w:lvl w:ilvl="0">
      <w:lvlJc w:val="left"/>
      <w:lvlText w:val="(%1)"/>
      <w:numFmt w:val="lowerLetter"/>
      <w:start w:val="1"/>
    </w:lvl>
  </w:abstractNum>
  <w:abstractNum w:abstractNumId="254">
    <w:nsid w:val="788BD9B"/>
    <w:multiLevelType w:val="hybridMultilevel"/>
    <w:lvl w:ilvl="0">
      <w:lvlJc w:val="left"/>
      <w:lvlText w:val="(%1)"/>
      <w:numFmt w:val="lowerLetter"/>
      <w:start w:val="7"/>
    </w:lvl>
  </w:abstractNum>
  <w:abstractNum w:abstractNumId="255">
    <w:nsid w:val="47CAA567"/>
    <w:multiLevelType w:val="hybridMultilevel"/>
    <w:lvl w:ilvl="0">
      <w:lvlJc w:val="left"/>
      <w:lvlText w:val="(%1)"/>
      <w:numFmt w:val="lowerLetter"/>
      <w:start w:val="1"/>
    </w:lvl>
    <w:lvl w:ilvl="1">
      <w:lvlJc w:val="left"/>
      <w:lvlText w:val="(%2)"/>
      <w:numFmt w:val="lowerRoman"/>
      <w:start w:val="1"/>
    </w:lvl>
  </w:abstractNum>
  <w:abstractNum w:abstractNumId="256">
    <w:nsid w:val="48249DBF"/>
    <w:multiLevelType w:val="hybridMultilevel"/>
    <w:lvl w:ilvl="0">
      <w:lvlJc w:val="left"/>
      <w:lvlText w:val="(%1)"/>
      <w:numFmt w:val="lowerRoman"/>
      <w:start w:val="3"/>
    </w:lvl>
  </w:abstractNum>
  <w:abstractNum w:abstractNumId="257">
    <w:nsid w:val="1F0E5D0D"/>
    <w:multiLevelType w:val="hybridMultilevel"/>
    <w:lvl w:ilvl="0">
      <w:lvlJc w:val="left"/>
      <w:lvlText w:val="%1"/>
      <w:numFmt w:val="upperLetter"/>
      <w:start w:val="1"/>
    </w:lvl>
    <w:lvl w:ilvl="1">
      <w:lvlJc w:val="left"/>
      <w:lvlText w:val="(%2)"/>
      <w:numFmt w:val="lowerRoman"/>
      <w:start w:val="9"/>
    </w:lvl>
  </w:abstractNum>
  <w:abstractNum w:abstractNumId="258">
    <w:nsid w:val="26BAAE9"/>
    <w:multiLevelType w:val="hybridMultilevel"/>
    <w:lvl w:ilvl="0">
      <w:lvlJc w:val="left"/>
      <w:lvlText w:val="(%1)"/>
      <w:numFmt w:val="upperLetter"/>
      <w:start w:val="1"/>
    </w:lvl>
    <w:lvl w:ilvl="1">
      <w:lvlJc w:val="left"/>
      <w:lvlText w:val="%2"/>
      <w:numFmt w:val="lowerRoman"/>
      <w:start w:val="1"/>
    </w:lvl>
  </w:abstractNum>
  <w:abstractNum w:abstractNumId="259">
    <w:nsid w:val="2C02FE8C"/>
    <w:multiLevelType w:val="hybridMultilevel"/>
    <w:lvl w:ilvl="0">
      <w:lvlJc w:val="left"/>
      <w:lvlText w:val="(%1)"/>
      <w:numFmt w:val="lowerLetter"/>
      <w:start w:val="2"/>
    </w:lvl>
  </w:abstractNum>
  <w:abstractNum w:abstractNumId="260">
    <w:nsid w:val="129517E"/>
    <w:multiLevelType w:val="hybridMultilevel"/>
    <w:lvl w:ilvl="0">
      <w:lvlJc w:val="left"/>
      <w:lvlText w:val="(%1)"/>
      <w:numFmt w:val="lowerLetter"/>
      <w:start w:val="1"/>
    </w:lvl>
  </w:abstractNum>
  <w:abstractNum w:abstractNumId="261">
    <w:nsid w:val="763B8C4E"/>
    <w:multiLevelType w:val="hybridMultilevel"/>
    <w:lvl w:ilvl="0">
      <w:lvlJc w:val="left"/>
      <w:lvlText w:val="(%1)"/>
      <w:numFmt w:val="lowerLetter"/>
      <w:start w:val="5"/>
    </w:lvl>
  </w:abstractNum>
  <w:abstractNum w:abstractNumId="262">
    <w:nsid w:val="4CFB8D32"/>
    <w:multiLevelType w:val="hybridMultilevel"/>
    <w:lvl w:ilvl="0">
      <w:lvlJc w:val="left"/>
      <w:lvlText w:val="(%1)"/>
      <w:numFmt w:val="lowerLetter"/>
      <w:start w:val="1"/>
    </w:lvl>
  </w:abstractNum>
  <w:abstractNum w:abstractNumId="263">
    <w:nsid w:val="62A5D5BD"/>
    <w:multiLevelType w:val="hybridMultilevel"/>
    <w:lvl w:ilvl="0">
      <w:lvlJc w:val="left"/>
      <w:lvlText w:val="(%1)"/>
      <w:numFmt w:val="lowerLetter"/>
      <w:start w:val="1"/>
    </w:lvl>
  </w:abstractNum>
  <w:abstractNum w:abstractNumId="264">
    <w:nsid w:val="718FABF9"/>
    <w:multiLevelType w:val="hybridMultilevel"/>
    <w:lvl w:ilvl="0">
      <w:lvlJc w:val="left"/>
      <w:lvlText w:val="(%1)"/>
      <w:numFmt w:val="lowerLetter"/>
      <w:start w:val="1"/>
    </w:lvl>
  </w:abstractNum>
  <w:abstractNum w:abstractNumId="265">
    <w:nsid w:val="7775797C"/>
    <w:multiLevelType w:val="hybridMultilevel"/>
    <w:lvl w:ilvl="0">
      <w:lvlJc w:val="left"/>
      <w:lvlText w:val="%1"/>
      <w:numFmt w:val="lowerLetter"/>
      <w:start w:val="1"/>
    </w:lvl>
    <w:lvl w:ilvl="1">
      <w:lvlJc w:val="left"/>
      <w:lvlText w:val="(%2)"/>
      <w:numFmt w:val="lowerLetter"/>
      <w:start w:val="2"/>
    </w:lvl>
  </w:abstractNum>
  <w:abstractNum w:abstractNumId="266">
    <w:nsid w:val="1626FB8C"/>
    <w:multiLevelType w:val="hybridMultilevel"/>
    <w:lvl w:ilvl="0">
      <w:lvlJc w:val="left"/>
      <w:lvlText w:val="(%1)"/>
      <w:numFmt w:val="lowerLetter"/>
      <w:start w:val="35"/>
    </w:lvl>
    <w:lvl w:ilvl="1">
      <w:lvlJc w:val="left"/>
      <w:lvlText w:val="(%2)"/>
      <w:numFmt w:val="lowerLetter"/>
      <w:start w:val="7"/>
    </w:lvl>
  </w:abstractNum>
  <w:abstractNum w:abstractNumId="267">
    <w:nsid w:val="3957756A"/>
    <w:multiLevelType w:val="hybridMultilevel"/>
    <w:lvl w:ilvl="0">
      <w:lvlJc w:val="left"/>
      <w:lvlText w:val="(%1)"/>
      <w:numFmt w:val="lowerLetter"/>
      <w:start w:val="10"/>
    </w:lvl>
  </w:abstractNum>
  <w:abstractNum w:abstractNumId="268">
    <w:nsid w:val="3E6DA1C7"/>
    <w:multiLevelType w:val="hybridMultilevel"/>
    <w:lvl w:ilvl="0">
      <w:lvlJc w:val="left"/>
      <w:lvlText w:val="(%1)"/>
      <w:numFmt w:val="lowerLetter"/>
      <w:start w:val="17"/>
    </w:lvl>
  </w:abstractNum>
  <w:abstractNum w:abstractNumId="269">
    <w:nsid w:val="65CA235B"/>
    <w:multiLevelType w:val="hybridMultilevel"/>
    <w:lvl w:ilvl="0">
      <w:lvlJc w:val="left"/>
      <w:lvlText w:val="(%1)"/>
      <w:numFmt w:val="lowerLetter"/>
      <w:start w:val="1"/>
    </w:lvl>
  </w:abstractNum>
  <w:abstractNum w:abstractNumId="270">
    <w:nsid w:val="51CB0DA4"/>
    <w:multiLevelType w:val="hybridMultilevel"/>
    <w:lvl w:ilvl="0">
      <w:lvlJc w:val="left"/>
      <w:lvlText w:val="(%1)"/>
      <w:numFmt w:val="lowerRoman"/>
      <w:start w:val="3"/>
    </w:lvl>
  </w:abstractNum>
  <w:abstractNum w:abstractNumId="271">
    <w:nsid w:val="7B9B743C"/>
    <w:multiLevelType w:val="hybridMultilevel"/>
    <w:lvl w:ilvl="0">
      <w:lvlJc w:val="left"/>
      <w:lvlText w:val="(%1)"/>
      <w:numFmt w:val="lowerLetter"/>
      <w:start w:val="26"/>
    </w:lvl>
  </w:abstractNum>
  <w:abstractNum w:abstractNumId="272">
    <w:nsid w:val="13E21002"/>
    <w:multiLevelType w:val="hybridMultilevel"/>
    <w:lvl w:ilvl="0">
      <w:lvlJc w:val="left"/>
      <w:lvlText w:val="(%1)"/>
      <w:numFmt w:val="lowerLetter"/>
      <w:start w:val="1"/>
    </w:lvl>
    <w:lvl w:ilvl="1">
      <w:lvlJc w:val="left"/>
      <w:lvlText w:val="(%2)"/>
      <w:numFmt w:val="lowerRoman"/>
      <w:start w:val="1"/>
    </w:lvl>
  </w:abstractNum>
  <w:abstractNum w:abstractNumId="273">
    <w:nsid w:val="257D63F4"/>
    <w:multiLevelType w:val="hybridMultilevel"/>
    <w:lvl w:ilvl="0">
      <w:lvlJc w:val="left"/>
      <w:lvlText w:val="(%1)"/>
      <w:numFmt w:val="lowerLetter"/>
      <w:start w:val="3"/>
    </w:lvl>
  </w:abstractNum>
  <w:abstractNum w:abstractNumId="274">
    <w:nsid w:val="70EC11B2"/>
    <w:multiLevelType w:val="hybridMultilevel"/>
    <w:lvl w:ilvl="0">
      <w:lvlJc w:val="left"/>
      <w:lvlText w:val="%1"/>
      <w:numFmt w:val="lowerLetter"/>
      <w:start w:val="1"/>
    </w:lvl>
    <w:lvl w:ilvl="1">
      <w:lvlJc w:val="left"/>
      <w:lvlText w:val="(%2)"/>
      <w:numFmt w:val="lowerLetter"/>
      <w:start w:val="1"/>
    </w:lvl>
  </w:abstractNum>
  <w:abstractNum w:abstractNumId="275">
    <w:nsid w:val="2EDA00ED"/>
    <w:multiLevelType w:val="hybridMultilevel"/>
    <w:lvl w:ilvl="0">
      <w:lvlJc w:val="left"/>
      <w:lvlText w:val="(%1)"/>
      <w:numFmt w:val="lowerLetter"/>
      <w:start w:val="9"/>
    </w:lvl>
    <w:lvl w:ilvl="1">
      <w:lvlJc w:val="left"/>
      <w:lvlText w:val="%2"/>
      <w:numFmt w:val="lowerLetter"/>
      <w:start w:val="1"/>
    </w:lvl>
  </w:abstractNum>
  <w:abstractNum w:abstractNumId="276">
    <w:nsid w:val="73209072"/>
    <w:multiLevelType w:val="hybridMultilevel"/>
    <w:lvl w:ilvl="0">
      <w:lvlJc w:val="left"/>
      <w:lvlText w:val="(%1)"/>
      <w:numFmt w:val="lowerLetter"/>
      <w:start w:val="5"/>
    </w:lvl>
  </w:abstractNum>
  <w:abstractNum w:abstractNumId="277">
    <w:nsid w:val="5FB29816"/>
    <w:multiLevelType w:val="hybridMultilevel"/>
    <w:lvl w:ilvl="0">
      <w:lvlJc w:val="left"/>
      <w:lvlText w:val="(%1)"/>
      <w:numFmt w:val="lowerLetter"/>
      <w:start w:val="1"/>
    </w:lvl>
  </w:abstractNum>
  <w:abstractNum w:abstractNumId="278">
    <w:nsid w:val="3CE732EC"/>
    <w:multiLevelType w:val="hybridMultilevel"/>
    <w:lvl w:ilvl="0">
      <w:lvlJc w:val="left"/>
      <w:lvlText w:val="(%1)"/>
      <w:numFmt w:val="lowerLetter"/>
      <w:start w:val="7"/>
    </w:lvl>
  </w:abstractNum>
  <w:abstractNum w:abstractNumId="279">
    <w:nsid w:val="22F13DF3"/>
    <w:multiLevelType w:val="hybridMultilevel"/>
    <w:lvl w:ilvl="0">
      <w:lvlJc w:val="left"/>
      <w:lvlText w:val="(%1)"/>
      <w:numFmt w:val="lowerLetter"/>
      <w:start w:val="1"/>
    </w:lvl>
  </w:abstractNum>
  <w:abstractNum w:abstractNumId="280">
    <w:nsid w:val="792B8401"/>
    <w:multiLevelType w:val="hybridMultilevel"/>
    <w:lvl w:ilvl="0">
      <w:lvlJc w:val="left"/>
      <w:lvlText w:val="(%1)"/>
      <w:numFmt w:val="lowerLetter"/>
      <w:start w:val="9"/>
    </w:lvl>
  </w:abstractNum>
  <w:abstractNum w:abstractNumId="281">
    <w:nsid w:val="FA85F4D"/>
    <w:multiLevelType w:val="hybridMultilevel"/>
    <w:lvl w:ilvl="0">
      <w:lvlJc w:val="left"/>
      <w:lvlText w:val="(%1)"/>
      <w:numFmt w:val="lowerLetter"/>
      <w:start w:val="5"/>
    </w:lvl>
  </w:abstractNum>
  <w:abstractNum w:abstractNumId="282">
    <w:nsid w:val="6ECE91F0"/>
    <w:multiLevelType w:val="hybridMultilevel"/>
    <w:lvl w:ilvl="0">
      <w:lvlJc w:val="left"/>
      <w:lvlText w:val="(%1)"/>
      <w:numFmt w:val="lowerLetter"/>
      <w:start w:val="1"/>
    </w:lvl>
  </w:abstractNum>
  <w:abstractNum w:abstractNumId="283">
    <w:nsid w:val="4FC4D600"/>
    <w:multiLevelType w:val="hybridMultilevel"/>
    <w:lvl w:ilvl="0">
      <w:lvlJc w:val="left"/>
      <w:lvlText w:val="(%1)"/>
      <w:numFmt w:val="lowerLetter"/>
      <w:start w:val="5"/>
    </w:lvl>
  </w:abstractNum>
  <w:abstractNum w:abstractNumId="284">
    <w:nsid w:val="5BFD4210"/>
    <w:multiLevelType w:val="hybridMultilevel"/>
    <w:lvl w:ilvl="0">
      <w:lvlJc w:val="left"/>
      <w:lvlText w:val="(%1)"/>
      <w:numFmt w:val="lowerLetter"/>
      <w:start w:val="1"/>
    </w:lvl>
  </w:abstractNum>
  <w:abstractNum w:abstractNumId="285">
    <w:nsid w:val="76574F8B"/>
    <w:multiLevelType w:val="hybridMultilevel"/>
    <w:lvl w:ilvl="0">
      <w:lvlJc w:val="left"/>
      <w:lvlText w:val="(%1)"/>
      <w:numFmt w:val="lowerLetter"/>
      <w:start w:val="1"/>
    </w:lvl>
  </w:abstractNum>
  <w:abstractNum w:abstractNumId="286">
    <w:nsid w:val="178F7B67"/>
    <w:multiLevelType w:val="hybridMultilevel"/>
    <w:lvl w:ilvl="0">
      <w:lvlJc w:val="left"/>
      <w:lvlText w:val="(%1)"/>
      <w:numFmt w:val="lowerLetter"/>
      <w:start w:val="2"/>
    </w:lvl>
  </w:abstractNum>
  <w:abstractNum w:abstractNumId="287">
    <w:nsid w:val="2421DFCF"/>
    <w:multiLevelType w:val="hybridMultilevel"/>
    <w:lvl w:ilvl="0">
      <w:lvlJc w:val="left"/>
      <w:lvlText w:val="(%1)"/>
      <w:numFmt w:val="lowerLetter"/>
      <w:start w:val="1"/>
    </w:lvl>
  </w:abstractNum>
  <w:abstractNum w:abstractNumId="288">
    <w:nsid w:val="1565AC99"/>
    <w:multiLevelType w:val="hybridMultilevel"/>
    <w:lvl w:ilvl="0">
      <w:lvlJc w:val="left"/>
      <w:lvlText w:val="(%1)"/>
      <w:numFmt w:val="lowerLetter"/>
      <w:start w:val="4"/>
    </w:lvl>
  </w:abstractNum>
  <w:abstractNum w:abstractNumId="289">
    <w:nsid w:val="19FB2650"/>
    <w:multiLevelType w:val="hybridMultilevel"/>
    <w:lvl w:ilvl="0">
      <w:lvlJc w:val="left"/>
      <w:lvlText w:val="(%1)"/>
      <w:numFmt w:val="lowerLetter"/>
      <w:start w:val="11"/>
    </w:lvl>
  </w:abstractNum>
  <w:abstractNum w:abstractNumId="290">
    <w:nsid w:val="5024DE5B"/>
    <w:multiLevelType w:val="hybridMultilevel"/>
    <w:lvl w:ilvl="0">
      <w:lvlJc w:val="left"/>
      <w:lvlText w:val="(%1)"/>
      <w:numFmt w:val="lowerLetter"/>
      <w:start w:val="1"/>
    </w:lvl>
    <w:lvl w:ilvl="1">
      <w:lvlJc w:val="left"/>
      <w:lvlText w:val="(%2)"/>
      <w:numFmt w:val="lowerRoman"/>
      <w:start w:val="1"/>
    </w:lvl>
  </w:abstractNum>
  <w:abstractNum w:abstractNumId="291">
    <w:nsid w:val="168EFE17"/>
    <w:multiLevelType w:val="hybridMultilevel"/>
    <w:lvl w:ilvl="0">
      <w:lvlJc w:val="left"/>
      <w:lvlText w:val="(%1)"/>
      <w:numFmt w:val="lowerRoman"/>
      <w:start w:val="6"/>
    </w:lvl>
  </w:abstractNum>
  <w:abstractNum w:abstractNumId="292">
    <w:nsid w:val="1036B29F"/>
    <w:multiLevelType w:val="hybridMultilevel"/>
    <w:lvl w:ilvl="0">
      <w:lvlJc w:val="left"/>
      <w:lvlText w:val="(%1)"/>
      <w:numFmt w:val="lowerLetter"/>
      <w:start w:val="1"/>
    </w:lvl>
    <w:lvl w:ilvl="1">
      <w:lvlJc w:val="left"/>
      <w:lvlText w:val="(%2)"/>
      <w:numFmt w:val="lowerRoman"/>
      <w:start w:val="1"/>
    </w:lvl>
  </w:abstractNum>
  <w:abstractNum w:abstractNumId="293">
    <w:nsid w:val="1D206B8E"/>
    <w:multiLevelType w:val="hybridMultilevel"/>
    <w:lvl w:ilvl="0">
      <w:lvlJc w:val="left"/>
      <w:lvlText w:val="%1"/>
      <w:numFmt w:val="lowerLetter"/>
      <w:start w:val="1"/>
    </w:lvl>
    <w:lvl w:ilvl="1">
      <w:lvlJc w:val="left"/>
      <w:lvlText w:val="(%2)"/>
      <w:numFmt w:val="lowerRoman"/>
      <w:start w:val="4"/>
    </w:lvl>
  </w:abstractNum>
  <w:abstractNum w:abstractNumId="294">
    <w:nsid w:val="7934D3D4"/>
    <w:multiLevelType w:val="hybridMultilevel"/>
    <w:lvl w:ilvl="0">
      <w:lvlJc w:val="left"/>
      <w:lvlText w:val="(%1)"/>
      <w:numFmt w:val="lowerLetter"/>
      <w:start w:val="3"/>
    </w:lvl>
    <w:lvl w:ilvl="1">
      <w:lvlJc w:val="left"/>
      <w:lvlText w:val="%2"/>
      <w:numFmt w:val="lowerRoman"/>
      <w:start w:val="1"/>
    </w:lvl>
  </w:abstractNum>
  <w:abstractNum w:abstractNumId="295">
    <w:nsid w:val="1C65E98"/>
    <w:multiLevelType w:val="hybridMultilevel"/>
    <w:lvl w:ilvl="0">
      <w:lvlJc w:val="left"/>
      <w:lvlText w:val="(%1)"/>
      <w:numFmt w:val="lowerLetter"/>
      <w:start w:val="1"/>
    </w:lvl>
  </w:abstractNum>
  <w:abstractNum w:abstractNumId="296">
    <w:nsid w:val="1495E50A"/>
    <w:multiLevelType w:val="hybridMultilevel"/>
    <w:lvl w:ilvl="0">
      <w:lvlJc w:val="left"/>
      <w:lvlText w:val="(%1)"/>
      <w:numFmt w:val="lowerLetter"/>
      <w:start w:val="2"/>
    </w:lvl>
  </w:abstractNum>
  <w:abstractNum w:abstractNumId="297">
    <w:nsid w:val="F5BCF61"/>
    <w:multiLevelType w:val="hybridMultilevel"/>
    <w:lvl w:ilvl="0">
      <w:lvlJc w:val="left"/>
      <w:lvlText w:val="(%1)"/>
      <w:numFmt w:val="lowerLetter"/>
      <w:start w:val="2"/>
    </w:lvl>
  </w:abstractNum>
  <w:abstractNum w:abstractNumId="298">
    <w:nsid w:val="3B1DD403"/>
    <w:multiLevelType w:val="hybridMultilevel"/>
    <w:lvl w:ilvl="0">
      <w:lvlJc w:val="left"/>
      <w:lvlText w:val="%1"/>
      <w:numFmt w:val="lowerLetter"/>
      <w:start w:val="1"/>
    </w:lvl>
    <w:lvl w:ilvl="1">
      <w:lvlJc w:val="left"/>
      <w:lvlText w:val="(%2)"/>
      <w:numFmt w:val="lowerLetter"/>
      <w:start w:val="1"/>
    </w:lvl>
  </w:abstractNum>
  <w:abstractNum w:abstractNumId="299">
    <w:nsid w:val="530386D1"/>
    <w:multiLevelType w:val="hybridMultilevel"/>
    <w:lvl w:ilvl="0">
      <w:lvlJc w:val="left"/>
      <w:lvlText w:val="(%1)"/>
      <w:numFmt w:val="lowerLetter"/>
      <w:start w:val="61"/>
    </w:lvl>
    <w:lvl w:ilvl="1">
      <w:lvlJc w:val="left"/>
      <w:lvlText w:val="%2"/>
      <w:numFmt w:val="lowerLetter"/>
      <w:start w:val="1"/>
    </w:lvl>
  </w:abstractNum>
  <w:abstractNum w:abstractNumId="300">
    <w:nsid w:val="7525F2BC"/>
    <w:multiLevelType w:val="hybridMultilevel"/>
    <w:lvl w:ilvl="0">
      <w:lvlJc w:val="left"/>
      <w:lvlText w:val="(%1)"/>
      <w:numFmt w:val="lowerLetter"/>
      <w:start w:val="2"/>
    </w:lvl>
  </w:abstractNum>
  <w:abstractNum w:abstractNumId="301">
    <w:nsid w:val="CE8E1A7"/>
    <w:multiLevelType w:val="hybridMultilevel"/>
    <w:lvl w:ilvl="0">
      <w:lvlJc w:val="left"/>
      <w:lvlText w:val="(%1)"/>
      <w:numFmt w:val="lowerLetter"/>
      <w:start w:val="1"/>
    </w:lvl>
  </w:abstractNum>
  <w:abstractNum w:abstractNumId="302">
    <w:nsid w:val="4E9EFB0D"/>
    <w:multiLevelType w:val="hybridMultilevel"/>
    <w:lvl w:ilvl="0">
      <w:lvlJc w:val="left"/>
      <w:lvlText w:val="(%1)"/>
      <w:numFmt w:val="lowerLetter"/>
      <w:start w:val="2"/>
    </w:lvl>
  </w:abstractNum>
  <w:abstractNum w:abstractNumId="303">
    <w:nsid w:val="90802BE"/>
    <w:multiLevelType w:val="hybridMultilevel"/>
    <w:lvl w:ilvl="0">
      <w:lvlJc w:val="left"/>
      <w:lvlText w:val="(%1)"/>
      <w:numFmt w:val="lowerLetter"/>
      <w:start w:val="3"/>
    </w:lvl>
  </w:abstractNum>
  <w:abstractNum w:abstractNumId="304">
    <w:nsid w:val="3266459B"/>
    <w:multiLevelType w:val="hybridMultilevel"/>
    <w:lvl w:ilvl="0">
      <w:lvlJc w:val="left"/>
      <w:lvlText w:val="(%1)"/>
      <w:numFmt w:val="lowerLetter"/>
      <w:start w:val="1"/>
    </w:lvl>
  </w:abstractNum>
  <w:abstractNum w:abstractNumId="305">
    <w:nsid w:val="3F8B0CBF"/>
    <w:multiLevelType w:val="hybridMultilevel"/>
    <w:lvl w:ilvl="0">
      <w:lvlJc w:val="left"/>
      <w:lvlText w:val="(%1)"/>
      <w:numFmt w:val="lowerLetter"/>
      <w:start w:val="3"/>
    </w:lvl>
  </w:abstractNum>
  <w:abstractNum w:abstractNumId="306">
    <w:nsid w:val="37E203AB"/>
    <w:multiLevelType w:val="hybridMultilevel"/>
    <w:lvl w:ilvl="0">
      <w:lvlJc w:val="left"/>
      <w:lvlText w:val="(%1)"/>
      <w:numFmt w:val="lowerLetter"/>
      <w:start w:val="5"/>
    </w:lvl>
  </w:abstractNum>
  <w:abstractNum w:abstractNumId="307">
    <w:nsid w:val="2586D60E"/>
    <w:multiLevelType w:val="hybridMultilevel"/>
    <w:lvl w:ilvl="0">
      <w:lvlJc w:val="left"/>
      <w:lvlText w:val="(%1)"/>
      <w:numFmt w:val="lowerLetter"/>
      <w:start w:val="1"/>
    </w:lvl>
  </w:abstractNum>
  <w:abstractNum w:abstractNumId="308">
    <w:nsid w:val="1F3DA4D5"/>
    <w:multiLevelType w:val="hybridMultilevel"/>
    <w:lvl w:ilvl="0">
      <w:lvlJc w:val="left"/>
      <w:lvlText w:val="(%1)"/>
      <w:numFmt w:val="lowerLetter"/>
      <w:start w:val="2"/>
    </w:lvl>
  </w:abstractNum>
  <w:abstractNum w:abstractNumId="309">
    <w:nsid w:val="74C93698"/>
    <w:multiLevelType w:val="hybridMultilevel"/>
    <w:lvl w:ilvl="0">
      <w:lvlJc w:val="left"/>
      <w:lvlText w:val="(%1)"/>
      <w:numFmt w:val="decimal"/>
      <w:start w:val="2"/>
    </w:lvl>
    <w:lvl w:ilvl="1">
      <w:lvlJc w:val="left"/>
      <w:lvlText w:val="(%2)"/>
      <w:numFmt w:val="lowerLetter"/>
      <w:start w:val="4"/>
    </w:lvl>
  </w:abstractNum>
  <w:abstractNum w:abstractNumId="310">
    <w:nsid w:val="48781401"/>
    <w:multiLevelType w:val="hybridMultilevel"/>
    <w:lvl w:ilvl="0">
      <w:lvlJc w:val="left"/>
      <w:lvlText w:val="(%1)"/>
      <w:numFmt w:val="lowerLetter"/>
      <w:start w:val="1"/>
    </w:lvl>
  </w:abstractNum>
  <w:abstractNum w:abstractNumId="311">
    <w:nsid w:val="186928D6"/>
    <w:multiLevelType w:val="hybridMultilevel"/>
    <w:lvl w:ilvl="0">
      <w:lvlJc w:val="left"/>
      <w:lvlText w:val="(%1)"/>
      <w:numFmt w:val="lowerLetter"/>
      <w:start w:val="3"/>
    </w:lvl>
  </w:abstractNum>
  <w:abstractNum w:abstractNumId="312">
    <w:nsid w:val="47195E5"/>
    <w:multiLevelType w:val="hybridMultilevel"/>
    <w:lvl w:ilvl="0">
      <w:lvlJc w:val="left"/>
      <w:lvlText w:val="(%1)"/>
      <w:numFmt w:val="lowerLetter"/>
      <w:start w:val="1"/>
    </w:lvl>
  </w:abstractNum>
  <w:abstractNum w:abstractNumId="313">
    <w:nsid w:val="3746A5F2"/>
    <w:multiLevelType w:val="hybridMultilevel"/>
    <w:lvl w:ilvl="0">
      <w:lvlJc w:val="left"/>
      <w:lvlText w:val="%1"/>
      <w:numFmt w:val="lowerLetter"/>
      <w:start w:val="1"/>
    </w:lvl>
    <w:lvl w:ilvl="1">
      <w:lvlJc w:val="left"/>
      <w:lvlText w:val="(%2)"/>
      <w:numFmt w:val="lowerLetter"/>
      <w:start w:val="3"/>
    </w:lvl>
  </w:abstractNum>
  <w:abstractNum w:abstractNumId="314">
    <w:nsid w:val="682DFED6"/>
    <w:multiLevelType w:val="hybridMultilevel"/>
    <w:lvl w:ilvl="0">
      <w:lvlJc w:val="left"/>
      <w:lvlText w:val="(%1)"/>
      <w:numFmt w:val="lowerLetter"/>
      <w:start w:val="35"/>
    </w:lvl>
    <w:lvl w:ilvl="1">
      <w:lvlJc w:val="left"/>
      <w:lvlText w:val="%2"/>
      <w:numFmt w:val="lowerLetter"/>
      <w:start w:val="1"/>
    </w:lvl>
  </w:abstractNum>
  <w:abstractNum w:abstractNumId="315">
    <w:nsid w:val="606ED7F6"/>
    <w:multiLevelType w:val="hybridMultilevel"/>
    <w:lvl w:ilvl="0">
      <w:lvlJc w:val="left"/>
      <w:lvlText w:val="(%1)"/>
      <w:numFmt w:val="lowerRoman"/>
      <w:start w:val="2"/>
    </w:lvl>
  </w:abstractNum>
  <w:abstractNum w:abstractNumId="316">
    <w:nsid w:val="2D9DF57D"/>
    <w:multiLevelType w:val="hybridMultilevel"/>
    <w:lvl w:ilvl="0">
      <w:lvlJc w:val="left"/>
      <w:lvlText w:val="(%1)"/>
      <w:numFmt w:val="lowerLetter"/>
      <w:start w:val="1"/>
    </w:lvl>
  </w:abstractNum>
  <w:abstractNum w:abstractNumId="317">
    <w:nsid w:val="7FBD7A3E"/>
    <w:multiLevelType w:val="hybridMultilevel"/>
    <w:lvl w:ilvl="0">
      <w:lvlJc w:val="left"/>
      <w:lvlText w:val="%1"/>
      <w:numFmt w:val="lowerLetter"/>
      <w:start w:val="1"/>
    </w:lvl>
    <w:lvl w:ilvl="1">
      <w:lvlJc w:val="left"/>
      <w:lvlText w:val="(%2)"/>
      <w:numFmt w:val="lowerLetter"/>
      <w:start w:val="3"/>
    </w:lvl>
  </w:abstractNum>
  <w:abstractNum w:abstractNumId="318">
    <w:nsid w:val="490B7C5"/>
    <w:multiLevelType w:val="hybridMultilevel"/>
    <w:lvl w:ilvl="0">
      <w:lvlJc w:val="left"/>
      <w:lvlText w:val="(%1)"/>
      <w:numFmt w:val="lowerLetter"/>
      <w:start w:val="35"/>
    </w:lvl>
    <w:lvl w:ilvl="1">
      <w:lvlJc w:val="left"/>
      <w:lvlText w:val="(%2)"/>
      <w:numFmt w:val="lowerLetter"/>
      <w:start w:val="6"/>
    </w:lvl>
  </w:abstractNum>
  <w:abstractNum w:abstractNumId="319">
    <w:nsid w:val="4303A216"/>
    <w:multiLevelType w:val="hybridMultilevel"/>
    <w:lvl w:ilvl="0">
      <w:lvlJc w:val="left"/>
      <w:lvlText w:val="(%1)"/>
      <w:numFmt w:val="lowerRoman"/>
      <w:start w:val="1"/>
    </w:lvl>
  </w:abstractNum>
  <w:abstractNum w:abstractNumId="320">
    <w:nsid w:val="19B8A08E"/>
    <w:multiLevelType w:val="hybridMultilevel"/>
    <w:lvl w:ilvl="0">
      <w:lvlJc w:val="left"/>
      <w:lvlText w:val="(%1)"/>
      <w:numFmt w:val="lowerLetter"/>
      <w:start w:val="1"/>
    </w:lvl>
  </w:abstractNum>
  <w:abstractNum w:abstractNumId="321">
    <w:nsid w:val="54B59621"/>
    <w:multiLevelType w:val="hybridMultilevel"/>
    <w:lvl w:ilvl="0">
      <w:lvlJc w:val="left"/>
      <w:lvlText w:val="(%1)"/>
      <w:numFmt w:val="lowerLetter"/>
      <w:start w:val="4"/>
    </w:lvl>
  </w:abstractNum>
  <w:abstractNum w:abstractNumId="322">
    <w:nsid w:val="5992A02E"/>
    <w:multiLevelType w:val="hybridMultilevel"/>
    <w:lvl w:ilvl="0">
      <w:lvlJc w:val="left"/>
      <w:lvlText w:val="%1"/>
      <w:numFmt w:val="lowerLetter"/>
      <w:start w:val="1"/>
    </w:lvl>
    <w:lvl w:ilvl="1">
      <w:lvlJc w:val="left"/>
      <w:lvlText w:val="(%2)"/>
      <w:numFmt w:val="lowerLetter"/>
      <w:start w:val="8"/>
    </w:lvl>
  </w:abstractNum>
  <w:abstractNum w:abstractNumId="323">
    <w:nsid w:val="29EF532D"/>
    <w:multiLevelType w:val="hybridMultilevel"/>
    <w:lvl w:ilvl="0">
      <w:lvlJc w:val="left"/>
      <w:lvlText w:val="(%1)"/>
      <w:numFmt w:val="lowerLetter"/>
      <w:start w:val="9"/>
    </w:lvl>
    <w:lvl w:ilvl="1">
      <w:lvlJc w:val="left"/>
      <w:lvlText w:val="%2"/>
      <w:numFmt w:val="lowerLetter"/>
      <w:start w:val="1"/>
    </w:lvl>
  </w:abstractNum>
  <w:abstractNum w:abstractNumId="324">
    <w:nsid w:val="71D601AF"/>
    <w:multiLevelType w:val="hybridMultilevel"/>
    <w:lvl w:ilvl="0">
      <w:lvlJc w:val="left"/>
      <w:lvlText w:val="(%1)"/>
      <w:numFmt w:val="lowerLetter"/>
      <w:start w:val="1"/>
    </w:lvl>
  </w:abstractNum>
  <w:abstractNum w:abstractNumId="325">
    <w:nsid w:val="52C77402"/>
    <w:multiLevelType w:val="hybridMultilevel"/>
    <w:lvl w:ilvl="0">
      <w:lvlJc w:val="left"/>
      <w:lvlText w:val="(%1)"/>
      <w:numFmt w:val="lowerLetter"/>
      <w:start w:val="1"/>
    </w:lvl>
  </w:abstractNum>
  <w:abstractNum w:abstractNumId="326">
    <w:nsid w:val="2BB5B1C6"/>
    <w:multiLevelType w:val="hybridMultilevel"/>
    <w:lvl w:ilvl="0">
      <w:lvlJc w:val="left"/>
      <w:lvlText w:val="(%1)"/>
      <w:numFmt w:val="lowerRoman"/>
      <w:start w:val="1"/>
    </w:lvl>
  </w:abstractNum>
  <w:abstractNum w:abstractNumId="327">
    <w:nsid w:val="66BE6B9"/>
    <w:multiLevelType w:val="hybridMultilevel"/>
    <w:lvl w:ilvl="0">
      <w:lvlJc w:val="left"/>
      <w:lvlText w:val="%1)"/>
      <w:numFmt w:val="lowerLetter"/>
      <w:start w:val="1"/>
    </w:lvl>
  </w:abstractNum>
  <w:abstractNum w:abstractNumId="328">
    <w:nsid w:val="62234363"/>
    <w:multiLevelType w:val="hybridMultilevel"/>
    <w:lvl w:ilvl="0">
      <w:lvlJc w:val="left"/>
      <w:lvlText w:val="(%1)"/>
      <w:numFmt w:val="lowerLetter"/>
      <w:start w:val="1"/>
    </w:lvl>
  </w:abstractNum>
  <w:abstractNum w:abstractNumId="329">
    <w:nsid w:val="66D385C9"/>
    <w:multiLevelType w:val="hybridMultilevel"/>
    <w:lvl w:ilvl="0">
      <w:lvlJc w:val="left"/>
      <w:lvlText w:val="(%1)"/>
      <w:numFmt w:val="lowerLetter"/>
      <w:start w:val="4"/>
    </w:lvl>
  </w:abstractNum>
  <w:abstractNum w:abstractNumId="330">
    <w:nsid w:val="596F6D8A"/>
    <w:multiLevelType w:val="hybridMultilevel"/>
    <w:lvl w:ilvl="0">
      <w:lvlJc w:val="left"/>
      <w:lvlText w:val="(%1)"/>
      <w:numFmt w:val="lowerLetter"/>
      <w:start w:val="6"/>
    </w:lvl>
  </w:abstractNum>
  <w:abstractNum w:abstractNumId="331">
    <w:nsid w:val="5749361F"/>
    <w:multiLevelType w:val="hybridMultilevel"/>
    <w:lvl w:ilvl="0">
      <w:lvlJc w:val="left"/>
      <w:lvlText w:val="•"/>
      <w:numFmt w:val="bullet"/>
      <w:start w:val="1"/>
    </w:lvl>
    <w:lvl w:ilvl="1">
      <w:lvlJc w:val="left"/>
      <w:lvlText w:val="•"/>
      <w:numFmt w:val="bullet"/>
      <w:start w:val="1"/>
    </w:lvl>
  </w:abstractNum>
  <w:abstractNum w:abstractNumId="332">
    <w:nsid w:val="73BC6770"/>
    <w:multiLevelType w:val="hybridMultilevel"/>
    <w:lvl w:ilvl="0">
      <w:lvlJc w:val="left"/>
      <w:lvlText w:val="•"/>
      <w:numFmt w:val="bullet"/>
      <w:start w:val="1"/>
    </w:lvl>
  </w:abstractNum>
  <w:abstractNum w:abstractNumId="333">
    <w:nsid w:val="280E6897"/>
    <w:multiLevelType w:val="hybridMultilevel"/>
    <w:lvl w:ilvl="0">
      <w:lvlJc w:val="left"/>
      <w:lvlText w:val="(%1)"/>
      <w:numFmt w:val="lowerLetter"/>
      <w:start w:val="3"/>
    </w:lvl>
  </w:abstractNum>
  <w:abstractNum w:abstractNumId="334">
    <w:nsid w:val="605138DE"/>
    <w:multiLevelType w:val="hybridMultilevel"/>
    <w:lvl w:ilvl="0">
      <w:lvlJc w:val="left"/>
      <w:lvlText w:val="(%1)"/>
      <w:numFmt w:val="upperLetter"/>
      <w:start w:val="2"/>
    </w:lvl>
  </w:abstractNum>
  <w:abstractNum w:abstractNumId="335">
    <w:nsid w:val="2622AD0C"/>
    <w:multiLevelType w:val="hybridMultilevel"/>
    <w:lvl w:ilvl="0">
      <w:lvlJc w:val="left"/>
      <w:lvlText w:val="%1)"/>
      <w:numFmt w:val="lowerLetter"/>
      <w:start w:val="2"/>
    </w:lvl>
  </w:abstractNum>
  <w:abstractNum w:abstractNumId="336">
    <w:nsid w:val="67997556"/>
    <w:multiLevelType w:val="hybridMultilevel"/>
    <w:lvl w:ilvl="0">
      <w:lvlJc w:val="left"/>
      <w:lvlText w:val="1"/>
      <w:numFmt w:val="bullet"/>
      <w:start w:val="1"/>
    </w:lvl>
  </w:abstractNum>
  <w:abstractNum w:abstractNumId="337">
    <w:nsid w:val="18333C89"/>
    <w:multiLevelType w:val="hybridMultilevel"/>
    <w:lvl w:ilvl="0">
      <w:lvlJc w:val="left"/>
      <w:lvlText w:val="2"/>
      <w:numFmt w:val="bullet"/>
      <w:start w:val="1"/>
    </w:lvl>
  </w:abstractNum>
  <w:abstractNum w:abstractNumId="338">
    <w:nsid w:val="4BA9831A"/>
    <w:multiLevelType w:val="hybridMultilevel"/>
    <w:lvl w:ilvl="0">
      <w:lvlJc w:val="left"/>
      <w:lvlText w:val="(%1)"/>
      <w:numFmt w:val="lowerRoman"/>
      <w:start w:val="1"/>
    </w:lvl>
  </w:abstractNum>
  <w:abstractNum w:abstractNumId="339">
    <w:nsid w:val="6D71A2B"/>
    <w:multiLevelType w:val="hybridMultilevel"/>
    <w:lvl w:ilvl="0">
      <w:lvlJc w:val="left"/>
      <w:lvlText w:val="3"/>
      <w:numFmt w:val="bullet"/>
      <w:start w:val="1"/>
    </w:lvl>
  </w:abstractNum>
  <w:abstractNum w:abstractNumId="340">
    <w:nsid w:val="CFC7321"/>
    <w:multiLevelType w:val="hybridMultilevel"/>
    <w:lvl w:ilvl="0">
      <w:lvlJc w:val="left"/>
      <w:lvlText w:val="(%1)"/>
      <w:numFmt w:val="lowerLetter"/>
      <w:start w:val="1"/>
    </w:lvl>
  </w:abstractNum>
  <w:abstractNum w:abstractNumId="341">
    <w:nsid w:val="1421971B"/>
    <w:multiLevelType w:val="hybridMultilevel"/>
    <w:lvl w:ilvl="0">
      <w:lvlJc w:val="left"/>
      <w:lvlText w:val="(%1)"/>
      <w:numFmt w:val="lowerLetter"/>
      <w:start w:val="1"/>
    </w:lvl>
  </w:abstractNum>
  <w:abstractNum w:abstractNumId="342">
    <w:nsid w:val="1F404301"/>
    <w:multiLevelType w:val="hybridMultilevel"/>
    <w:lvl w:ilvl="0">
      <w:lvlJc w:val="left"/>
      <w:lvlText w:val="(%1)"/>
      <w:numFmt w:val="lowerLetter"/>
      <w:start w:val="4"/>
    </w:lvl>
  </w:abstractNum>
  <w:abstractNum w:abstractNumId="343">
    <w:nsid w:val="116E0907"/>
    <w:multiLevelType w:val="hybridMultilevel"/>
    <w:lvl w:ilvl="0">
      <w:lvlJc w:val="left"/>
      <w:lvlText w:val="(%1)"/>
      <w:numFmt w:val="lowerLetter"/>
      <w:start w:val="1"/>
    </w:lvl>
  </w:abstractNum>
  <w:abstractNum w:abstractNumId="344">
    <w:nsid w:val="4B683D0D"/>
    <w:multiLevelType w:val="hybridMultilevel"/>
    <w:lvl w:ilvl="0">
      <w:lvlJc w:val="left"/>
      <w:lvlText w:val="(%1)"/>
      <w:numFmt w:val="lowerLetter"/>
      <w:start w:val="3"/>
    </w:lvl>
  </w:abstractNum>
  <w:abstractNum w:abstractNumId="345">
    <w:nsid w:val="76E41D8"/>
    <w:multiLevelType w:val="hybridMultilevel"/>
    <w:lvl w:ilvl="0">
      <w:lvlJc w:val="left"/>
      <w:lvlText w:val="(%1)"/>
      <w:numFmt w:val="lowerLetter"/>
      <w:start w:val="1"/>
    </w:lvl>
  </w:abstractNum>
  <w:abstractNum w:abstractNumId="346">
    <w:nsid w:val="71DCE0FD"/>
    <w:multiLevelType w:val="hybridMultilevel"/>
    <w:lvl w:ilvl="0">
      <w:lvlJc w:val="left"/>
      <w:lvlText w:val="(%1)"/>
      <w:numFmt w:val="lowerLetter"/>
      <w:start w:val="1"/>
    </w:lvl>
  </w:abstractNum>
  <w:abstractNum w:abstractNumId="347">
    <w:nsid w:val="7906328B"/>
    <w:multiLevelType w:val="hybridMultilevel"/>
    <w:lvl w:ilvl="0">
      <w:lvlJc w:val="left"/>
      <w:lvlText w:val="(%1)"/>
      <w:numFmt w:val="lowerLetter"/>
      <w:start w:val="1"/>
    </w:lvl>
  </w:abstractNum>
  <w:abstractNum w:abstractNumId="348">
    <w:nsid w:val="72BBC16"/>
    <w:multiLevelType w:val="hybridMultilevel"/>
    <w:lvl w:ilvl="0">
      <w:lvlJc w:val="left"/>
      <w:lvlText w:val="(%1)"/>
      <w:numFmt w:val="lowerLetter"/>
      <w:start w:val="8"/>
    </w:lvl>
  </w:abstractNum>
  <w:abstractNum w:abstractNumId="349">
    <w:nsid w:val="766D98C2"/>
    <w:multiLevelType w:val="hybridMultilevel"/>
    <w:lvl w:ilvl="0">
      <w:lvlJc w:val="left"/>
      <w:lvlText w:val="(%1)"/>
      <w:numFmt w:val="lowerLetter"/>
      <w:start w:val="1"/>
    </w:lvl>
  </w:abstractNum>
  <w:abstractNum w:abstractNumId="350">
    <w:nsid w:val="3C09D4A1"/>
    <w:multiLevelType w:val="hybridMultilevel"/>
    <w:lvl w:ilvl="0">
      <w:lvlJc w:val="left"/>
      <w:lvlText w:val="(%1)"/>
      <w:numFmt w:val="lowerLetter"/>
      <w:start w:val="1"/>
    </w:lvl>
  </w:abstractNum>
  <w:abstractNum w:abstractNumId="351">
    <w:nsid w:val="20E45CA4"/>
    <w:multiLevelType w:val="hybridMultilevel"/>
    <w:lvl w:ilvl="0">
      <w:lvlJc w:val="left"/>
      <w:lvlText w:val="(%1)"/>
      <w:numFmt w:val="lowerLetter"/>
      <w:start w:val="1"/>
    </w:lvl>
  </w:abstractNum>
  <w:abstractNum w:abstractNumId="352">
    <w:nsid w:val="4B232EE3"/>
    <w:multiLevelType w:val="hybridMultilevel"/>
    <w:lvl w:ilvl="0">
      <w:lvlJc w:val="left"/>
      <w:lvlText w:val="%1"/>
      <w:numFmt w:val="lowerRoman"/>
      <w:start w:val="1"/>
    </w:lvl>
    <w:lvl w:ilvl="1">
      <w:lvlJc w:val="left"/>
      <w:lvlText w:val="(%2)"/>
      <w:numFmt w:val="lowerLetter"/>
      <w:start w:val="1"/>
    </w:lvl>
  </w:abstractNum>
  <w:abstractNum w:abstractNumId="353">
    <w:nsid w:val="159C74CF"/>
    <w:multiLevelType w:val="hybridMultilevel"/>
    <w:lvl w:ilvl="0">
      <w:lvlJc w:val="left"/>
      <w:lvlText w:val="(%1)"/>
      <w:numFmt w:val="lowerRoman"/>
      <w:start w:val="1"/>
    </w:lvl>
    <w:lvl w:ilvl="1">
      <w:lvlJc w:val="left"/>
      <w:lvlText w:val="%2"/>
      <w:numFmt w:val="lowerLetter"/>
      <w:start w:val="1"/>
    </w:lvl>
  </w:abstractNum>
  <w:abstractNum w:abstractNumId="354">
    <w:nsid w:val="4AD3AFD2"/>
    <w:multiLevelType w:val="hybridMultilevel"/>
    <w:lvl w:ilvl="0">
      <w:lvlJc w:val="left"/>
      <w:lvlText w:val="(%1)"/>
      <w:numFmt w:val="lowerLetter"/>
      <w:start w:val="2"/>
    </w:lvl>
  </w:abstractNum>
  <w:abstractNum w:abstractNumId="355">
    <w:nsid w:val="3CF93092"/>
    <w:multiLevelType w:val="hybridMultilevel"/>
    <w:lvl w:ilvl="0">
      <w:lvlJc w:val="left"/>
      <w:lvlText w:val="(%1)"/>
      <w:numFmt w:val="lowerLetter"/>
      <w:start w:val="1"/>
    </w:lvl>
  </w:abstractNum>
  <w:abstractNum w:abstractNumId="356">
    <w:nsid w:val="6863E8D2"/>
    <w:multiLevelType w:val="hybridMultilevel"/>
    <w:lvl w:ilvl="0">
      <w:lvlJc w:val="left"/>
      <w:lvlText w:val="(%1)"/>
      <w:numFmt w:val="lowerLetter"/>
      <w:start w:val="1"/>
    </w:lvl>
  </w:abstractNum>
  <w:abstractNum w:abstractNumId="357">
    <w:nsid w:val="76896198"/>
    <w:multiLevelType w:val="hybridMultilevel"/>
    <w:lvl w:ilvl="0">
      <w:lvlJc w:val="left"/>
      <w:lvlText w:val="(%1)"/>
      <w:numFmt w:val="lowerLetter"/>
      <w:start w:val="2"/>
    </w:lvl>
  </w:abstractNum>
  <w:abstractNum w:abstractNumId="358">
    <w:nsid w:val="4365174B"/>
    <w:multiLevelType w:val="hybridMultilevel"/>
    <w:lvl w:ilvl="0">
      <w:lvlJc w:val="left"/>
      <w:lvlText w:val="(%1)"/>
      <w:numFmt w:val="lowerLetter"/>
      <w:start w:val="4"/>
    </w:lvl>
  </w:abstractNum>
  <w:abstractNum w:abstractNumId="359">
    <w:nsid w:val="4A872C35"/>
    <w:multiLevelType w:val="hybridMultilevel"/>
    <w:lvl w:ilvl="0">
      <w:lvlJc w:val="left"/>
      <w:lvlText w:val="(%1)"/>
      <w:numFmt w:val="lowerLetter"/>
      <w:start w:val="1"/>
    </w:lvl>
  </w:abstractNum>
  <w:abstractNum w:abstractNumId="360">
    <w:nsid w:val="5D5CE761"/>
    <w:multiLevelType w:val="hybridMultilevel"/>
    <w:lvl w:ilvl="0">
      <w:lvlJc w:val="left"/>
      <w:lvlText w:val="(%1)"/>
      <w:numFmt w:val="lowerRoman"/>
      <w:start w:val="10"/>
    </w:lvl>
  </w:abstractNum>
  <w:abstractNum w:abstractNumId="361">
    <w:nsid w:val="1CD484D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62">
    <w:nsid w:val="21D06255"/>
    <w:multiLevelType w:val="hybridMultilevel"/>
    <w:lvl w:ilvl="0">
      <w:lvlJc w:val="left"/>
      <w:lvlText w:val="(%1)"/>
      <w:numFmt w:val="decimal"/>
      <w:start w:val="3"/>
    </w:lvl>
  </w:abstractNum>
  <w:abstractNum w:abstractNumId="363">
    <w:nsid w:val="51194ED1"/>
    <w:multiLevelType w:val="hybridMultilevel"/>
    <w:lvl w:ilvl="0">
      <w:lvlJc w:val="left"/>
      <w:lvlText w:val="(%1)"/>
      <w:numFmt w:val="lowerLetter"/>
      <w:start w:val="3"/>
    </w:lvl>
    <w:lvl w:ilvl="1">
      <w:lvlJc w:val="left"/>
      <w:lvlText w:val="(%2)"/>
      <w:numFmt w:val="decimal"/>
      <w:start w:val="1"/>
    </w:lvl>
  </w:abstractNum>
  <w:abstractNum w:abstractNumId="364">
    <w:nsid w:val="44E2ED6C"/>
    <w:multiLevelType w:val="hybridMultilevel"/>
    <w:lvl w:ilvl="0">
      <w:lvlJc w:val="left"/>
      <w:lvlText w:val="§"/>
      <w:numFmt w:val="bullet"/>
      <w:start w:val="1"/>
    </w:lvl>
    <w:lvl w:ilvl="1">
      <w:lvlJc w:val="left"/>
      <w:lvlText w:val="(%2)"/>
      <w:numFmt w:val="lowerLetter"/>
      <w:start w:val="5"/>
    </w:lvl>
  </w:abstractNum>
  <w:abstractNum w:abstractNumId="365">
    <w:nsid w:val="2219B33"/>
    <w:multiLevelType w:val="hybridMultilevel"/>
    <w:lvl w:ilvl="0">
      <w:lvlJc w:val="left"/>
      <w:lvlText w:val="§"/>
      <w:numFmt w:val="bullet"/>
      <w:start w:val="1"/>
    </w:lvl>
    <w:lvl w:ilvl="1">
      <w:lvlJc w:val="left"/>
      <w:lvlText w:val="(%2)"/>
      <w:numFmt w:val="lowerLetter"/>
      <w:start w:val="6"/>
    </w:lvl>
  </w:abstractNum>
  <w:abstractNum w:abstractNumId="366">
    <w:nsid w:val="773BFBDD"/>
    <w:multiLevelType w:val="hybridMultilevel"/>
    <w:lvl w:ilvl="0">
      <w:lvlJc w:val="left"/>
      <w:lvlText w:val="(%1)"/>
      <w:numFmt w:val="lowerLetter"/>
      <w:start w:val="7"/>
    </w:lvl>
  </w:abstractNum>
  <w:abstractNum w:abstractNumId="367">
    <w:nsid w:val="2C7C62C2"/>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2019-12-03T22:08:11Z</dcterms:created>
  <dcterms:modified xsi:type="dcterms:W3CDTF">2019-12-03T22:08:11Z</dcterms:modified>
</cp:coreProperties>
</file>