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601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601710"/>
                    </a:xfrm>
                    <a:prstGeom prst="rect">
                      <a:avLst/>
                    </a:prstGeom>
                    <a:noFill/>
                  </pic:spPr>
                </pic:pic>
              </a:graphicData>
            </a:graphic>
          </wp:anchor>
        </w:drawing>
      </w:r>
    </w:p>
    <w:p>
      <w:pPr>
        <w:sectPr>
          <w:pgSz w:w="11900" w:h="1690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720" w:type="dxa"/>
            <w:vAlign w:val="bottom"/>
            <w:gridSpan w:val="2"/>
            <w:vMerge w:val="restart"/>
          </w:tcPr>
          <w:p>
            <w:pPr>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Rubric Capital Management</w:t>
              </w:r>
            </w:hyperlink>
          </w:p>
        </w:tc>
        <w:tc>
          <w:tcPr>
            <w:tcW w:w="30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720" w:type="dxa"/>
            <w:vAlign w:val="bottom"/>
            <w:tcBorders>
              <w:bottom w:val="single" w:sz="8" w:color="0000EE"/>
            </w:tcBorders>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80" w:type="dxa"/>
            <w:vAlign w:val="bottom"/>
            <w:tcBorders>
              <w:bottom w:val="single" w:sz="8" w:color="0000EE"/>
            </w:tcBorders>
          </w:tcPr>
          <w:p>
            <w:pPr>
              <w:spacing w:after="0" w:line="250" w:lineRule="exact"/>
              <w:rPr>
                <w:rFonts w:ascii="Times New Roman" w:cs="Times New Roman" w:eastAsia="Times New Roman" w:hAnsi="Times New Roman"/>
                <w:sz w:val="24"/>
                <w:szCs w:val="24"/>
                <w:color w:val="0000EE"/>
                <w:w w:val="92"/>
              </w:rPr>
            </w:pPr>
            <w:hyperlink r:id="rId10">
              <w:r>
                <w:rPr>
                  <w:rFonts w:ascii="Times New Roman" w:cs="Times New Roman" w:eastAsia="Times New Roman" w:hAnsi="Times New Roman"/>
                  <w:sz w:val="24"/>
                  <w:szCs w:val="24"/>
                  <w:color w:val="0000EE"/>
                  <w:w w:val="92"/>
                </w:rPr>
                <w:t>LP</w:t>
              </w:r>
            </w:hyperlink>
          </w:p>
        </w:tc>
        <w:tc>
          <w:tcPr>
            <w:tcW w:w="2740" w:type="dxa"/>
            <w:vAlign w:val="bottom"/>
            <w:gridSpan w:val="2"/>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Mereo Biopharma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MREO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900" w:orient="portrait"/>
          <w:cols w:equalWidth="0" w:num="2">
            <w:col w:w="4720" w:space="280"/>
            <w:col w:w="5940"/>
          </w:cols>
          <w:pgMar w:left="480" w:top="230" w:right="479" w:bottom="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155 EAST 44TH ST, SUITE 1630</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10017</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0"/>
          <w:szCs w:val="20"/>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55" w:lineRule="exact"/>
        <w:rPr>
          <w:sz w:val="20"/>
          <w:szCs w:val="20"/>
          <w:color w:val="auto"/>
        </w:rPr>
      </w:pPr>
    </w:p>
    <w:p>
      <w:pPr>
        <w:sectPr>
          <w:pgSz w:w="11900" w:h="16900"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4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8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3900" w:type="dxa"/>
            <w:vAlign w:val="bottom"/>
            <w:tcBorders>
              <w:bottom w:val="single" w:sz="8" w:color="2C2C2C"/>
            </w:tcBorders>
            <w:gridSpan w:val="8"/>
          </w:tcPr>
          <w:p>
            <w:pPr>
              <w:ind w:left="80"/>
              <w:spacing w:after="0"/>
              <w:rPr>
                <w:sz w:val="20"/>
                <w:szCs w:val="20"/>
                <w:color w:val="auto"/>
              </w:rPr>
            </w:pPr>
            <w:r>
              <w:rPr>
                <w:rFonts w:ascii="Times New Roman" w:cs="Times New Roman" w:eastAsia="Times New Roman" w:hAnsi="Times New Roman"/>
                <w:sz w:val="20"/>
                <w:szCs w:val="20"/>
                <w:color w:val="0000FF"/>
                <w:w w:val="98"/>
              </w:rPr>
              <w:t>Ordinary Shares, GBP 0.003 par value per share</w:t>
            </w: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right"/>
              <w:ind w:right="220"/>
              <w:spacing w:after="0"/>
              <w:rPr>
                <w:sz w:val="20"/>
                <w:szCs w:val="20"/>
                <w:color w:val="auto"/>
              </w:rPr>
            </w:pPr>
            <w:r>
              <w:rPr>
                <w:rFonts w:ascii="Times New Roman" w:cs="Times New Roman" w:eastAsia="Times New Roman" w:hAnsi="Times New Roman"/>
                <w:sz w:val="20"/>
                <w:szCs w:val="20"/>
                <w:color w:val="0000FF"/>
              </w:rPr>
              <w:t>31,950,000</w:t>
            </w:r>
          </w:p>
        </w:tc>
        <w:tc>
          <w:tcPr>
            <w:tcW w:w="980" w:type="dxa"/>
            <w:vAlign w:val="bottom"/>
            <w:tcBorders>
              <w:bottom w:val="single" w:sz="8" w:color="2C2C2C"/>
            </w:tcBorders>
          </w:tcPr>
          <w:p>
            <w:pPr>
              <w:ind w:left="8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8"/>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60" w:type="dxa"/>
            <w:vAlign w:val="bottom"/>
            <w:gridSpan w:val="10"/>
          </w:tcPr>
          <w:p>
            <w:pPr>
              <w:ind w:left="68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60" w:type="dxa"/>
            <w:vAlign w:val="bottom"/>
          </w:tcPr>
          <w:p>
            <w:pPr>
              <w:spacing w:after="0"/>
              <w:rPr>
                <w:sz w:val="18"/>
                <w:szCs w:val="18"/>
                <w:color w:val="auto"/>
              </w:rPr>
            </w:pPr>
          </w:p>
        </w:tc>
        <w:tc>
          <w:tcPr>
            <w:tcW w:w="1860" w:type="dxa"/>
            <w:vAlign w:val="bottom"/>
            <w:gridSpan w:val="5"/>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5"/>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5"/>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98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5"/>
                <w:szCs w:val="15"/>
                <w:b w:val="1"/>
                <w:bCs w:val="1"/>
                <w:color w:val="auto"/>
              </w:rPr>
              <w:t>Exercisable</w:t>
            </w:r>
          </w:p>
        </w:tc>
        <w:tc>
          <w:tcPr>
            <w:tcW w:w="860" w:type="dxa"/>
            <w:vAlign w:val="bottom"/>
            <w:gridSpan w:val="3"/>
          </w:tcPr>
          <w:p>
            <w:pPr>
              <w:ind w:left="6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p>
        </w:tc>
        <w:tc>
          <w:tcPr>
            <w:tcW w:w="10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3"/>
                <w:szCs w:val="13"/>
                <w:color w:val="008000"/>
              </w:rPr>
              <w:t>(1)</w:t>
            </w:r>
          </w:p>
        </w:tc>
        <w:tc>
          <w:tcPr>
            <w:tcW w:w="8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3"/>
                <w:szCs w:val="13"/>
                <w:color w:val="008000"/>
              </w:rPr>
              <w:t>(1)</w:t>
            </w:r>
          </w:p>
        </w:tc>
        <w:tc>
          <w:tcPr>
            <w:tcW w:w="1820" w:type="dxa"/>
            <w:vAlign w:val="bottom"/>
            <w:vMerge w:val="restart"/>
          </w:tcPr>
          <w:p>
            <w:pPr>
              <w:jc w:val="right"/>
              <w:ind w:right="220"/>
              <w:spacing w:after="0"/>
              <w:rPr>
                <w:sz w:val="20"/>
                <w:szCs w:val="20"/>
                <w:color w:val="auto"/>
              </w:rPr>
            </w:pPr>
            <w:r>
              <w:rPr>
                <w:rFonts w:ascii="Times New Roman" w:cs="Times New Roman" w:eastAsia="Times New Roman" w:hAnsi="Times New Roman"/>
                <w:sz w:val="20"/>
                <w:szCs w:val="20"/>
                <w:color w:val="0000FF"/>
              </w:rPr>
              <w:t>Ordinary Shares</w:t>
            </w: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67,764,985</w:t>
            </w:r>
          </w:p>
        </w:tc>
        <w:tc>
          <w:tcPr>
            <w:tcW w:w="58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0</w:t>
            </w:r>
          </w:p>
        </w:tc>
        <w:tc>
          <w:tcPr>
            <w:tcW w:w="400" w:type="dxa"/>
            <w:vAlign w:val="bottom"/>
          </w:tcPr>
          <w:p>
            <w:pPr>
              <w:spacing w:after="0"/>
              <w:rPr>
                <w:sz w:val="24"/>
                <w:szCs w:val="24"/>
                <w:color w:val="auto"/>
              </w:rPr>
            </w:pP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(1)</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1320" w:type="dxa"/>
            <w:vAlign w:val="bottom"/>
            <w:tcBorders>
              <w:bottom w:val="single" w:sz="8" w:color="2C2C2C"/>
            </w:tcBorders>
            <w:gridSpan w:val="3"/>
            <w:vMerge w:val="continue"/>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3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Rubric Capital Management LP</w:t>
              </w:r>
            </w:hyperlink>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760" w:type="dxa"/>
            <w:vAlign w:val="bottom"/>
            <w:tcBorders>
              <w:top w:val="single" w:sz="8" w:color="0000EE"/>
              <w:bottom w:val="single" w:sz="8" w:color="9A9A9A"/>
            </w:tcBorders>
          </w:tcPr>
          <w:p>
            <w:pPr>
              <w:spacing w:after="0"/>
              <w:rPr>
                <w:sz w:val="17"/>
                <w:szCs w:val="17"/>
                <w:color w:val="auto"/>
              </w:rPr>
            </w:pPr>
          </w:p>
        </w:tc>
        <w:tc>
          <w:tcPr>
            <w:tcW w:w="760" w:type="dxa"/>
            <w:vAlign w:val="bottom"/>
            <w:tcBorders>
              <w:top w:val="single" w:sz="8" w:color="0000EE"/>
              <w:bottom w:val="single" w:sz="8" w:color="9A9A9A"/>
            </w:tcBorders>
          </w:tcPr>
          <w:p>
            <w:pPr>
              <w:spacing w:after="0"/>
              <w:rPr>
                <w:sz w:val="17"/>
                <w:szCs w:val="17"/>
                <w:color w:val="auto"/>
              </w:rPr>
            </w:pPr>
          </w:p>
        </w:tc>
        <w:tc>
          <w:tcPr>
            <w:tcW w:w="6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060" w:type="dxa"/>
            <w:vAlign w:val="bottom"/>
            <w:gridSpan w:val="3"/>
          </w:tcPr>
          <w:p>
            <w:pPr>
              <w:ind w:left="4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7"/>
              </w:rPr>
              <w:t>155 EAST 44TH ST, SUITE 1630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10017</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gridSpan w:val="2"/>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060" w:type="dxa"/>
            <w:vAlign w:val="bottom"/>
            <w:gridSpan w:val="3"/>
          </w:tcPr>
          <w:p>
            <w:pPr>
              <w:ind w:left="40"/>
              <w:spacing w:after="0"/>
              <w:rPr>
                <w:sz w:val="20"/>
                <w:szCs w:val="20"/>
                <w:color w:val="auto"/>
              </w:rPr>
            </w:pPr>
            <w:r>
              <w:rPr>
                <w:rFonts w:ascii="Arial" w:cs="Arial" w:eastAsia="Arial" w:hAnsi="Arial"/>
                <w:sz w:val="15"/>
                <w:szCs w:val="15"/>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gridSpan w:val="2"/>
          </w:tcPr>
          <w:p>
            <w:pPr>
              <w:spacing w:after="0"/>
              <w:rPr>
                <w:sz w:val="8"/>
                <w:szCs w:val="8"/>
                <w:color w:val="auto"/>
              </w:rPr>
            </w:pPr>
          </w:p>
        </w:tc>
        <w:tc>
          <w:tcPr>
            <w:tcW w:w="110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3"/>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Rosen David Efraim</w:t>
              </w:r>
            </w:hyperlink>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76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060" w:type="dxa"/>
            <w:vAlign w:val="bottom"/>
            <w:gridSpan w:val="3"/>
          </w:tcPr>
          <w:p>
            <w:pPr>
              <w:ind w:left="4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7"/>
              </w:rPr>
              <w:t>155 EAST 44TH ST, SUITE 1630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10017</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gridSpan w:val="2"/>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060" w:type="dxa"/>
            <w:vAlign w:val="bottom"/>
            <w:gridSpan w:val="3"/>
          </w:tcPr>
          <w:p>
            <w:pPr>
              <w:ind w:left="40"/>
              <w:spacing w:after="0"/>
              <w:rPr>
                <w:sz w:val="20"/>
                <w:szCs w:val="20"/>
                <w:color w:val="auto"/>
              </w:rPr>
            </w:pPr>
            <w:r>
              <w:rPr>
                <w:rFonts w:ascii="Arial" w:cs="Arial" w:eastAsia="Arial" w:hAnsi="Arial"/>
                <w:sz w:val="15"/>
                <w:szCs w:val="15"/>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1. Each ADS represents five (5) Ordinary Shares.</w:t>
      </w:r>
    </w:p>
    <w:p>
      <w:pPr>
        <w:sectPr>
          <w:pgSz w:w="11900" w:h="16900" w:orient="portrait"/>
          <w:cols w:equalWidth="0" w:num="1">
            <w:col w:w="10940"/>
          </w:cols>
          <w:pgMar w:left="480" w:top="230" w:right="479" w:bottom="0" w:gutter="0" w:footer="0" w:header="0"/>
          <w:type w:val="continuous"/>
        </w:sectPr>
      </w:pPr>
    </w:p>
    <w:bookmarkStart w:id="1" w:name="page2"/>
    <w:bookmarkEnd w:id="1"/>
    <w:p>
      <w:pPr>
        <w:ind w:firstLine="5"/>
        <w:spacing w:after="0" w:line="237"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filed by Rubric Capital Management LP ("Rubric Capital") and Mr. David Rosen, with respect to the securities held by certain funds and/or accounts (collectively, the "Rubric Vehicles"). Rubric Capital serves as the investment adviser to the Rubric Vehicles. Mr. David Rosen serves as the Managing Member of Rubric Capital Management GP, LLC, the general partner of Rubric Capital. The filing of this statement shall not be deemed an admission that any Reporting Person is the beneficial owner of the securities reported herein for purposes of Section 16 of the Securities Act of 1934, as amended, or otherwise. Each Reporting Person expressly disclaims beneficial ownership of the securities reported herein except to the extent of its or his pecuniary interest therein.</w:t>
      </w:r>
    </w:p>
    <w:p>
      <w:pPr>
        <w:spacing w:after="0" w:line="43"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Rubric Capital</w:t>
            </w:r>
          </w:p>
        </w:tc>
        <w:tc>
          <w:tcPr>
            <w:tcW w:w="1040" w:type="dxa"/>
            <w:vAlign w:val="bottom"/>
            <w:gridSpan w:val="5"/>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80" w:type="dxa"/>
            <w:vAlign w:val="bottom"/>
            <w:tcBorders>
              <w:bottom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5"/>
              </w:rPr>
              <w:t>Management LP, By: /s/</w:t>
            </w:r>
          </w:p>
        </w:tc>
        <w:tc>
          <w:tcPr>
            <w:tcW w:w="3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01/02/2024</w:t>
            </w:r>
          </w:p>
        </w:tc>
        <w:tc>
          <w:tcPr>
            <w:tcW w:w="0" w:type="dxa"/>
            <w:vAlign w:val="bottom"/>
          </w:tcPr>
          <w:p>
            <w:pPr>
              <w:spacing w:after="0"/>
              <w:rPr>
                <w:sz w:val="1"/>
                <w:szCs w:val="1"/>
                <w:color w:val="auto"/>
              </w:rPr>
            </w:pPr>
          </w:p>
        </w:tc>
      </w:tr>
      <w:tr>
        <w:trPr>
          <w:trHeight w:val="105"/>
        </w:trPr>
        <w:tc>
          <w:tcPr>
            <w:tcW w:w="2180" w:type="dxa"/>
            <w:vAlign w:val="bottom"/>
            <w:gridSpan w:val="6"/>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Michael Nachmani, its</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180" w:type="dxa"/>
            <w:vAlign w:val="bottom"/>
            <w:gridSpan w:val="6"/>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Chief Operating Officer</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David Rosen</w:t>
            </w:r>
          </w:p>
        </w:tc>
        <w:tc>
          <w:tcPr>
            <w:tcW w:w="620" w:type="dxa"/>
            <w:vAlign w:val="bottom"/>
            <w:tcBorders>
              <w:top w:val="single" w:sz="8" w:color="auto"/>
            </w:tcBorders>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01/02/2024</w:t>
            </w:r>
          </w:p>
        </w:tc>
        <w:tc>
          <w:tcPr>
            <w:tcW w:w="0" w:type="dxa"/>
            <w:vAlign w:val="bottom"/>
          </w:tcPr>
          <w:p>
            <w:pPr>
              <w:spacing w:after="0"/>
              <w:rPr>
                <w:sz w:val="1"/>
                <w:szCs w:val="1"/>
                <w:color w:val="auto"/>
              </w:rPr>
            </w:pP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20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20" w:top="18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87509" TargetMode="External"/><Relationship Id="rId11" Type="http://schemas.openxmlformats.org/officeDocument/2006/relationships/hyperlink" Target="http://www.sec.gov/cgi-bin/browse-edgar?action=getcompany&amp;CIK=0001719714" TargetMode="External"/><Relationship Id="rId12" Type="http://schemas.openxmlformats.org/officeDocument/2006/relationships/hyperlink" Target="http://www.sec.gov/cgi-bin/browse-edgar?action=getcompany&amp;CIK=00018986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2024-01-02T15:03:43Z</dcterms:created>
  <dcterms:modified xsi:type="dcterms:W3CDTF">2024-01-02T15:03:43Z</dcterms:modified>
</cp:coreProperties>
</file>