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ind w:left="660" w:right="760"/>
        <w:spacing w:after="0" w:line="261" w:lineRule="auto"/>
        <w:rPr>
          <w:sz w:val="20"/>
          <w:szCs w:val="20"/>
          <w:color w:val="auto"/>
        </w:rPr>
      </w:pPr>
      <w:r>
        <w:rPr>
          <w:rFonts w:ascii="Times New Roman" w:cs="Times New Roman" w:eastAsia="Times New Roman" w:hAnsi="Times New Roman"/>
          <w:sz w:val="18"/>
          <w:szCs w:val="18"/>
          <w:color w:val="auto"/>
        </w:rPr>
        <w:t>On May 14, 2026, Mereo BioPharma Group plc (the “Company”) held its 2026 Annual General Meeting of Shareholders (the “AGM”), and all resolutions were passed as proposed. Of the ordinary shares entitled to vote, there were 436,766,255 ordinary shares represented in person or by proxy at the AGM. The matters voted upon at the AGM, and the final results of such voting are set forth below. A “vote withheld” is not a vote in law and votes withheld had no effect on the proposals.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1</w:t>
      </w:r>
    </w:p>
    <w:p>
      <w:pPr>
        <w:spacing w:after="0" w:line="229" w:lineRule="exact"/>
        <w:rPr>
          <w:sz w:val="20"/>
          <w:szCs w:val="20"/>
          <w:color w:val="auto"/>
        </w:rPr>
      </w:pPr>
    </w:p>
    <w:p>
      <w:pPr>
        <w:ind w:left="660" w:right="1240"/>
        <w:spacing w:after="0" w:line="282" w:lineRule="auto"/>
        <w:rPr>
          <w:sz w:val="20"/>
          <w:szCs w:val="20"/>
          <w:color w:val="auto"/>
        </w:rPr>
      </w:pPr>
      <w:r>
        <w:rPr>
          <w:rFonts w:ascii="Times New Roman" w:cs="Times New Roman" w:eastAsia="Times New Roman" w:hAnsi="Times New Roman"/>
          <w:sz w:val="18"/>
          <w:szCs w:val="18"/>
          <w:color w:val="auto"/>
        </w:rPr>
        <w:t>That the annual report and accounts for the year ended December 31, 2025, together with the directors’ report and independent auditor’s report thereon, be received and adopted.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311,388,645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98.29%</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5,412,060</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119,965,550</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2</w:t>
      </w:r>
    </w:p>
    <w:p>
      <w:pPr>
        <w:spacing w:after="0" w:line="229" w:lineRule="exact"/>
        <w:rPr>
          <w:sz w:val="20"/>
          <w:szCs w:val="20"/>
          <w:color w:val="auto"/>
        </w:rPr>
      </w:pPr>
    </w:p>
    <w:p>
      <w:pPr>
        <w:ind w:left="660" w:right="980"/>
        <w:spacing w:after="0" w:line="312" w:lineRule="auto"/>
        <w:rPr>
          <w:sz w:val="20"/>
          <w:szCs w:val="20"/>
          <w:color w:val="auto"/>
        </w:rPr>
      </w:pPr>
      <w:r>
        <w:rPr>
          <w:rFonts w:ascii="Times New Roman" w:cs="Times New Roman" w:eastAsia="Times New Roman" w:hAnsi="Times New Roman"/>
          <w:sz w:val="17"/>
          <w:szCs w:val="17"/>
          <w:color w:val="auto"/>
        </w:rPr>
        <w:t>That PricewaterhouseCoopers LLP (“PwC”) be re-appointed as auditors to hold office from the conclusion of the annual general meeting until the conclusion of the next annual general meeting at which the Company’s annual report and accounts are presented.</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429,804,470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98.59%</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6,156,620</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805,165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Audit and Risk Committee be authorized to determine PwC’s remuneration for the fiscal year ending December 31, 2026.</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311,313,685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98.22%</w:t>
            </w:r>
          </w:p>
        </w:tc>
        <w:tc>
          <w:tcPr>
            <w:tcW w:w="26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5,656,600</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119,795,970</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4</w:t>
      </w:r>
    </w:p>
    <w:p>
      <w:pPr>
        <w:spacing w:after="0" w:line="229" w:lineRule="exact"/>
        <w:rPr>
          <w:sz w:val="20"/>
          <w:szCs w:val="20"/>
          <w:color w:val="auto"/>
        </w:rPr>
      </w:pPr>
    </w:p>
    <w:p>
      <w:pPr>
        <w:ind w:left="660" w:right="800"/>
        <w:spacing w:after="0" w:line="282" w:lineRule="auto"/>
        <w:rPr>
          <w:sz w:val="20"/>
          <w:szCs w:val="20"/>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2025, be approved.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295,564,225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93.35%</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21,038,465</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120,163,565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5</w:t>
      </w:r>
    </w:p>
    <w:p>
      <w:pPr>
        <w:spacing w:after="0" w:line="229"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That the directors’ remuneration policy as set out in the Company’s annual report and accounts for the year ended December 31, 2025, which takes effect from the end of the annual general meeting, be approved.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290,456,675</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91.74%</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26,150,725</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120,158,855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the compensation of the Company's named executive officers be approved, on an advisory (non-binding)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35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2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660" w:type="dxa"/>
            <w:vAlign w:val="bottom"/>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290,149,130</w:t>
            </w:r>
          </w:p>
        </w:tc>
        <w:tc>
          <w:tcPr>
            <w:tcW w:w="260" w:type="dxa"/>
            <w:vAlign w:val="bottom"/>
          </w:tcPr>
          <w:p>
            <w:pPr>
              <w:spacing w:after="0"/>
              <w:rPr>
                <w:sz w:val="19"/>
                <w:szCs w:val="19"/>
                <w:color w:val="auto"/>
              </w:rPr>
            </w:pPr>
          </w:p>
        </w:tc>
        <w:tc>
          <w:tcPr>
            <w:tcW w:w="15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91.71%</w:t>
            </w:r>
          </w:p>
        </w:tc>
        <w:tc>
          <w:tcPr>
            <w:tcW w:w="260" w:type="dxa"/>
            <w:vAlign w:val="bottom"/>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26,223,920</w:t>
            </w:r>
          </w:p>
        </w:tc>
        <w:tc>
          <w:tcPr>
            <w:tcW w:w="260" w:type="dxa"/>
            <w:vAlign w:val="bottom"/>
          </w:tcPr>
          <w:p>
            <w:pPr>
              <w:spacing w:after="0"/>
              <w:rPr>
                <w:sz w:val="19"/>
                <w:szCs w:val="19"/>
                <w:color w:val="auto"/>
              </w:rPr>
            </w:pPr>
          </w:p>
        </w:tc>
        <w:tc>
          <w:tcPr>
            <w:tcW w:w="15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Pr>
          <w:p>
            <w:pPr>
              <w:spacing w:after="0"/>
              <w:rPr>
                <w:sz w:val="19"/>
                <w:szCs w:val="19"/>
                <w:color w:val="auto"/>
              </w:rPr>
            </w:pPr>
          </w:p>
        </w:tc>
        <w:tc>
          <w:tcPr>
            <w:tcW w:w="15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120,393,205</w:t>
            </w:r>
          </w:p>
        </w:tc>
        <w:tc>
          <w:tcPr>
            <w:tcW w:w="2020" w:type="dxa"/>
            <w:vAlign w:val="bottom"/>
          </w:tcPr>
          <w:p>
            <w:pPr>
              <w:spacing w:after="0"/>
              <w:rPr>
                <w:sz w:val="19"/>
                <w:szCs w:val="19"/>
                <w:color w:val="auto"/>
              </w:rPr>
            </w:pPr>
          </w:p>
        </w:tc>
      </w:tr>
      <w:tr>
        <w:trPr>
          <w:trHeight w:val="1973"/>
        </w:trPr>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tbl>
      <w:tblPr>
        <w:tblLayout w:type="fixed"/>
        <w:tblInd w:w="66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 7</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That Justin Roberts be re-appointed as a director of the Company.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295,886,535</w:t>
            </w:r>
          </w:p>
        </w:tc>
        <w:tc>
          <w:tcPr>
            <w:tcW w:w="2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93.77%</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19,670,940</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121,208,780</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8</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Dr. Daniel Shames be re-appointed as a director of the Company.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297,469,530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94.27%</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18,085,670</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121,211,055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9</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Marc Yoskowitz be re-appointed as a director of the Company.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297,750,480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94.32%</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17,929,525</w:t>
            </w:r>
          </w:p>
        </w:tc>
        <w:tc>
          <w:tcPr>
            <w:tcW w:w="26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121,086,250</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10</w:t>
      </w:r>
    </w:p>
    <w:p>
      <w:pPr>
        <w:spacing w:after="0" w:line="229" w:lineRule="exact"/>
        <w:rPr>
          <w:sz w:val="20"/>
          <w:szCs w:val="20"/>
          <w:color w:val="auto"/>
        </w:rPr>
      </w:pPr>
    </w:p>
    <w:p>
      <w:pPr>
        <w:ind w:left="660" w:right="820"/>
        <w:spacing w:after="0" w:line="261" w:lineRule="auto"/>
        <w:rPr>
          <w:sz w:val="20"/>
          <w:szCs w:val="20"/>
          <w:color w:val="auto"/>
        </w:rPr>
      </w:pPr>
      <w:r>
        <w:rPr>
          <w:rFonts w:ascii="Times New Roman" w:cs="Times New Roman" w:eastAsia="Times New Roman" w:hAnsi="Times New Roman"/>
          <w:sz w:val="18"/>
          <w:szCs w:val="18"/>
          <w:color w:val="auto"/>
        </w:rPr>
        <w:t>That the Directors are authorized in accordance with section 551 of the Companies Act 2006 to allot shares in the Company and to grant rights to subscribe for or convert any security into shares in the Company up to a maximum nominal amount of £3,591,354.73. The authority set out in Resolution 10 will expire on June 30, 2029 and would replace the existing authority granted at the general meeting of the Company held on May 22, 2023 to the extent not utilized at the date this Resolution is passed.</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254,728,730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80.54%</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61,529,760</w:t>
            </w:r>
          </w:p>
        </w:tc>
        <w:tc>
          <w:tcPr>
            <w:tcW w:w="260" w:type="dxa"/>
            <w:vAlign w:val="bottom"/>
          </w:tcPr>
          <w:p>
            <w:pPr>
              <w:spacing w:after="0"/>
              <w:rPr>
                <w:sz w:val="19"/>
                <w:szCs w:val="19"/>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19.46%</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120,507,765</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Resolution 11</w:t>
      </w:r>
    </w:p>
    <w:p>
      <w:pPr>
        <w:spacing w:after="0" w:line="229" w:lineRule="exact"/>
        <w:rPr>
          <w:sz w:val="20"/>
          <w:szCs w:val="20"/>
          <w:color w:val="auto"/>
        </w:rPr>
      </w:pPr>
    </w:p>
    <w:p>
      <w:pPr>
        <w:ind w:left="660" w:right="960"/>
        <w:spacing w:after="0" w:line="282" w:lineRule="auto"/>
        <w:rPr>
          <w:sz w:val="20"/>
          <w:szCs w:val="20"/>
          <w:color w:val="auto"/>
        </w:rPr>
      </w:pPr>
      <w:r>
        <w:rPr>
          <w:rFonts w:ascii="Times New Roman" w:cs="Times New Roman" w:eastAsia="Times New Roman" w:hAnsi="Times New Roman"/>
          <w:sz w:val="18"/>
          <w:szCs w:val="18"/>
          <w:color w:val="auto"/>
        </w:rPr>
        <w:t>That, subject to Resolution 10 being passed, the Directors are authorized to allot shares for cash on a non-pre-emptive basis up to a maximum nominal amount of £3,591,354.73. The authority set out in Resolution 11 will expire on June 30, 2029.</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Vote for</w:t>
            </w:r>
          </w:p>
        </w:tc>
        <w:tc>
          <w:tcPr>
            <w:tcW w:w="2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Votes against</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of shares voted</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r>
      <w:tr>
        <w:trPr>
          <w:trHeight w:val="27"/>
        </w:trPr>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8"/>
        </w:trPr>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254,938,500</w:t>
            </w:r>
          </w:p>
        </w:tc>
        <w:tc>
          <w:tcPr>
            <w:tcW w:w="2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80.59%</w:t>
            </w:r>
          </w:p>
        </w:tc>
        <w:tc>
          <w:tcPr>
            <w:tcW w:w="26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61,391,160</w:t>
            </w:r>
          </w:p>
        </w:tc>
        <w:tc>
          <w:tcPr>
            <w:tcW w:w="260" w:type="dxa"/>
            <w:vAlign w:val="bottom"/>
          </w:tcPr>
          <w:p>
            <w:pPr>
              <w:spacing w:after="0"/>
              <w:rPr>
                <w:sz w:val="19"/>
                <w:szCs w:val="19"/>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19.41%</w:t>
            </w:r>
          </w:p>
        </w:tc>
        <w:tc>
          <w:tcPr>
            <w:tcW w:w="26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120,436,595</w:t>
            </w:r>
          </w:p>
        </w:tc>
      </w:tr>
    </w:tbl>
    <w:p>
      <w:pPr>
        <w:spacing w:after="0" w:line="220" w:lineRule="exact"/>
        <w:rPr>
          <w:sz w:val="20"/>
          <w:szCs w:val="20"/>
          <w:color w:val="auto"/>
        </w:rPr>
      </w:pPr>
    </w:p>
    <w:p>
      <w:pPr>
        <w:ind w:left="660" w:right="82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approved Resolutions 1, 2, 3, 4, 5, 6, 10 and 11 and re-elected each of Justin Roberts, Dr. Daniel Shames and Marc Yoskowitz.</w:t>
      </w:r>
    </w:p>
    <w:p>
      <w:pPr>
        <w:spacing w:after="0" w:line="9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8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75"/>
        </w:trPr>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1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59"/>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14, 2026</w:t>
            </w:r>
          </w:p>
        </w:tc>
        <w:tc>
          <w:tcPr>
            <w:tcW w:w="71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By:  /s/ Charles Sermon</w:t>
            </w:r>
          </w:p>
        </w:tc>
      </w:tr>
      <w:tr>
        <w:trPr>
          <w:trHeight w:val="191"/>
        </w:trPr>
        <w:tc>
          <w:tcPr>
            <w:tcW w:w="38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660" w:type="dxa"/>
            <w:vAlign w:val="bottom"/>
          </w:tcPr>
          <w:p>
            <w:pPr>
              <w:spacing w:after="0"/>
              <w:rPr>
                <w:sz w:val="16"/>
                <w:szCs w:val="16"/>
                <w:color w:val="auto"/>
              </w:rPr>
            </w:pPr>
          </w:p>
        </w:tc>
      </w:tr>
      <w:tr>
        <w:trPr>
          <w:trHeight w:val="234"/>
        </w:trPr>
        <w:tc>
          <w:tcPr>
            <w:tcW w:w="3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1303"/>
        </w:trPr>
        <w:tc>
          <w:tcPr>
            <w:tcW w:w="38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2026-05-14T09:24:01Z</dcterms:created>
  <dcterms:modified xsi:type="dcterms:W3CDTF">2026-05-14T09:24:01Z</dcterms:modified>
</cp:coreProperties>
</file>