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mreo-20260630.htm"/>
        <w:bookmarkStart w:id="1" w:name="ksmreo20260630"/>
        <w:bookmarkEnd w:id="0"/>
        <w:bookmarkEnd w:id="1"/>
        <w:r>
          <w:rPr>
            <w:rStyle w:val="InternetLink"/>
            <w:rFonts w:ascii="Times New Roman" w:hAnsi="Times New Roman"/>
            <w:b/>
            <w:color w:val="0000FF"/>
            <w:sz w:val="20"/>
            <w:u w:val="single"/>
          </w:rPr>
          <w:t>Table of Contents</w:t>
        </w:r>
      </w:hyperlink>
    </w:p>
    <w:p>
      <w:pPr>
        <w:pStyle w:val="TextBody"/>
        <w:pBdr>
          <w:top w:val="doub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40" w:after="283"/>
        <w:jc w:val="center"/>
        <w:rPr>
          <w:rFonts w:ascii="Times New Roman" w:hAnsi="Times New Roman"/>
          <w:b/>
          <w:color w:val="000000"/>
          <w:sz w:val="28"/>
        </w:rPr>
      </w:pPr>
      <w:r>
        <w:rPr>
          <w:rFonts w:ascii="Times New Roman" w:hAnsi="Times New Roman"/>
          <w:b/>
          <w:color w:val="000000"/>
          <w:sz w:val="28"/>
        </w:rPr>
        <w:t>FORM 10-Q</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19"/>
        </w:rPr>
      </w:pPr>
      <w:r>
        <w:rPr>
          <w:rFonts w:ascii="Times New Roman" w:hAnsi="Times New Roman"/>
          <w:b/>
          <w:color w:val="000000"/>
          <w:sz w:val="19"/>
        </w:rPr>
        <w:t>For the quarterly period ended June 30, 2026</w:t>
      </w:r>
    </w:p>
    <w:p>
      <w:pPr>
        <w:pStyle w:val="TextBody"/>
        <w:bidi w:val="0"/>
        <w:spacing w:before="40" w:after="283"/>
        <w:jc w:val="center"/>
        <w:rPr>
          <w:rFonts w:ascii="Times New Roman" w:hAnsi="Times New Roman"/>
          <w:b/>
          <w:color w:val="000000"/>
          <w:sz w:val="19"/>
        </w:rPr>
      </w:pPr>
      <w:r>
        <w:rPr>
          <w:rFonts w:ascii="Times New Roman" w:hAnsi="Times New Roman"/>
          <w:b/>
          <w:color w:val="000000"/>
          <w:sz w:val="19"/>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9"/>
        </w:rPr>
        <w:t>For the transition period from to</w:t>
      </w:r>
      <w:r>
        <w:rPr>
          <w:rFonts w:ascii="Times New Roman" w:hAnsi="Times New Roman"/>
          <w:color w:val="000000"/>
          <w:sz w:val="20"/>
        </w:rPr>
        <w:t xml:space="preserve"> </w:t>
      </w:r>
    </w:p>
    <w:p>
      <w:pPr>
        <w:pStyle w:val="TextBody"/>
        <w:bidi w:val="0"/>
        <w:jc w:val="center"/>
        <w:rPr>
          <w:rFonts w:ascii="Times New Roman" w:hAnsi="Times New Roman"/>
          <w:b/>
          <w:color w:val="000000"/>
          <w:sz w:val="19"/>
        </w:rPr>
      </w:pPr>
      <w:r>
        <w:rPr>
          <w:rFonts w:ascii="Times New Roman" w:hAnsi="Times New Roman"/>
          <w:b/>
          <w:color w:val="000000"/>
          <w:sz w:val="19"/>
        </w:rPr>
        <w:t>Commission File Number 001-38452</w:t>
      </w:r>
    </w:p>
    <w:p>
      <w:pPr>
        <w:pStyle w:val="TextBody"/>
        <w:bidi w:val="0"/>
        <w:spacing w:before="40" w:after="283"/>
        <w:jc w:val="center"/>
        <w:rPr>
          <w:rFonts w:ascii="Times New Roman" w:hAnsi="Times New Roman"/>
          <w:b/>
          <w:color w:val="000000"/>
          <w:sz w:val="28"/>
        </w:rPr>
      </w:pPr>
      <w:r>
        <w:rPr>
          <w:rFonts w:ascii="Times New Roman" w:hAnsi="Times New Roman"/>
          <w:b/>
          <w:color w:val="000000"/>
          <w:sz w:val="28"/>
        </w:rPr>
        <w:t>MEREO BIOPHARMA GROUP PLC</w:t>
      </w:r>
    </w:p>
    <w:p>
      <w:pPr>
        <w:pStyle w:val="TextBody"/>
        <w:bidi w:val="0"/>
        <w:jc w:val="center"/>
        <w:rPr>
          <w:rFonts w:ascii="Times New Roman" w:hAnsi="Times New Roman"/>
          <w:color w:val="000000"/>
          <w:sz w:val="19"/>
        </w:rPr>
      </w:pPr>
      <w:r>
        <w:rPr>
          <w:rFonts w:ascii="Times New Roman" w:hAnsi="Times New Roman"/>
          <w:color w:val="000000"/>
          <w:sz w:val="19"/>
        </w:rPr>
        <w:t>(Exact name of Registrant as specified in its charter)</w:t>
      </w:r>
    </w:p>
    <w:p>
      <w:pPr>
        <w:pStyle w:val="TextBody"/>
        <w:bidi w:val="0"/>
        <w:jc w:val="left"/>
        <w:rPr/>
      </w:pPr>
      <w:r>
        <w:rPr/>
        <w:t> </w:t>
      </w:r>
    </w:p>
    <w:tbl>
      <w:tblPr>
        <w:tblW w:w="8278" w:type="dxa"/>
        <w:jc w:val="left"/>
        <w:tblInd w:w="0" w:type="dxa"/>
        <w:tblLayout w:type="fixed"/>
        <w:tblCellMar>
          <w:top w:w="28" w:type="dxa"/>
          <w:left w:w="28" w:type="dxa"/>
          <w:bottom w:w="28" w:type="dxa"/>
          <w:right w:w="28" w:type="dxa"/>
        </w:tblCellMar>
      </w:tblPr>
      <w:tblGrid>
        <w:gridCol w:w="4291"/>
        <w:gridCol w:w="146"/>
        <w:gridCol w:w="384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England and Wales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 Applicable</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(I.R.S. Employer Identification No.)</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8"/>
              </w:rPr>
              <w:t>One Cavendish Place,</w:t>
            </w:r>
            <w:r>
              <w:rPr>
                <w:rFonts w:ascii="Times New Roman" w:hAnsi="Times New Roman"/>
                <w:color w:val="000000"/>
                <w:sz w:val="20"/>
              </w:rPr>
              <w:t xml:space="preserve"> </w:t>
            </w:r>
            <w:r>
              <w:rPr>
                <w:rFonts w:ascii="Times New Roman" w:hAnsi="Times New Roman"/>
                <w:b/>
                <w:color w:val="000000"/>
                <w:sz w:val="18"/>
              </w:rPr>
              <w:t>4th Floor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8"/>
              </w:rPr>
              <w:t>London,</w:t>
            </w:r>
            <w:r>
              <w:rPr>
                <w:rFonts w:ascii="Times New Roman" w:hAnsi="Times New Roman"/>
                <w:color w:val="000000"/>
                <w:sz w:val="20"/>
              </w:rPr>
              <w:t xml:space="preserve"> </w:t>
            </w:r>
            <w:r>
              <w:rPr>
                <w:rFonts w:ascii="Times New Roman" w:hAnsi="Times New Roman"/>
                <w:b/>
                <w:color w:val="000000"/>
                <w:sz w:val="18"/>
              </w:rPr>
              <w:t>W1G 0QF</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United Kingdom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8"/>
              </w:rPr>
              <w:t>+44-333-023-7300</w:t>
            </w:r>
            <w:r>
              <w:rPr>
                <w:rFonts w:ascii="Times New Roman" w:hAnsi="Times New Roman"/>
                <w:color w:val="000000"/>
                <w:sz w:val="20"/>
              </w:rPr>
              <w:t xml:space="preserve"> </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(Registrant’s telephone number, including area code)</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02"/>
        <w:gridCol w:w="146"/>
        <w:gridCol w:w="1277"/>
        <w:gridCol w:w="146"/>
        <w:gridCol w:w="2734"/>
      </w:tblGrid>
      <w:tr>
        <w:trPr/>
        <w:tc>
          <w:tcPr>
            <w:tcW w:w="5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59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590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American Depositary Shares, each representing five ordinary shares, nominal value of £0.003 per share</w:t>
            </w:r>
          </w:p>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Ordinary Shares, nominal value of £0.003 per share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MREO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34"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 xml:space="preserve">The Nasdaq Stock Market LLC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 Not for trading, but only in connection with the registration of American Depositary Shares representing such Ordinary Shares pursuant to the requirements of the U.S. Securities and Exchange Commission.</w:t>
      </w:r>
    </w:p>
    <w:p>
      <w:pPr>
        <w:pStyle w:val="TextBody"/>
        <w:bidi w:val="0"/>
        <w:jc w:val="center"/>
        <w:rPr>
          <w:rFonts w:ascii="Times New Roman" w:hAnsi="Times New Roman"/>
          <w:color w:val="000000"/>
          <w:sz w:val="19"/>
        </w:rPr>
      </w:pPr>
      <w:r>
        <w:rPr>
          <w:rFonts w:ascii="Times New Roman" w:hAnsi="Times New Roman"/>
          <w:color w:val="000000"/>
          <w:sz w:val="19"/>
        </w:rPr>
        <w:t>Securities registered pursuant to Section 12(g) of the Act:</w:t>
      </w:r>
    </w:p>
    <w:p>
      <w:pPr>
        <w:pStyle w:val="TextBody"/>
        <w:bidi w:val="0"/>
        <w:jc w:val="center"/>
        <w:rPr>
          <w:rFonts w:ascii="Times New Roman" w:hAnsi="Times New Roman"/>
          <w:b/>
          <w:color w:val="000000"/>
          <w:sz w:val="19"/>
        </w:rPr>
      </w:pPr>
      <w:r>
        <w:rPr>
          <w:rFonts w:ascii="Times New Roman" w:hAnsi="Times New Roman"/>
          <w:b/>
          <w:color w:val="000000"/>
          <w:sz w:val="19"/>
        </w:rPr>
        <w:t>None</w:t>
      </w:r>
    </w:p>
    <w:p>
      <w:pPr>
        <w:pStyle w:val="TextBody"/>
        <w:bidi w:val="0"/>
        <w:spacing w:before="40" w:after="283"/>
        <w:jc w:val="left"/>
        <w:rPr>
          <w:rFonts w:ascii="Times New Roman" w:hAnsi="Times New Roman"/>
          <w:sz w:val="20"/>
        </w:rPr>
      </w:pPr>
      <w:r>
        <w:rPr>
          <w:rFonts w:ascii="Times New Roman" w:hAnsi="Times New Roman"/>
          <w:color w:val="000000"/>
          <w:sz w:val="1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olor w:val="000000"/>
          <w:sz w:val="20"/>
        </w:rPr>
        <w:t xml:space="preserve">☒ </w:t>
      </w:r>
      <w:r>
        <w:rPr>
          <w:rFonts w:ascii="Times New Roman" w:hAnsi="Times New Roman"/>
          <w:color w:val="000000"/>
          <w:sz w:val="19"/>
        </w:rPr>
        <w:t>Yes</w:t>
      </w:r>
      <w:r>
        <w:rPr>
          <w:rFonts w:ascii="Times New Roman" w:hAnsi="Times New Roman"/>
          <w:color w:val="000000"/>
          <w:sz w:val="20"/>
        </w:rPr>
        <w:t xml:space="preserve"> ☐ </w:t>
      </w:r>
      <w:r>
        <w:rPr>
          <w:rFonts w:ascii="Times New Roman" w:hAnsi="Times New Roman"/>
          <w:color w:val="000000"/>
          <w:sz w:val="19"/>
        </w:rPr>
        <w:t>No</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9"/>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hAnsi="Times New Roman"/>
          <w:color w:val="000000"/>
          <w:sz w:val="20"/>
        </w:rPr>
        <w:t xml:space="preserve">☒ </w:t>
      </w:r>
      <w:r>
        <w:rPr>
          <w:rFonts w:ascii="Times New Roman" w:hAnsi="Times New Roman"/>
          <w:color w:val="000000"/>
          <w:sz w:val="19"/>
        </w:rPr>
        <w:t>Yes</w:t>
      </w:r>
      <w:r>
        <w:rPr>
          <w:rFonts w:ascii="Times New Roman" w:hAnsi="Times New Roman"/>
          <w:color w:val="000000"/>
          <w:sz w:val="20"/>
        </w:rPr>
        <w:t xml:space="preserve"> ☐ </w:t>
      </w:r>
      <w:r>
        <w:rPr>
          <w:rFonts w:ascii="Times New Roman" w:hAnsi="Times New Roman"/>
          <w:color w:val="000000"/>
          <w:sz w:val="19"/>
        </w:rPr>
        <w:t>No</w:t>
      </w:r>
    </w:p>
    <w:p>
      <w:pPr>
        <w:pStyle w:val="TextBody"/>
        <w:bidi w:val="0"/>
        <w:spacing w:before="40" w:after="283"/>
        <w:jc w:val="left"/>
        <w:rPr/>
      </w:pPr>
      <w:r>
        <w:rPr/>
        <w:t> </w:t>
      </w:r>
    </w:p>
    <w:p>
      <w:pPr>
        <w:pStyle w:val="TextBody"/>
        <w:bidi w:val="0"/>
        <w:jc w:val="left"/>
        <w:rPr>
          <w:rFonts w:ascii="Times New Roman" w:hAnsi="Times New Roman"/>
          <w:sz w:val="20"/>
        </w:rPr>
      </w:pPr>
      <w:r>
        <w:rPr>
          <w:rFonts w:ascii="Times New Roman" w:hAnsi="Times New Roman"/>
          <w:color w:val="000000"/>
          <w:sz w:val="19"/>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br/>
      </w:r>
      <w:r>
        <w:rPr>
          <w:rFonts w:ascii="Times New Roman" w:hAnsi="Times New Roman"/>
          <w:color w:val="000000"/>
          <w:sz w:val="20"/>
        </w:rPr>
        <w:t> </w:t>
      </w:r>
    </w:p>
    <w:tbl>
      <w:tblPr>
        <w:tblW w:w="8269" w:type="dxa"/>
        <w:jc w:val="left"/>
        <w:tblInd w:w="0" w:type="dxa"/>
        <w:tblLayout w:type="fixed"/>
        <w:tblCellMar>
          <w:top w:w="28" w:type="dxa"/>
          <w:left w:w="28" w:type="dxa"/>
          <w:bottom w:w="28" w:type="dxa"/>
          <w:right w:w="28" w:type="dxa"/>
        </w:tblCellMar>
      </w:tblPr>
      <w:tblGrid>
        <w:gridCol w:w="2071"/>
        <w:gridCol w:w="1591"/>
        <w:gridCol w:w="2026"/>
        <w:gridCol w:w="2581"/>
      </w:tblGrid>
      <w:tr>
        <w:trPr/>
        <w:tc>
          <w:tcPr>
            <w:tcW w:w="207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Large accelerated filer </w:t>
            </w:r>
          </w:p>
        </w:tc>
        <w:tc>
          <w:tcPr>
            <w:tcW w:w="1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Accelerated filer </w:t>
            </w:r>
          </w:p>
        </w:tc>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Non-accelerated filer ☒</w:t>
            </w:r>
          </w:p>
        </w:tc>
        <w:tc>
          <w:tcPr>
            <w:tcW w:w="2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Smaller reporting company ☒</w:t>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Emerging growth company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color w:val="000000"/>
          <w:sz w:val="20"/>
        </w:rPr>
        <w:t></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9"/>
        </w:rPr>
        <w:t xml:space="preserve">Indicate by check mark whether the registrant is a shell company (as defined in Rule 12b-2 of the Act). </w:t>
      </w:r>
      <w:r>
        <w:rPr>
          <w:rFonts w:ascii="Times New Roman" w:hAnsi="Times New Roman"/>
          <w:color w:val="000000"/>
          <w:sz w:val="20"/>
        </w:rPr>
        <w:t xml:space="preserve"> </w:t>
      </w:r>
      <w:r>
        <w:rPr>
          <w:rFonts w:ascii="Times New Roman" w:hAnsi="Times New Roman"/>
          <w:color w:val="000000"/>
          <w:sz w:val="19"/>
        </w:rPr>
        <w:t xml:space="preserve">Yes </w:t>
      </w:r>
      <w:r>
        <w:rPr>
          <w:rFonts w:ascii="Times New Roman" w:hAnsi="Times New Roman"/>
          <w:color w:val="000000"/>
          <w:sz w:val="20"/>
        </w:rPr>
        <w:t xml:space="preserve">☒ </w:t>
      </w:r>
      <w:r>
        <w:rPr>
          <w:rFonts w:ascii="Times New Roman" w:hAnsi="Times New Roman"/>
          <w:color w:val="000000"/>
          <w:sz w:val="19"/>
        </w:rPr>
        <w:t>No</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9"/>
        </w:rPr>
        <w:t>As of August 10, 2026, the number of outstanding ordinary shares, par value £0.003 per share, of the registrant was 798,454,864.</w:t>
      </w:r>
      <w:r>
        <w:rPr>
          <w:rFonts w:ascii="Times New Roman" w:hAnsi="Times New Roman"/>
          <w:color w:val="000000"/>
          <w:sz w:val="20"/>
        </w:rPr>
        <w:t xml:space="preserve"> </w:t>
      </w:r>
    </w:p>
    <w:p>
      <w:pPr>
        <w:pStyle w:val="TextBody"/>
        <w:pBdr>
          <w:bottom w:val="double" w:sz="6" w:space="1" w:color="000000"/>
        </w:pBdr>
        <w:bidi w:val="0"/>
        <w:ind w:left="0" w:right="0" w:firstLine="72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8834" w:type="dxa"/>
        <w:jc w:val="left"/>
        <w:tblInd w:w="0" w:type="dxa"/>
        <w:tblLayout w:type="fixed"/>
        <w:tblCellMar>
          <w:top w:w="28" w:type="dxa"/>
          <w:left w:w="28" w:type="dxa"/>
          <w:bottom w:w="28" w:type="dxa"/>
          <w:right w:w="28" w:type="dxa"/>
        </w:tblCellMar>
      </w:tblPr>
      <w:tblGrid>
        <w:gridCol w:w="811"/>
        <w:gridCol w:w="7366"/>
        <w:gridCol w:w="146"/>
        <w:gridCol w:w="511"/>
      </w:tblGrid>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11" w:type="dxa"/>
            <w:tcBorders/>
            <w:tcMar>
              <w:top w:w="0" w:type="dxa"/>
              <w:left w:w="0" w:type="dxa"/>
              <w:bottom w:w="0" w:type="dxa"/>
              <w:right w:w="0" w:type="dxa"/>
            </w:tcMar>
            <w:vAlign w:val="center"/>
          </w:tcPr>
          <w:p>
            <w:pPr>
              <w:pStyle w:val="TableContents"/>
              <w:pBdr/>
              <w:bidi w:val="0"/>
              <w:spacing w:before="0" w:after="283"/>
              <w:ind w:left="0" w:right="0" w:hanging="144"/>
              <w:jc w:val="left"/>
              <w:rPr/>
            </w:pPr>
            <w:hyperlink w:anchor="parti">
              <w:r>
                <w:rPr>
                  <w:rStyle w:val="InternetLink"/>
                  <w:rFonts w:ascii="Times New Roman" w:hAnsi="Times New Roman"/>
                  <w:color w:val="0000FF"/>
                  <w:sz w:val="20"/>
                  <w:u w:val="single"/>
                </w:rPr>
                <w:t>PART I</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1_financial_statements">
              <w:r>
                <w:rPr>
                  <w:rStyle w:val="InternetLink"/>
                  <w:rFonts w:ascii="Times New Roman" w:hAnsi="Times New Roman"/>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11" w:type="dxa"/>
            <w:tcBorders/>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11" w:type="dxa"/>
            <w:tcBorders/>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3_quantitative_and_qualitative">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11" w:type="dxa"/>
            <w:tcBorders/>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4_controls_and_procedure">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11" w:type="dxa"/>
            <w:tcBorders/>
            <w:tcMar>
              <w:top w:w="0" w:type="dxa"/>
              <w:left w:w="0" w:type="dxa"/>
              <w:bottom w:w="0" w:type="dxa"/>
              <w:right w:w="0" w:type="dxa"/>
            </w:tcMar>
            <w:vAlign w:val="center"/>
          </w:tcPr>
          <w:p>
            <w:pPr>
              <w:pStyle w:val="TableContents"/>
              <w:pBdr/>
              <w:bidi w:val="0"/>
              <w:spacing w:before="0" w:after="283"/>
              <w:ind w:left="0" w:right="0" w:hanging="144"/>
              <w:jc w:val="left"/>
              <w:rPr/>
            </w:pPr>
            <w:hyperlink w:anchor="part_ii_other_information">
              <w:r>
                <w:rPr>
                  <w:rStyle w:val="InternetLink"/>
                  <w:rFonts w:ascii="Times New Roman" w:hAnsi="Times New Roman"/>
                  <w:color w:val="0000FF"/>
                  <w:sz w:val="20"/>
                  <w:u w:val="single"/>
                </w:rPr>
                <w:t>PART II</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11" w:type="dxa"/>
            <w:tcBorders/>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1_legal_proceeding">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11" w:type="dxa"/>
            <w:tcBorders/>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1A.</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11" w:type="dxa"/>
            <w:tcBorders/>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2_unregistered">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11" w:type="dxa"/>
            <w:tcBorders/>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3_default">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11" w:type="dxa"/>
            <w:tcBorders/>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4_mine">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11" w:type="dxa"/>
            <w:tcBorders/>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5.</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5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11" w:type="dxa"/>
            <w:tcBorders/>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6.</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8177" w:type="dxa"/>
            <w:gridSpan w:val="2"/>
            <w:tcBorders/>
            <w:tcMar>
              <w:top w:w="0" w:type="dxa"/>
              <w:left w:w="0" w:type="dxa"/>
              <w:bottom w:w="0" w:type="dxa"/>
              <w:right w:w="0" w:type="dxa"/>
            </w:tcMar>
            <w:vAlign w:val="center"/>
          </w:tcPr>
          <w:p>
            <w:pPr>
              <w:pStyle w:val="TableContents"/>
              <w:pBdr/>
              <w:bidi w:val="0"/>
              <w:spacing w:before="0" w:after="283"/>
              <w:ind w:left="0" w:right="0" w:hanging="200"/>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GENERAL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this Quarterly Report on Form 10</w:t>
        <w:noBreakHyphen/>
        <w:t xml:space="preserve">Q (“Quarterly Report”), “Mereo,” the “Group,” the “Company,” “we,” “us” and “our” refer to Mereo BioPharma Group plc and its consolidated subsidiaries, except where the context otherwise requires.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INFORMATION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This Quarterly Report contains forward-looking statements that involve substantial risks and uncertainties, as well as assumptions that, if they never materialize or prove incorrect, could cause our results to differ materially from those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within the meaning of Section 27A of the United States Securities Act of 1933, as amended, and Section 21E of the United States Securities Exchange Act of 1934, as amended. In some cases, you can identify forward-looking statements by words such as “believe,” “may,” “will,” “estimate,” “continue,” “anticipate,” “intend,” “expect”, “plan,” “foresee,” “should,” “would,” “could,” “outlook,” and similar expressions, including the negative thereof. The absence of these words, however, does not mean that the statements are not forward-looking.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forward-looking statements in this Quarterly Report reflect our current expectations, beliefs and assumptions concerning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the uncertainties inherent in the clinical development process; the Company’s reliance on third parties to conduct its clinical trials and provide funding for its clinical trials; the sufficiency of existing cash to fund operations and/or the inability to raise additional funding on favorable terms or at all; the uncertainty inherent in regulatory review processes, including varying interpretations and analyses of data from clinical trials; the Company’s dependence on enrollment of patients in its clinical trials; potentially smaller than anticipated market opportunities for the Company's product candidates; the Company’s dependence on its key executives; the Company’s ability to maintain compliance with Nasdaq continued listing requirements; and additional factors listed under Part I, Item 1A. Risk Factors of our most recent Annual Report on Form 10-K for the year ended December 31, 2025, filed with the SEC on March 19, 2026 (the “2025 Annual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i"/>
      <w:bookmarkEnd w:id="3"/>
      <w:r>
        <w:rPr>
          <w:rFonts w:ascii="Times New Roman" w:hAnsi="Times New Roman"/>
          <w:b/>
          <w:color w:val="000000"/>
          <w:sz w:val="20"/>
        </w:rPr>
        <w:t>PART I – FINANCIAL INFORMATION</w:t>
      </w:r>
    </w:p>
    <w:p>
      <w:pPr>
        <w:pStyle w:val="TextBody"/>
        <w:bidi w:val="0"/>
        <w:jc w:val="left"/>
        <w:rPr/>
      </w:pPr>
      <w:r>
        <w:rPr/>
        <w:t> </w:t>
      </w:r>
    </w:p>
    <w:p>
      <w:pPr>
        <w:pStyle w:val="TextBody"/>
        <w:bidi w:val="0"/>
        <w:jc w:val="left"/>
        <w:rPr>
          <w:rFonts w:ascii="Times New Roman" w:hAnsi="Times New Roman"/>
          <w:b/>
          <w:color w:val="000000"/>
          <w:sz w:val="20"/>
        </w:rPr>
      </w:pPr>
      <w:bookmarkStart w:id="4" w:name="item1_financial_statements"/>
      <w:bookmarkEnd w:id="4"/>
      <w:r>
        <w:rPr>
          <w:rFonts w:ascii="Times New Roman" w:hAnsi="Times New Roman"/>
          <w:b/>
          <w:color w:val="000000"/>
          <w:sz w:val="20"/>
        </w:rPr>
        <w:t>Item 1. Financial Statements.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MEREO BIOPHARMA GROUP PLC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24"/>
        <w:gridCol w:w="146"/>
        <w:gridCol w:w="211"/>
        <w:gridCol w:w="841"/>
        <w:gridCol w:w="166"/>
        <w:gridCol w:w="146"/>
        <w:gridCol w:w="236"/>
        <w:gridCol w:w="943"/>
        <w:gridCol w:w="592"/>
      </w:tblGrid>
      <w:tr>
        <w:trPr/>
        <w:tc>
          <w:tcPr>
            <w:tcW w:w="6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 incentives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45,917</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5,001</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Commitments and contingencies (Note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Ordinary shares, par value £0.003 per share; 798,093,044 shares issued at June 30, 2026 (December 31, 2025: 795,658,504)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549,622</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(501,018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(10,823</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28,652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40,916</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45,917</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form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MEREO BIOPHARMA GROUP PLC</w:t>
      </w:r>
    </w:p>
    <w:p>
      <w:pPr>
        <w:pStyle w:val="TextBody"/>
        <w:bidi w:val="0"/>
        <w:jc w:val="center"/>
        <w:rPr>
          <w:rFonts w:ascii="Times New Roman" w:hAnsi="Times New Roman"/>
          <w:sz w:val="20"/>
        </w:rPr>
      </w:pPr>
      <w:bookmarkStart w:id="5" w:name="statements_of_comprehensive_loss"/>
      <w:bookmarkEnd w:id="5"/>
      <w:r>
        <w:rPr>
          <w:rFonts w:ascii="Times New Roman" w:hAnsi="Times New Roman"/>
          <w:b/>
          <w:color w:val="000000"/>
          <w:sz w:val="20"/>
        </w:rPr>
        <w:t>CONDENSED CONSOLIDATED STATEMENTS</w:t>
      </w:r>
      <w:r>
        <w:rPr>
          <w:rFonts w:ascii="Times New Roman" w:hAnsi="Times New Roman"/>
          <w:color w:val="000000"/>
          <w:sz w:val="20"/>
        </w:rPr>
        <w:t xml:space="preserve"> </w:t>
      </w:r>
      <w:r>
        <w:rPr>
          <w:rFonts w:ascii="Times New Roman" w:hAnsi="Times New Roman"/>
          <w:b/>
          <w:color w:val="000000"/>
          <w:sz w:val="20"/>
        </w:rPr>
        <w:t>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04"/>
        <w:gridCol w:w="146"/>
        <w:gridCol w:w="211"/>
        <w:gridCol w:w="1141"/>
        <w:gridCol w:w="166"/>
        <w:gridCol w:w="146"/>
        <w:gridCol w:w="211"/>
        <w:gridCol w:w="1141"/>
        <w:gridCol w:w="166"/>
        <w:gridCol w:w="146"/>
        <w:gridCol w:w="211"/>
        <w:gridCol w:w="1141"/>
        <w:gridCol w:w="166"/>
        <w:gridCol w:w="146"/>
        <w:gridCol w:w="211"/>
        <w:gridCol w:w="1141"/>
        <w:gridCol w:w="411"/>
      </w:tblGrid>
      <w:tr>
        <w:trPr/>
        <w:tc>
          <w:tcPr>
            <w:tcW w:w="3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the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transaction (loss)/gain,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research and development tax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(27,503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(27,503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803,562,708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799,435,329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802,688,993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794,022,295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income/(loss) – Foreign currency translation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(17,297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form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MEREO BIOPHARMA GROUP PLC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solidated_statements_of_cash_flows"/>
      <w:bookmarkEnd w:id="6"/>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372" w:type="dxa"/>
        <w:jc w:val="left"/>
        <w:tblInd w:w="0" w:type="dxa"/>
        <w:tblLayout w:type="fixed"/>
        <w:tblCellMar>
          <w:top w:w="28" w:type="dxa"/>
          <w:left w:w="28" w:type="dxa"/>
          <w:bottom w:w="28" w:type="dxa"/>
          <w:right w:w="28" w:type="dxa"/>
        </w:tblCellMar>
      </w:tblPr>
      <w:tblGrid>
        <w:gridCol w:w="6231"/>
        <w:gridCol w:w="146"/>
        <w:gridCol w:w="228"/>
        <w:gridCol w:w="796"/>
        <w:gridCol w:w="179"/>
        <w:gridCol w:w="157"/>
        <w:gridCol w:w="228"/>
        <w:gridCol w:w="796"/>
        <w:gridCol w:w="611"/>
      </w:tblGrid>
      <w:tr>
        <w:trPr/>
        <w:tc>
          <w:tcPr>
            <w:tcW w:w="6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transaction gain/(loss)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 incentives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for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costs on issuance of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69,802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30,118</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56,125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form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MEREO BIOPHARMA GROUP PLC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statements_of_changes_in_equity"/>
      <w:bookmarkEnd w:id="7"/>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CHANGES IN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54"/>
        <w:gridCol w:w="146"/>
        <w:gridCol w:w="146"/>
        <w:gridCol w:w="841"/>
        <w:gridCol w:w="146"/>
        <w:gridCol w:w="146"/>
        <w:gridCol w:w="192"/>
        <w:gridCol w:w="463"/>
        <w:gridCol w:w="146"/>
        <w:gridCol w:w="146"/>
        <w:gridCol w:w="181"/>
        <w:gridCol w:w="586"/>
        <w:gridCol w:w="151"/>
        <w:gridCol w:w="146"/>
        <w:gridCol w:w="242"/>
        <w:gridCol w:w="749"/>
        <w:gridCol w:w="151"/>
        <w:gridCol w:w="146"/>
        <w:gridCol w:w="255"/>
        <w:gridCol w:w="890"/>
        <w:gridCol w:w="151"/>
        <w:gridCol w:w="146"/>
        <w:gridCol w:w="295"/>
        <w:gridCol w:w="910"/>
        <w:gridCol w:w="280"/>
      </w:tblGrid>
      <w:tr>
        <w:trPr/>
        <w:tc>
          <w:tcPr>
            <w:tcW w:w="2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paid-in </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b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shareholders’ equity</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795,658,504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549,622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(10,823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(501,018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40,916</w:t>
            </w:r>
          </w:p>
        </w:tc>
        <w:tc>
          <w:tcPr>
            <w:tcW w:w="28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5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(6,719</w:t>
            </w:r>
          </w:p>
        </w:tc>
        <w:tc>
          <w:tcPr>
            <w:tcW w:w="28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255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(1,748</w:t>
            </w:r>
          </w:p>
        </w:tc>
        <w:tc>
          <w:tcPr>
            <w:tcW w:w="28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255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1,605</w:t>
            </w:r>
          </w:p>
        </w:tc>
        <w:tc>
          <w:tcPr>
            <w:tcW w:w="28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5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Delivery of shares 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868,630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5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1,551,695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5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Transfer between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5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Balance,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798,078,829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551,018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(12,571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(507,538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34,054</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255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(7,005</w:t>
            </w:r>
          </w:p>
        </w:tc>
        <w:tc>
          <w:tcPr>
            <w:tcW w:w="28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255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286</w:t>
            </w:r>
          </w:p>
        </w:tc>
        <w:tc>
          <w:tcPr>
            <w:tcW w:w="28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5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1,317</w:t>
            </w:r>
          </w:p>
        </w:tc>
        <w:tc>
          <w:tcPr>
            <w:tcW w:w="28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5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Delivery of shares 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798,093,044</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6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3,145</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552,335</w:t>
            </w:r>
          </w:p>
        </w:tc>
        <w:tc>
          <w:tcPr>
            <w:tcW w:w="1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4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(12,285</w:t>
            </w:r>
          </w:p>
        </w:tc>
        <w:tc>
          <w:tcPr>
            <w:tcW w:w="1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9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(514,543</w:t>
            </w:r>
          </w:p>
        </w:tc>
        <w:tc>
          <w:tcPr>
            <w:tcW w:w="1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91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28,652</w:t>
            </w:r>
          </w:p>
        </w:tc>
        <w:tc>
          <w:tcPr>
            <w:tcW w:w="28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2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Balance,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775,728,034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539,642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(18,849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(462,883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60,969</w:t>
            </w:r>
          </w:p>
        </w:tc>
        <w:tc>
          <w:tcPr>
            <w:tcW w:w="28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5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(12,887</w:t>
            </w:r>
          </w:p>
        </w:tc>
        <w:tc>
          <w:tcPr>
            <w:tcW w:w="28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255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3,559</w:t>
            </w:r>
          </w:p>
        </w:tc>
        <w:tc>
          <w:tcPr>
            <w:tcW w:w="28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5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2,278</w:t>
            </w:r>
          </w:p>
        </w:tc>
        <w:tc>
          <w:tcPr>
            <w:tcW w:w="28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5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Delivery of shares 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718,350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5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Transaction costs on issuance of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w:t>
            </w:r>
          </w:p>
        </w:tc>
        <w:tc>
          <w:tcPr>
            <w:tcW w:w="28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255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Conversion of convertible loan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17,105,450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5,740</w:t>
            </w:r>
          </w:p>
        </w:tc>
        <w:tc>
          <w:tcPr>
            <w:tcW w:w="28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5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1,449,610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487</w:t>
            </w:r>
          </w:p>
        </w:tc>
        <w:tc>
          <w:tcPr>
            <w:tcW w:w="28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5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Transfer between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795,001,444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544,266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(15,290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(472,027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60,081</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255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(14,616</w:t>
            </w:r>
          </w:p>
        </w:tc>
        <w:tc>
          <w:tcPr>
            <w:tcW w:w="28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255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6,647</w:t>
            </w:r>
          </w:p>
        </w:tc>
        <w:tc>
          <w:tcPr>
            <w:tcW w:w="28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55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2,065</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795,001,444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546,331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(8,643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(486,643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54,177</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form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MEREO BIOPHARMA GROUP PLC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bookmarkStart w:id="8" w:name="notes_consolidated_financial_statements"/>
      <w:bookmarkEnd w:id="8"/>
      <w:r>
        <w:rPr>
          <w:rFonts w:ascii="Times New Roman" w:hAnsi="Times New Roman"/>
          <w:b/>
          <w:color w:val="000000"/>
          <w:sz w:val="20"/>
        </w:rPr>
        <w:t>1. Nature of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Mereo BioPharma Group plc (the “Company” or “Mereo”) is a United Kingdom (“U.K.”) based biopharmaceutical company focused on the development of innovative therapeutics for rare diseases. The Company has developed a portfolio of late-stage clinical product candidates, and its two late-stage rare disease product candidates are setrusumab for the treatment of osteogenesis imperfecta (“OI”) and alvelestat primarily for the treatment of severe alpha-1 antitrypsin deficiency-associated lung disease (“AATD-LD”). The Company also has an early-stage rare disease program, vantictumab, for the treatment of autosomal dominant osteopetrosis Type 2 (“ADO2”).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 public limited company incorporated and domiciled in the U.K., and registered in England, with shares publicly traded on the Nasdaq Capital Market via American Depositary Shares (“ADSs”) under the ticker symbol “MREO”. The Company’s registered office is located at 4th Floor, One Cavendish Place, London, W1G 0QF, United Kingdom.</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Basis of presentation and summary of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condensed consolidated financial statements of the Company and its subsidiaries and other financial information included in this quarterly report on Form 10-Q (“Quarterly Report”) are unaudited, have been prepared in accordance with generally accepted accounting principles in the United States of America (“U.S. GAAP”) and are presented in U.S. dollars. All intercompany balances and transactions between the Company and its subsidiaries have been eliminated on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unaudited condensed consolidated financial statements presented in this Quarterly Report should be read in conjunction with the consolidated financial statements and accompanying notes included in the Company’s Annual Report on Form 10-K filed with the SEC on March 19, 2026 (the “2025 Annual Report”). The condensed consolidated balance sheet as of December 31, 2025 was derived from audited consolidated financial statements included in the 2025 Annual Report but does not include all disclosures required by U.S. GAAP. The Company’s significant accounting policies are described in Note 2 to those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information and footnote disclosures normally included in financial statements prepared in accordance with U.S. GAAP have been condensed or omitted from these interim financial statements. However, these interim financial statements include all adjustments which are, in the opinion of management, necessary to fairly state the Company's financial position as of June 30, 2026, the results of operations for the three and six months ended June 30, 2026 and 2025 and cash flows for the six months ended June 30, 2026 and 2025. The interim results are not necessarily indicative of results to be expected for the full year.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Going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prepared its condensed consolidated financial statements on the basis that it will continue as a going concern. The Company is subject to risks common to companies in the biotechnology industry, including but not limited to, risks of delays in initiating or continuing research programs and clinical trials, risks of failure of preclinical studies and clinical trials, the need to obtain marketing approval for any drug product candidate that it may identify and develop, the need to successfully commercialize and gain market acceptance of its product candidates, if approved, dependence on key personnel and collaboration partners, protection of proprietary technology, compliance with government regulations, development by competitors of technological innovations,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Even if the Company’s research and development efforts are successful, it is uncertain when, if ever, the Company will realize significant revenue from product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historically been loss making, anticipates that it will continue to incur losses for the foreseeable future, and had an accumulated deficit of $514.5 million as of June 30, 2026. The Company has funded these losses through a combination of public equity financings, private equity and debt financings and various license and collaboration agreements, and it expects it will continue to do so until such time as it can generate significant revenue from product sales, or other commercial revenues, if ever, or through licensing and/or collaboration agreements for its rare disease or other product candidates. Although management continues to pursue these plans, there is no assurance that the Company will be successful in obtaining sufficient funding on terms acceptable to the Company to fund continuing operations, if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the Company had cash and cash equivalents of $30.1 million. The Company expects that its cash and cash equivalents as of June 30, 2026 will be sufficient to fund its operations and capital expenditure requirements for at least twelve months from the date of filing of this Quarterly Report. In the longer term, the Company will need additional funding to support its continuing operations and pursue its business strategy.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income and expenses during the reporting periods. There are no estimates and assumptions made in the condensed consolidated financial statements that are considered to be critical. Estimates are periodically reviewed in light of changes in circumstances, facts and experience. Changes in estimates are recorded in the period in which they become known. Actual results could differ from those estimates.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Recent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recent accounting pronouncements, changes in accounting pronouncements or recently adopted accounting guidance, other than those previously included in the 2025 Annual Report that are of significance or potential significance to the Company. The Company is continuing to evaluate the impact of the recently issued pronouncements that are effective in future periods and were discussed in its 2025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Fair value measurement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financial instruments consist of cash and cash equivalents, accounts payable, accrued expenses, deferred consideration and warrant liabilities. Cash, cash equivalents (except for investments in money market funds), accounts payable and accrued expenses are initially recorded and subsequently measured at cost, which is considered to approximate their fair value due to the short-term nature of such financial instruments.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Company’s financial assets and liabilities measured at fair value on a recurring basis and classified under the appropriate level of the fair value hierarchy:</w:t>
      </w:r>
    </w:p>
    <w:p>
      <w:pPr>
        <w:pStyle w:val="TextBody"/>
        <w:bidi w:val="0"/>
        <w:jc w:val="left"/>
        <w:rPr/>
      </w:pPr>
      <w:r>
        <w:rPr/>
        <w:t> </w:t>
      </w:r>
    </w:p>
    <w:tbl>
      <w:tblPr>
        <w:tblW w:w="8888" w:type="dxa"/>
        <w:jc w:val="left"/>
        <w:tblInd w:w="0" w:type="dxa"/>
        <w:tblLayout w:type="fixed"/>
        <w:tblCellMar>
          <w:top w:w="28" w:type="dxa"/>
          <w:left w:w="28" w:type="dxa"/>
          <w:bottom w:w="28" w:type="dxa"/>
          <w:right w:w="28" w:type="dxa"/>
        </w:tblCellMar>
      </w:tblPr>
      <w:tblGrid>
        <w:gridCol w:w="4561"/>
        <w:gridCol w:w="146"/>
        <w:gridCol w:w="146"/>
        <w:gridCol w:w="676"/>
        <w:gridCol w:w="146"/>
        <w:gridCol w:w="146"/>
        <w:gridCol w:w="217"/>
        <w:gridCol w:w="518"/>
        <w:gridCol w:w="146"/>
        <w:gridCol w:w="146"/>
        <w:gridCol w:w="146"/>
        <w:gridCol w:w="676"/>
        <w:gridCol w:w="146"/>
        <w:gridCol w:w="146"/>
        <w:gridCol w:w="217"/>
        <w:gridCol w:w="518"/>
        <w:gridCol w:w="1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9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(investments in 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888" w:type="dxa"/>
        <w:jc w:val="left"/>
        <w:tblInd w:w="0" w:type="dxa"/>
        <w:tblLayout w:type="fixed"/>
        <w:tblCellMar>
          <w:top w:w="28" w:type="dxa"/>
          <w:left w:w="28" w:type="dxa"/>
          <w:bottom w:w="28" w:type="dxa"/>
          <w:right w:w="28" w:type="dxa"/>
        </w:tblCellMar>
      </w:tblPr>
      <w:tblGrid>
        <w:gridCol w:w="4561"/>
        <w:gridCol w:w="146"/>
        <w:gridCol w:w="146"/>
        <w:gridCol w:w="676"/>
        <w:gridCol w:w="146"/>
        <w:gridCol w:w="146"/>
        <w:gridCol w:w="217"/>
        <w:gridCol w:w="518"/>
        <w:gridCol w:w="146"/>
        <w:gridCol w:w="146"/>
        <w:gridCol w:w="146"/>
        <w:gridCol w:w="676"/>
        <w:gridCol w:w="146"/>
        <w:gridCol w:w="146"/>
        <w:gridCol w:w="217"/>
        <w:gridCol w:w="518"/>
        <w:gridCol w:w="1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(investments in 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no transfers between any levels of the fair value hierarchy during the three and six months ended June 30, 2026 and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Fair values of the investments in money market funds are determined based on the net asset value per share of each fund stated in the fund manager's statement.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and December 31, 2025, warrant liabilities solely related to those warrants outstanding to the former lenders of the Company as described in Note 10.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5. Prepaid expenses and other current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w:t>
      </w:r>
    </w:p>
    <w:p>
      <w:pPr>
        <w:pStyle w:val="TextBody"/>
        <w:bidi w:val="0"/>
        <w:jc w:val="both"/>
        <w:rPr/>
      </w:pPr>
      <w:r>
        <w:rPr/>
        <w:t> </w:t>
      </w:r>
    </w:p>
    <w:tbl>
      <w:tblPr>
        <w:tblW w:w="6420" w:type="dxa"/>
        <w:jc w:val="left"/>
        <w:tblInd w:w="0" w:type="dxa"/>
        <w:tblLayout w:type="fixed"/>
        <w:tblCellMar>
          <w:top w:w="28" w:type="dxa"/>
          <w:left w:w="28" w:type="dxa"/>
          <w:bottom w:w="28" w:type="dxa"/>
          <w:right w:w="28" w:type="dxa"/>
        </w:tblCellMar>
      </w:tblPr>
      <w:tblGrid>
        <w:gridCol w:w="3721"/>
        <w:gridCol w:w="146"/>
        <w:gridCol w:w="218"/>
        <w:gridCol w:w="592"/>
        <w:gridCol w:w="146"/>
        <w:gridCol w:w="146"/>
        <w:gridCol w:w="339"/>
        <w:gridCol w:w="921"/>
        <w:gridCol w:w="1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Security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6. Property and equipment,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and equipment, net consists of the following:</w:t>
      </w:r>
    </w:p>
    <w:p>
      <w:pPr>
        <w:pStyle w:val="TextBody"/>
        <w:bidi w:val="0"/>
        <w:jc w:val="both"/>
        <w:rPr/>
      </w:pPr>
      <w:r>
        <w:rPr/>
        <w:t> </w:t>
      </w:r>
    </w:p>
    <w:tbl>
      <w:tblPr>
        <w:tblW w:w="5457" w:type="dxa"/>
        <w:jc w:val="left"/>
        <w:tblInd w:w="0" w:type="dxa"/>
        <w:tblLayout w:type="fixed"/>
        <w:tblCellMar>
          <w:top w:w="28" w:type="dxa"/>
          <w:left w:w="28" w:type="dxa"/>
          <w:bottom w:w="28" w:type="dxa"/>
          <w:right w:w="28" w:type="dxa"/>
        </w:tblCellMar>
      </w:tblPr>
      <w:tblGrid>
        <w:gridCol w:w="2686"/>
        <w:gridCol w:w="146"/>
        <w:gridCol w:w="211"/>
        <w:gridCol w:w="631"/>
        <w:gridCol w:w="166"/>
        <w:gridCol w:w="146"/>
        <w:gridCol w:w="314"/>
        <w:gridCol w:w="946"/>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was less than $0.1 million for both the three months ended June 30, 2026 and 2025. Depreciation expense was $0.1 million for both the six months ended June 30, 2026 and 2025.</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7.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2015, the Company entered into a lease agreement under which it leased office space located on the fourth floor of One Cavendish Place, London, with a lease term ending in August 2025. In June 2021, the Company entered into a new lease agreement to lease additional office space located on the fifth floor of that building for a lease period ending in June 2026. At the same time, the Company entered into a reversionary lease to extend the term for the original fourth floor lease to be coterminous with the fifth floor, ending in June 2026. In June 2026, the Company entered into reversionary leases to extend the term of both the fourth and the fifth floor leases to June 2027.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lease expense included in the statements of operations and comprehensive loss was $0.2 million and $0.4 million for the three and six months ended June 30, 2026, respectively and $0.2 million and $0.3 million for the three and six months ended June 30, 2025, respectively. There were no material variable lease costs.</w:t>
      </w:r>
    </w:p>
    <w:p>
      <w:pPr>
        <w:pStyle w:val="TextBody"/>
        <w:bidi w:val="0"/>
        <w:jc w:val="both"/>
        <w:rPr/>
      </w:pPr>
      <w:r>
        <w:rPr/>
        <w:t> </w:t>
      </w:r>
    </w:p>
    <w:tbl>
      <w:tblPr>
        <w:tblW w:w="7825" w:type="dxa"/>
        <w:jc w:val="left"/>
        <w:tblInd w:w="0" w:type="dxa"/>
        <w:tblLayout w:type="fixed"/>
        <w:tblCellMar>
          <w:top w:w="28" w:type="dxa"/>
          <w:left w:w="28" w:type="dxa"/>
          <w:bottom w:w="28" w:type="dxa"/>
          <w:right w:w="28" w:type="dxa"/>
        </w:tblCellMar>
      </w:tblPr>
      <w:tblGrid>
        <w:gridCol w:w="4876"/>
        <w:gridCol w:w="146"/>
        <w:gridCol w:w="193"/>
        <w:gridCol w:w="617"/>
        <w:gridCol w:w="271"/>
        <w:gridCol w:w="146"/>
        <w:gridCol w:w="300"/>
        <w:gridCol w:w="960"/>
        <w:gridCol w:w="316"/>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contractual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92"/>
        <w:gridCol w:w="146"/>
        <w:gridCol w:w="267"/>
        <w:gridCol w:w="437"/>
        <w:gridCol w:w="183"/>
        <w:gridCol w:w="183"/>
        <w:gridCol w:w="266"/>
        <w:gridCol w:w="531"/>
        <w:gridCol w:w="146"/>
        <w:gridCol w:w="146"/>
        <w:gridCol w:w="234"/>
        <w:gridCol w:w="469"/>
        <w:gridCol w:w="152"/>
        <w:gridCol w:w="152"/>
        <w:gridCol w:w="234"/>
        <w:gridCol w:w="469"/>
        <w:gridCol w:w="198"/>
      </w:tblGrid>
      <w:tr>
        <w:trPr/>
        <w:tc>
          <w:tcPr>
            <w:tcW w:w="5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9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maturities of the Company’s operating lease liabilities as of June 30, 2026:</w:t>
      </w:r>
    </w:p>
    <w:p>
      <w:pPr>
        <w:pStyle w:val="TextBody"/>
        <w:bidi w:val="0"/>
        <w:jc w:val="left"/>
        <w:rPr/>
      </w:pPr>
      <w:r>
        <w:rPr/>
        <w:t> </w:t>
      </w:r>
    </w:p>
    <w:tbl>
      <w:tblPr>
        <w:tblW w:w="9508" w:type="dxa"/>
        <w:jc w:val="left"/>
        <w:tblInd w:w="0" w:type="dxa"/>
        <w:tblLayout w:type="fixed"/>
        <w:tblCellMar>
          <w:top w:w="28" w:type="dxa"/>
          <w:left w:w="28" w:type="dxa"/>
          <w:bottom w:w="28" w:type="dxa"/>
          <w:right w:w="28" w:type="dxa"/>
        </w:tblCellMar>
      </w:tblPr>
      <w:tblGrid>
        <w:gridCol w:w="7231"/>
        <w:gridCol w:w="146"/>
        <w:gridCol w:w="469"/>
        <w:gridCol w:w="1271"/>
        <w:gridCol w:w="391"/>
      </w:tblGrid>
      <w:tr>
        <w:trPr/>
        <w:tc>
          <w:tcPr>
            <w:tcW w:w="7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Maturity analysis of the operating lease liabilities for the years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Present value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8. Other current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current liabilities consist of the following:</w:t>
      </w:r>
    </w:p>
    <w:p>
      <w:pPr>
        <w:pStyle w:val="TextBody"/>
        <w:bidi w:val="0"/>
        <w:jc w:val="left"/>
        <w:rPr/>
      </w:pPr>
      <w:r>
        <w:rPr/>
        <w:t> </w:t>
      </w:r>
    </w:p>
    <w:tbl>
      <w:tblPr>
        <w:tblW w:w="5370" w:type="dxa"/>
        <w:jc w:val="left"/>
        <w:tblInd w:w="0" w:type="dxa"/>
        <w:tblLayout w:type="fixed"/>
        <w:tblCellMar>
          <w:top w:w="28" w:type="dxa"/>
          <w:left w:w="28" w:type="dxa"/>
          <w:bottom w:w="28" w:type="dxa"/>
          <w:right w:w="28" w:type="dxa"/>
        </w:tblCellMar>
      </w:tblPr>
      <w:tblGrid>
        <w:gridCol w:w="2671"/>
        <w:gridCol w:w="146"/>
        <w:gridCol w:w="218"/>
        <w:gridCol w:w="592"/>
        <w:gridCol w:w="146"/>
        <w:gridCol w:w="146"/>
        <w:gridCol w:w="419"/>
        <w:gridCol w:w="841"/>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Social security and other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consideration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issuance costs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9. Accrued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Accrued expenses consist of the following: </w:t>
      </w:r>
    </w:p>
    <w:p>
      <w:pPr>
        <w:pStyle w:val="TextBody"/>
        <w:bidi w:val="0"/>
        <w:jc w:val="left"/>
        <w:rPr/>
      </w:pPr>
      <w:r>
        <w:rPr/>
        <w:t> </w:t>
      </w:r>
    </w:p>
    <w:tbl>
      <w:tblPr>
        <w:tblW w:w="6105" w:type="dxa"/>
        <w:jc w:val="left"/>
        <w:tblInd w:w="0" w:type="dxa"/>
        <w:tblLayout w:type="fixed"/>
        <w:tblCellMar>
          <w:top w:w="28" w:type="dxa"/>
          <w:left w:w="28" w:type="dxa"/>
          <w:bottom w:w="28" w:type="dxa"/>
          <w:right w:w="28" w:type="dxa"/>
        </w:tblCellMar>
      </w:tblPr>
      <w:tblGrid>
        <w:gridCol w:w="3406"/>
        <w:gridCol w:w="146"/>
        <w:gridCol w:w="218"/>
        <w:gridCol w:w="592"/>
        <w:gridCol w:w="146"/>
        <w:gridCol w:w="146"/>
        <w:gridCol w:w="339"/>
        <w:gridCol w:w="921"/>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and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bonus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local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Warrant liability</w:t>
      </w:r>
    </w:p>
    <w:p>
      <w:pPr>
        <w:pStyle w:val="TextBody"/>
        <w:bidi w:val="0"/>
        <w:jc w:val="left"/>
        <w:rPr/>
      </w:pPr>
      <w:r>
        <w:rPr/>
        <w:t> </w:t>
      </w:r>
    </w:p>
    <w:tbl>
      <w:tblPr>
        <w:tblW w:w="5430" w:type="dxa"/>
        <w:jc w:val="left"/>
        <w:tblInd w:w="0" w:type="dxa"/>
        <w:tblLayout w:type="fixed"/>
        <w:tblCellMar>
          <w:top w:w="28" w:type="dxa"/>
          <w:left w:w="28" w:type="dxa"/>
          <w:bottom w:w="28" w:type="dxa"/>
          <w:right w:w="28" w:type="dxa"/>
        </w:tblCellMar>
      </w:tblPr>
      <w:tblGrid>
        <w:gridCol w:w="3301"/>
        <w:gridCol w:w="146"/>
        <w:gridCol w:w="253"/>
        <w:gridCol w:w="452"/>
        <w:gridCol w:w="176"/>
        <w:gridCol w:w="155"/>
        <w:gridCol w:w="224"/>
        <w:gridCol w:w="512"/>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former lenders of the Company have warrants outstanding to purchase a total of 1,243,908 ordinary shares at an exercise price of £2.95 per share, exercisable until August 2027 and a total of 1,243,908 ordinary shares at an exercise price of $0.4144 per share, exercisable until dates between August 2027 and October 2028. These warrants outstanding are equivalent to 0.3% and 0.3% of the issued ordinary share capital of the Company as of June 30, 2026 and December 31, 2025, respectively. There were no warrants classified as liabilities exercised during the three and six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each warrant is estimated using the Black-Scholes option pricing model using the following weighted average assumptions:</w:t>
      </w:r>
    </w:p>
    <w:p>
      <w:pPr>
        <w:pStyle w:val="TextBody"/>
        <w:bidi w:val="0"/>
        <w:spacing w:before="240" w:after="283"/>
        <w:jc w:val="left"/>
        <w:rPr/>
      </w:pPr>
      <w:r>
        <w:rPr/>
        <w:t> </w:t>
      </w:r>
    </w:p>
    <w:tbl>
      <w:tblPr>
        <w:tblW w:w="5202" w:type="dxa"/>
        <w:jc w:val="left"/>
        <w:tblInd w:w="0" w:type="dxa"/>
        <w:tblLayout w:type="fixed"/>
        <w:tblCellMar>
          <w:top w:w="28" w:type="dxa"/>
          <w:left w:w="28" w:type="dxa"/>
          <w:bottom w:w="28" w:type="dxa"/>
          <w:right w:w="28" w:type="dxa"/>
        </w:tblCellMar>
      </w:tblPr>
      <w:tblGrid>
        <w:gridCol w:w="2176"/>
        <w:gridCol w:w="146"/>
        <w:gridCol w:w="211"/>
        <w:gridCol w:w="676"/>
        <w:gridCol w:w="271"/>
        <w:gridCol w:w="146"/>
        <w:gridCol w:w="299"/>
        <w:gridCol w:w="961"/>
        <w:gridCol w:w="316"/>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value of ADSs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11. Shareholders’ Equity</w:t>
      </w:r>
    </w:p>
    <w:p>
      <w:pPr>
        <w:pStyle w:val="TextBody"/>
        <w:bidi w:val="0"/>
        <w:spacing w:before="240" w:after="283"/>
        <w:jc w:val="both"/>
        <w:rPr>
          <w:rFonts w:ascii="Times New Roman" w:hAnsi="Times New Roman"/>
          <w:sz w:val="20"/>
        </w:rPr>
      </w:pPr>
      <w:r>
        <w:rPr>
          <w:rFonts w:ascii="Times New Roman" w:hAnsi="Times New Roman"/>
          <w:b/>
          <w:i/>
          <w:color w:val="000000"/>
          <w:sz w:val="20"/>
        </w:rPr>
        <w:t>Ordinary Shares</w:t>
      </w:r>
      <w:r>
        <w:rPr>
          <w:rFonts w:ascii="Times New Roman" w:hAnsi="Times New Roman"/>
          <w:color w:val="000000"/>
          <w:sz w:val="20"/>
        </w:rPr>
        <w:t xml:space="preserve"> </w:t>
      </w:r>
    </w:p>
    <w:p>
      <w:pPr>
        <w:pStyle w:val="TextBody"/>
        <w:bidi w:val="0"/>
        <w:jc w:val="both"/>
        <w:rPr/>
      </w:pPr>
      <w:r>
        <w:rPr/>
        <w:t> </w:t>
      </w:r>
    </w:p>
    <w:tbl>
      <w:tblPr>
        <w:tblW w:w="6550" w:type="dxa"/>
        <w:jc w:val="left"/>
        <w:tblInd w:w="0" w:type="dxa"/>
        <w:tblLayout w:type="fixed"/>
        <w:tblCellMar>
          <w:top w:w="28" w:type="dxa"/>
          <w:left w:w="28" w:type="dxa"/>
          <w:bottom w:w="28" w:type="dxa"/>
          <w:right w:w="28" w:type="dxa"/>
        </w:tblCellMar>
      </w:tblPr>
      <w:tblGrid>
        <w:gridCol w:w="3336"/>
        <w:gridCol w:w="146"/>
        <w:gridCol w:w="165"/>
        <w:gridCol w:w="1290"/>
        <w:gridCol w:w="146"/>
        <w:gridCol w:w="146"/>
        <w:gridCol w:w="251"/>
        <w:gridCol w:w="679"/>
        <w:gridCol w:w="391"/>
      </w:tblGrid>
      <w:tr>
        <w:trPr/>
        <w:tc>
          <w:tcPr>
            <w:tcW w:w="3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 value</w:t>
              <w:br/>
              <w:t>($'000)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775,728,034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Conversion of convertible loan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17,105,450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1,449,610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March 31 and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795,001,444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795,658,504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1,551,695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798,078,829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29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798,093,044</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February 2026, the Company received an exercise notice from The Alpha-1 Project and subsequently issued and allotted 1,551,695 shares (equivalent to 310,339 ADSs) on the non-cash exercise of the warrants. In addition, additional paid-in capital of $0.2 million was transferred to accumulated deficit, which represents the surplus of amounts previously recognized in excess of the par value of ordinary shares delivered on exercise of the warrants.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and six months ended June 30, 2026, 14,215 and 882,845 ordinary shares were issued due to the vesting of RSUs, respectively. </w:t>
      </w:r>
    </w:p>
    <w:p>
      <w:pPr>
        <w:pStyle w:val="TextBody"/>
        <w:bidi w:val="0"/>
        <w:spacing w:before="240" w:after="283"/>
        <w:jc w:val="left"/>
        <w:rPr>
          <w:rFonts w:ascii="Times New Roman" w:hAnsi="Times New Roman"/>
          <w:sz w:val="20"/>
        </w:rPr>
      </w:pPr>
      <w:r>
        <w:rPr>
          <w:rFonts w:ascii="Times New Roman" w:hAnsi="Times New Roman"/>
          <w:b/>
          <w:color w:val="000000"/>
          <w:sz w:val="20"/>
        </w:rPr>
        <w:t>12. Revenue and cost of 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ReproNovo Partnership</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2023, the Company and ReproNovo SA. (“ReproNovo”) entered into a global licensing agreement for the development and commercialization of leflutrozole (the “ReproNovo Licensing Agreement”). Under the terms of the ReproNovo Licensing Agreement, ReproNovo received an exclusive worldwide license to develop and commercialize leflutrozole.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revenue or cost of revenue was recognized during the three and six months ended June 30, 2026 in respect of this agreement. However, during the three and six months ended June 30, 2025, the Company recognized a milestone payment receivable of $0.5 million as revenue under the terms of the ReproNovo Licensing Agreement following confirmation by ReproNovo that the first participant had been included in a Phase 2 trial of leflutrozole. As a consequence, and in accordance with the terms of the 2015 asset purchase agreement with Novartis, the Company also accrued for a payment to Novartis of $0.1 million as cost of revenue.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13. Share 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currently grants equity awards under the Mereo 2019 Equity Incentive Plan (the “2019 EIP”) and the 2019 Non-Employee Equity Incentive Plan (the “2019 NED EIP”). There are also outstanding awards under two previous plans, the Mereo BioPharma Group Limited Share Option Plan and the Mereo Share Option Plan (together the “Previous Share Option Plans”). However, no further grants are envisioned from these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total number of ADSs available for issue under the 2019 EIP and 2019 NED EIP was 15.0 million as of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expense for share-based compensation arises solely in respect of awards made under the two active plans as follows:</w:t>
      </w:r>
    </w:p>
    <w:p>
      <w:pPr>
        <w:pStyle w:val="TextBody"/>
        <w:bidi w:val="0"/>
        <w:jc w:val="both"/>
        <w:rPr/>
      </w:pPr>
      <w:r>
        <w:rPr/>
        <w:t> </w:t>
      </w:r>
    </w:p>
    <w:tbl>
      <w:tblPr>
        <w:tblW w:w="5647" w:type="dxa"/>
        <w:jc w:val="left"/>
        <w:tblInd w:w="0" w:type="dxa"/>
        <w:tblLayout w:type="fixed"/>
        <w:tblCellMar>
          <w:top w:w="28" w:type="dxa"/>
          <w:left w:w="28" w:type="dxa"/>
          <w:bottom w:w="28" w:type="dxa"/>
          <w:right w:w="28" w:type="dxa"/>
        </w:tblCellMar>
      </w:tblPr>
      <w:tblGrid>
        <w:gridCol w:w="1306"/>
        <w:gridCol w:w="146"/>
        <w:gridCol w:w="211"/>
        <w:gridCol w:w="571"/>
        <w:gridCol w:w="146"/>
        <w:gridCol w:w="146"/>
        <w:gridCol w:w="211"/>
        <w:gridCol w:w="571"/>
        <w:gridCol w:w="146"/>
        <w:gridCol w:w="146"/>
        <w:gridCol w:w="211"/>
        <w:gridCol w:w="571"/>
        <w:gridCol w:w="146"/>
        <w:gridCol w:w="146"/>
        <w:gridCol w:w="211"/>
        <w:gridCol w:w="571"/>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2019 EIP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2019 NED EIP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As of June 30, 2026, the total unrecognized compensation cost related to outstanding share awards was $4.0 million, which the Company expects to recognize over a weighted-average period of 1.5 years</w:t>
      </w:r>
      <w:r>
        <w:rPr>
          <w:rFonts w:ascii="Times New Roman" w:hAnsi="Times New Roman"/>
          <w:i/>
          <w:color w:val="000000"/>
          <w:sz w:val="20"/>
        </w:rPr>
        <w:t>.</w:t>
      </w:r>
    </w:p>
    <w:p>
      <w:pPr>
        <w:pStyle w:val="TextBody"/>
        <w:bidi w:val="0"/>
        <w:jc w:val="left"/>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2019 EIP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awarded the following instruments under the 2019 EIP:</w:t>
      </w:r>
    </w:p>
    <w:p>
      <w:pPr>
        <w:pStyle w:val="TextBody"/>
        <w:bidi w:val="0"/>
        <w:spacing w:before="240" w:after="283"/>
        <w:jc w:val="both"/>
        <w:rPr>
          <w:rFonts w:ascii="Times New Roman" w:hAnsi="Times New Roman"/>
          <w:sz w:val="20"/>
        </w:rPr>
      </w:pPr>
      <w:r>
        <w:rPr>
          <w:rFonts w:ascii="Times New Roman" w:hAnsi="Times New Roman"/>
          <w:b/>
          <w:i/>
          <w:color w:val="000000"/>
          <w:sz w:val="20"/>
        </w:rPr>
        <w:t>Share Options (“Options”)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Options issued under the EIP have a contractual term of 10 years. Options generally permit the recipient to purchase ADSs at an exercise price equal to the market price of the underlying ADSs on the date of grant, however certain awards granted in the six months ended June 30, 2026 had an exercise price higher than the market price of the underlying ADSs on the date of grant.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Options generally vest over four years, with one-fourth of the award vesting on the first anniversary of the grant date and the remainder vesting in equal monthly installments over the three-year period thereafter, however in the six months ended June 30, 2026, certain options were granted </w:t>
      </w:r>
      <w:r>
        <w:rPr>
          <w:rFonts w:ascii="Times New Roman" w:hAnsi="Times New Roman"/>
          <w:color w:val="231F20"/>
          <w:sz w:val="18"/>
        </w:rPr>
        <w:t>that</w:t>
      </w:r>
      <w:r>
        <w:rPr>
          <w:rFonts w:ascii="Times New Roman" w:hAnsi="Times New Roman"/>
          <w:color w:val="000000"/>
          <w:sz w:val="20"/>
        </w:rPr>
        <w:t xml:space="preserve"> vest in equal monthly installments over a one year period from the grant date. No performance conditions apply to Options granted.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the Company’s Options activity and related information under the 2019 EIP for the six months ended June 30, 2026 is as follows:</w:t>
      </w:r>
    </w:p>
    <w:p>
      <w:pPr>
        <w:pStyle w:val="TextBody"/>
        <w:bidi w:val="0"/>
        <w:jc w:val="left"/>
        <w:rPr/>
      </w:pPr>
      <w:r>
        <w:rPr/>
        <w:t> </w:t>
      </w:r>
    </w:p>
    <w:tbl>
      <w:tblPr>
        <w:tblW w:w="6226" w:type="dxa"/>
        <w:jc w:val="left"/>
        <w:tblInd w:w="0" w:type="dxa"/>
        <w:tblLayout w:type="fixed"/>
        <w:tblCellMar>
          <w:top w:w="28" w:type="dxa"/>
          <w:left w:w="28" w:type="dxa"/>
          <w:bottom w:w="28" w:type="dxa"/>
          <w:right w:w="28" w:type="dxa"/>
        </w:tblCellMar>
      </w:tblPr>
      <w:tblGrid>
        <w:gridCol w:w="1996"/>
        <w:gridCol w:w="146"/>
        <w:gridCol w:w="146"/>
        <w:gridCol w:w="1036"/>
        <w:gridCol w:w="166"/>
        <w:gridCol w:w="146"/>
        <w:gridCol w:w="285"/>
        <w:gridCol w:w="631"/>
        <w:gridCol w:w="146"/>
        <w:gridCol w:w="146"/>
        <w:gridCol w:w="375"/>
        <w:gridCol w:w="616"/>
        <w:gridCol w:w="3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options</w:t>
              <w:br/>
              <w:t>(ADSs)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br/>
              <w:t>($'000)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13,477,883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19,831,645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11,092,881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weighted average fair value per ADS of Options granted during the six months ended June 30, 2026 and 2025 was $0.39 and $2.42,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weighted average contractual life of Options outstanding as of June 30, 2026 and December 31, 2025 was 7.4 years and 7.0 years, respectively. The weighted average contractual life for vested Options as of June 30, 2026 and December 31, 2025 was 6.2 years and 6.3 years,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Where presented, the aggregate intrinsic value is calculated as the difference between the exercise price of the underlying awards and the quoted market price of the Company’s ADSs for the Options that were in-the-money.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each Option is estimated on the date of grant using the Black-Scholes option pricing model using the following weighted average assumptions:</w:t>
      </w:r>
    </w:p>
    <w:p>
      <w:pPr>
        <w:pStyle w:val="TextBody"/>
        <w:bidi w:val="0"/>
        <w:jc w:val="left"/>
        <w:rPr/>
      </w:pPr>
      <w:r>
        <w:rPr/>
        <w:t> </w:t>
      </w:r>
    </w:p>
    <w:tbl>
      <w:tblPr>
        <w:tblW w:w="4699" w:type="dxa"/>
        <w:jc w:val="left"/>
        <w:tblInd w:w="0" w:type="dxa"/>
        <w:tblLayout w:type="fixed"/>
        <w:tblCellMar>
          <w:top w:w="28" w:type="dxa"/>
          <w:left w:w="28" w:type="dxa"/>
          <w:bottom w:w="28" w:type="dxa"/>
          <w:right w:w="28" w:type="dxa"/>
        </w:tblCellMar>
      </w:tblPr>
      <w:tblGrid>
        <w:gridCol w:w="2176"/>
        <w:gridCol w:w="146"/>
        <w:gridCol w:w="146"/>
        <w:gridCol w:w="676"/>
        <w:gridCol w:w="271"/>
        <w:gridCol w:w="146"/>
        <w:gridCol w:w="146"/>
        <w:gridCol w:w="676"/>
        <w:gridCol w:w="316"/>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Expected volatility is calculated by reference to the historical volatility of the Company's ADSs. The grant date fair value is recognized over the requisite service period using the accelerated graded-vesting attribution method.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 (“RSUs”)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the Company’s RSU activity and related information under the 2019 EIP for the six months ended June 30, 2026 is as follows:</w:t>
      </w:r>
    </w:p>
    <w:p>
      <w:pPr>
        <w:pStyle w:val="TextBody"/>
        <w:bidi w:val="0"/>
        <w:jc w:val="left"/>
        <w:rPr/>
      </w:pPr>
      <w:r>
        <w:rPr/>
        <w:t> </w:t>
      </w:r>
    </w:p>
    <w:tbl>
      <w:tblPr>
        <w:tblW w:w="4706" w:type="dxa"/>
        <w:jc w:val="left"/>
        <w:tblInd w:w="0" w:type="dxa"/>
        <w:tblLayout w:type="fixed"/>
        <w:tblCellMar>
          <w:top w:w="28" w:type="dxa"/>
          <w:left w:w="28" w:type="dxa"/>
          <w:bottom w:w="28" w:type="dxa"/>
          <w:right w:w="28" w:type="dxa"/>
        </w:tblCellMar>
      </w:tblPr>
      <w:tblGrid>
        <w:gridCol w:w="1936"/>
        <w:gridCol w:w="146"/>
        <w:gridCol w:w="148"/>
        <w:gridCol w:w="857"/>
        <w:gridCol w:w="166"/>
        <w:gridCol w:w="146"/>
        <w:gridCol w:w="285"/>
        <w:gridCol w:w="631"/>
        <w:gridCol w:w="3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RSUs</w:t>
              <w:br/>
              <w:t>(ADSs)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Grant</w:t>
              <w:br/>
              <w:t>Date Fair</w:t>
              <w:br/>
              <w:t>Value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245,959</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and December 31, 2025, the weighted average remaining vesting period of RSUs outstanding was 1.7 and 2.0 years, respectively. The total fair value of RSUs vested and delivered during the six months ended June 30, 2026 and 2025 was $0.1 million and $0.4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each RSU was calculated by reference to the value of the shares awarded. The grant date fair value is recognized over the vesting period using the accelerated graded-vesting attribution method.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2019 NED EIP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awarded the following instruments under the 2019 NED EIP:</w:t>
      </w:r>
    </w:p>
    <w:p>
      <w:pPr>
        <w:pStyle w:val="TextBody"/>
        <w:bidi w:val="0"/>
        <w:spacing w:before="240" w:after="283"/>
        <w:jc w:val="left"/>
        <w:rPr>
          <w:rFonts w:ascii="Times New Roman" w:hAnsi="Times New Roman"/>
          <w:sz w:val="20"/>
        </w:rPr>
      </w:pPr>
      <w:r>
        <w:rPr>
          <w:rFonts w:ascii="Times New Roman" w:hAnsi="Times New Roman"/>
          <w:b/>
          <w:i/>
          <w:color w:val="000000"/>
          <w:sz w:val="20"/>
        </w:rPr>
        <w:t>Options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the Company’s Options activity and related information under the 2019 NED EIP for the six months ended June 30, 2026 is as follows:</w:t>
      </w:r>
    </w:p>
    <w:p>
      <w:pPr>
        <w:pStyle w:val="TextBody"/>
        <w:bidi w:val="0"/>
        <w:jc w:val="left"/>
        <w:rPr/>
      </w:pPr>
      <w:r>
        <w:rPr/>
        <w:t> </w:t>
      </w:r>
    </w:p>
    <w:tbl>
      <w:tblPr>
        <w:tblW w:w="6061" w:type="dxa"/>
        <w:jc w:val="left"/>
        <w:tblInd w:w="0" w:type="dxa"/>
        <w:tblLayout w:type="fixed"/>
        <w:tblCellMar>
          <w:top w:w="28" w:type="dxa"/>
          <w:left w:w="28" w:type="dxa"/>
          <w:bottom w:w="28" w:type="dxa"/>
          <w:right w:w="28" w:type="dxa"/>
        </w:tblCellMar>
      </w:tblPr>
      <w:tblGrid>
        <w:gridCol w:w="1936"/>
        <w:gridCol w:w="146"/>
        <w:gridCol w:w="146"/>
        <w:gridCol w:w="931"/>
        <w:gridCol w:w="166"/>
        <w:gridCol w:w="146"/>
        <w:gridCol w:w="285"/>
        <w:gridCol w:w="631"/>
        <w:gridCol w:w="146"/>
        <w:gridCol w:w="146"/>
        <w:gridCol w:w="375"/>
        <w:gridCol w:w="616"/>
        <w:gridCol w:w="3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options</w:t>
              <w:br/>
              <w:t>(ADSs)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br/>
              <w:t>($'000)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2,455,087</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37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ind w:left="0" w:right="0" w:firstLine="200"/>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weighted average fair value per ADS of Options granted during the six months ended June 30, 2026 and 2025 was $0.34 and $2.51,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contractual life of Options outstanding as of June 30, 2026 and December 31, 2025 was 7.2 years and 7.0 years, respectively. The weighted average contractual life for vested Options as of June 30, 2026 and December 31, 2025 was 6.8 years and 7.0 years,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Where presented, the aggregate intrinsic value is calculated as the difference between the exercise price of the underlying awards and the quoted market price of the Company’s ADSs for the Options that were in-the-money.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each Option is estimated on the date of grant using the Black-Scholes option pricing model using the following weighted average assumptions: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4699" w:type="dxa"/>
        <w:jc w:val="left"/>
        <w:tblInd w:w="0" w:type="dxa"/>
        <w:tblLayout w:type="fixed"/>
        <w:tblCellMar>
          <w:top w:w="28" w:type="dxa"/>
          <w:left w:w="28" w:type="dxa"/>
          <w:bottom w:w="28" w:type="dxa"/>
          <w:right w:w="28" w:type="dxa"/>
        </w:tblCellMar>
      </w:tblPr>
      <w:tblGrid>
        <w:gridCol w:w="2176"/>
        <w:gridCol w:w="146"/>
        <w:gridCol w:w="146"/>
        <w:gridCol w:w="676"/>
        <w:gridCol w:w="271"/>
        <w:gridCol w:w="146"/>
        <w:gridCol w:w="146"/>
        <w:gridCol w:w="676"/>
        <w:gridCol w:w="316"/>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Expected volatility is calculated by reference to the historical volatility of the Company's ADSs. The grant date fair value is recognized over the vesting period using the accelerated graded-vesting attribution method.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Deferred Restricted Stock Units (“DRSUs”)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the Company’s DRSUs activity and related information under the 2019 NED EIP for the six months ended June 30, 2026 is as follows:</w:t>
      </w:r>
    </w:p>
    <w:p>
      <w:pPr>
        <w:pStyle w:val="TextBody"/>
        <w:bidi w:val="0"/>
        <w:jc w:val="both"/>
        <w:rPr/>
      </w:pPr>
      <w:r>
        <w:rPr/>
        <w:t> </w:t>
      </w:r>
    </w:p>
    <w:tbl>
      <w:tblPr>
        <w:tblW w:w="4778" w:type="dxa"/>
        <w:jc w:val="left"/>
        <w:tblInd w:w="0" w:type="dxa"/>
        <w:tblLayout w:type="fixed"/>
        <w:tblCellMar>
          <w:top w:w="28" w:type="dxa"/>
          <w:left w:w="28" w:type="dxa"/>
          <w:bottom w:w="28" w:type="dxa"/>
          <w:right w:w="28" w:type="dxa"/>
        </w:tblCellMar>
      </w:tblPr>
      <w:tblGrid>
        <w:gridCol w:w="1936"/>
        <w:gridCol w:w="146"/>
        <w:gridCol w:w="146"/>
        <w:gridCol w:w="931"/>
        <w:gridCol w:w="166"/>
        <w:gridCol w:w="146"/>
        <w:gridCol w:w="285"/>
        <w:gridCol w:w="631"/>
        <w:gridCol w:w="3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DRSUs</w:t>
              <w:br/>
              <w:t>(ADSs)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Grant</w:t>
              <w:br/>
              <w:t>Date Fair</w:t>
              <w:br/>
              <w:t>Value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1,547,683</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ind w:left="0" w:right="0" w:firstLine="200"/>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2025, there were 10,350 DRSUs unvested with a weighted average grant date fair value of $3.16 per DRSU. The total fair value of DRSUs vested during the six months ended June 30, 2026 and 2025 was $0.1 million and $0.2 million,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each DRSU was calculated by reference to the value of the shares awarded. The grant date fair value is recognized over the vesting period using the accelerated graded-vesting attribution method.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Previous Share Option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Mereo previously granted Options to employees under the Previous Share Options Plans. No awards have been granted under either of these plans following the introduction of the 2019 EIP and the 2019 NED EIP and no further awards are envisioned.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the Company’s Options activity and related information under the Previous Share Options Plans for the six months ended June 30, 2026 is as follows; all outstanding Options are vested:</w:t>
      </w:r>
    </w:p>
    <w:p>
      <w:pPr>
        <w:pStyle w:val="TextBody"/>
        <w:bidi w:val="0"/>
        <w:spacing w:before="240" w:after="283"/>
        <w:jc w:val="left"/>
        <w:rPr/>
      </w:pPr>
      <w:r>
        <w:rPr/>
        <w:t> </w:t>
      </w:r>
    </w:p>
    <w:tbl>
      <w:tblPr>
        <w:tblW w:w="6049" w:type="dxa"/>
        <w:jc w:val="left"/>
        <w:tblInd w:w="0" w:type="dxa"/>
        <w:tblLayout w:type="fixed"/>
        <w:tblCellMar>
          <w:top w:w="28" w:type="dxa"/>
          <w:left w:w="28" w:type="dxa"/>
          <w:bottom w:w="28" w:type="dxa"/>
          <w:right w:w="28" w:type="dxa"/>
        </w:tblCellMar>
      </w:tblPr>
      <w:tblGrid>
        <w:gridCol w:w="1996"/>
        <w:gridCol w:w="146"/>
        <w:gridCol w:w="158"/>
        <w:gridCol w:w="847"/>
        <w:gridCol w:w="166"/>
        <w:gridCol w:w="146"/>
        <w:gridCol w:w="247"/>
        <w:gridCol w:w="669"/>
        <w:gridCol w:w="146"/>
        <w:gridCol w:w="146"/>
        <w:gridCol w:w="375"/>
        <w:gridCol w:w="616"/>
        <w:gridCol w:w="3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options</w:t>
              <w:br/>
              <w:t>(ADSs)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br/>
              <w:t>($'000)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weighted average contractual life of Options outstanding and vested at June 30, 2026 and December 31, 2025 was 1.4 years and 1.1 years,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loss per share is calculated by dividing the loss attributable to ordinary equity holders of the Company for the period by the weighted average number of ordinary shares outstanding during the period. Diluted loss per share is based on dividing the loss attributable for the period, adjusted for the effect of dilutive ordinary shares, by ordinary share equivalents, which includes the weighted average number of ordinary shares outstanding and the effect of dilutive ordinary share equivalents.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89"/>
        <w:gridCol w:w="146"/>
        <w:gridCol w:w="250"/>
        <w:gridCol w:w="1355"/>
        <w:gridCol w:w="166"/>
        <w:gridCol w:w="146"/>
        <w:gridCol w:w="250"/>
        <w:gridCol w:w="1355"/>
        <w:gridCol w:w="166"/>
        <w:gridCol w:w="146"/>
        <w:gridCol w:w="250"/>
        <w:gridCol w:w="1355"/>
        <w:gridCol w:w="166"/>
        <w:gridCol w:w="146"/>
        <w:gridCol w:w="250"/>
        <w:gridCol w:w="1355"/>
        <w:gridCol w:w="214"/>
      </w:tblGrid>
      <w:tr>
        <w:trPr/>
        <w:tc>
          <w:tcPr>
            <w:tcW w:w="24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 except share and per share</w:t>
              <w:br/>
              <w:t>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 except share and per share</w:t>
              <w:br/>
              <w:t>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 except share and per share</w:t>
              <w:br/>
              <w:t>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 except share and per share</w:t>
              <w:br/>
              <w:t>amounts)</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(27,503</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used in computing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803,562,708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799,435,329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802,688,993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794,022,295</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potentially dilutive securities in the table below have been excluded from the computation of diluted loss per share as the effect for the three and six months ended June 30, 2026 and 2025 would be to reduce the loss per share. Therefore, the weighted average number of ordinary shares outstanding used to calculate both basic and diluted loss per share is the same.</w:t>
      </w:r>
    </w:p>
    <w:p>
      <w:pPr>
        <w:pStyle w:val="TextBody"/>
        <w:bidi w:val="0"/>
        <w:jc w:val="left"/>
        <w:rPr/>
      </w:pPr>
      <w:r>
        <w:rPr/>
        <w:t> </w:t>
      </w:r>
    </w:p>
    <w:tbl>
      <w:tblPr>
        <w:tblW w:w="5979" w:type="dxa"/>
        <w:jc w:val="left"/>
        <w:tblInd w:w="0" w:type="dxa"/>
        <w:tblLayout w:type="fixed"/>
        <w:tblCellMar>
          <w:top w:w="28" w:type="dxa"/>
          <w:left w:w="28" w:type="dxa"/>
          <w:bottom w:w="28" w:type="dxa"/>
          <w:right w:w="28" w:type="dxa"/>
        </w:tblCellMar>
      </w:tblPr>
      <w:tblGrid>
        <w:gridCol w:w="2881"/>
        <w:gridCol w:w="146"/>
        <w:gridCol w:w="146"/>
        <w:gridCol w:w="1141"/>
        <w:gridCol w:w="146"/>
        <w:gridCol w:w="146"/>
        <w:gridCol w:w="146"/>
        <w:gridCol w:w="1036"/>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shares issuable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114,748,740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87,454,220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2,487,816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classified in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3,551,699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15. Commitments and contingencies</w:t>
      </w:r>
    </w:p>
    <w:p>
      <w:pPr>
        <w:pStyle w:val="TextBody"/>
        <w:bidi w:val="0"/>
        <w:spacing w:before="240" w:after="283"/>
        <w:jc w:val="left"/>
        <w:rPr>
          <w:rFonts w:ascii="Times New Roman" w:hAnsi="Times New Roman"/>
          <w:sz w:val="20"/>
        </w:rPr>
      </w:pPr>
      <w:r>
        <w:rPr>
          <w:rFonts w:ascii="Times New Roman" w:hAnsi="Times New Roman"/>
          <w:b/>
          <w:i/>
          <w:color w:val="000000"/>
          <w:sz w:val="20"/>
        </w:rPr>
        <w:t>Indemnification agreements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and agreements that contain a variety of representations and warranties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However, the Company may record charges in the future as a result of these indemnification obligations. In accordance with the Articles of Association, the Company has indemnification obligations to its officers and directors for certain events or occurrences, subject to certain limits, while they are serving at the Company’s request in such capacity. There have been no claims to date, and the Company has director and officer insurance that may enable it to recover a portion of any amounts paid for future potential claims.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Novartis Asset Purchase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agreed to make future payments to Novartis comprising amounts equal to ascending specified percentages of tiered annual worldwide net sales (beginning at high single digits and reaching into double digits at higher sales) of products that include the assets acquired. The levels of ascending percentages of tiered annual worldwide net sales are stipulated under the respective Purchase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further agreed that in the event it transfers, licenses, assigns or leases all or substantially all of its assets, it will pay Novartis a percentage of the proceeds of such transaction, subject to certain deductions. The payment of a percentage of proceeds is not payable with respect to any transaction involving equity interests of Mereo BioPharma Group plc, a merger or consolidation of Mereo BioPharma Group plc, or a sale of any assets of Mereo BioPharma Group plc.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License agreement with AstraZeneca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2017, the Company entered into an exclusive license and option agreement (the “AstraZeneca License Agreement”) and subscription deed (the “AstraZeneca Subscription Deed”), together (the “Original Agreements”) with AstraZeneca AB (“AstraZeneca”). Each of these were amended on November 8, 2024, when the Company entered into an amendment and restatement agreement related to the AstraZeneca License Agreement (the “Amended AstraZeneca License Agreement”) and a Deed of Amendment and Restatement related to the AstraZeneca Subscription Deed (the “Amended AstraZeneca Subscription Deed”) together (the “Amended AstraZeneca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Original Agreements, the Company obtained from AstraZeneca an exclusive worldwide, sub-licensable license under AstraZeneca’s intellectual property rights relating to alvelestat, with an option to acquire such intellectual property rights following commencement of a pivotal trial and payment of related milestone payments, together with the acquisition of certain related assets. Upon entering into the Original Agreements, the Company made a payment of $3.0 million and issued 490,798 ordinary shares (equivalent to 98,159 ADSs) to AstraZeneca, for an aggregate upfront payment equal to $5.0 million. Upon execution of the Amended AstraZeneca License Agreement, the Company issued 2,044,390 ordinary shares and paid $0.5 million to AstraZeneca in respect of an agreed milestone.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Amended AstraZeneca Agreements, the Company has agreed, in connection with certain further development and regulatory milestones, to make potential future payments both in cash and through the issue of a variable number of additional ADSs to AstraZeneca of up to $114.3 million in the aggregate for products included in the Amended AstraZeneca License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ADSs to be issued to satisfy each equity milestone is determined by dividing a monetary amount by a defined subscription price based on the weighted average trading price of the Company's ADSs, and the obligation is presented as a liability under ASC Topic 480, Distinguishing Liabilities from Equity. The Company continues to reassess the fair value of such instruments in each reporting period until the milestones are achieved, if ever, and the issuance of shares occurs. As of June 30, 2026 and December 31, 2025, the Company has determined the fair value of the equity milestones to be paid in a variable number of shares pursuant to its Amended AstraZeneca License Agreement to be negligible and therefore assigned a nil value to the instrument. This is due to the pervasive uncertainty involved in establishing the amounts, timing and likelihood of the future cash flows, including the Company’s ability to secure either a partnership or alternative forms of non-dilutive financing, the possible terms and rate of such a partnership or financing, the clinical and regulatory performance of the product candidate and the lack of comparable recent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development and regulatory milestones, the Company has agreed to make payments to AstraZeneca based on specified commercial milestones of the product. The Company has also agreed to pay a specified percentage of sub-licensing revenue to AstraZeneca and to make royalty payments to AstraZeneca equal to ascending specified percentages of tiered annual worldwide net sales by the Company of licensed products (subject to certain reductions), ranging from the high single digits to low double digits. Royalties will be payable on a licensed-product-by-licensed-product and country-by-country basis until the later of ten years after the first commercial sale of such licensed product in such country and expiration of the last patent covering such licensed product in such country that would be sufficient to prevent generic entry. The Company has agreed to use commercially reasonable efforts to develop and commercialize at least one licensed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Amended AstraZeneca License Agreement will expire on the expiration of the last-to-expire royalty term with respect to all licensed products. Upon the expiration of the royalty term for a licensed product in a particular country, the licenses to the Company for such product in such country will become fully paid and irrevocable. Prior to exercise of the Option, if at all, the Company may terminate the Amended AstraZeneca License Agreement upon prior written notice. Either party may terminate the agreement upon prior written notice for the other party’s material breach that remains uncured for a specified period of time or insolvency.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enters into contracts in the normal course of business with contract research organizations (“CROs”), contract manufacturing organizations (“CMOs”) and other third parties to assist in the performance of research and development activities and other services and products for operating purposes. The contracts with CROs generally provide for termination on notice, and therefore, are cancellable contracts and not included herein. The Company had no manufacturing commitments with CMOs as of June 30, 2026 and December 31, 2025.</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Manufacturing and supply agreement with Ultragenyx</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2024, the Company entered into a manufacturing and supply agreement with Ultragenyx Pharmaceutical Inc. (“Ultragenyx”) under which Ultragenyx is responsible for the manufacture and supply of setrusumab to the Company in its territories. The Company is also required to reimburse Ultragenyx for a portion of the manufacturing process development costs, future commercial supply costs as well as a portion of costs in the event of cancellation of certain manufacturing slots. Pursuant to this agreement, the Company has recognized $2.3 million for its share of the costs related to cancellation of certain manufacturing slots by Ultragenyx in the six months ended June 30, 2026. Any additional payments are subject to our agreement and cannot currently be estimated.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Putative Securities Class Action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February 4, 2026, a putative class action complaint was filed in the United States District Court for the Southern District of New York against the Company, its Chief Executive Officer, Denise Scots-Knight, and its Chief Scientific Officer, John Lewicki (the “Defendants”). This action, captioned </w:t>
      </w:r>
      <w:r>
        <w:rPr>
          <w:rFonts w:ascii="Times New Roman" w:hAnsi="Times New Roman"/>
          <w:i/>
          <w:color w:val="000000"/>
          <w:sz w:val="20"/>
        </w:rPr>
        <w:t>Dodge v. Mereo Biopharma Group PLC</w:t>
      </w:r>
      <w:r>
        <w:rPr>
          <w:rFonts w:ascii="Times New Roman" w:hAnsi="Times New Roman"/>
          <w:color w:val="000000"/>
          <w:sz w:val="20"/>
        </w:rPr>
        <w:t xml:space="preserve"> (No. 1:26-cv-988), alleges that the Defendants violated federal securities law by making false and misleading statements regarding the Company's business and operations. The Plaintiff seeks the payment of damages allegedly sustained by her and the putative class by reason of the allegations set forth in the complaint, plus interest, and legal and other costs and fees. On April 29, 2026, the court appointed a lead plaintiff and lead counsel. The Lead Plaintiff filed an amended complaint on July 13, 2026. No responsive pleadings have been filed to date. The Company intends to vigorously defend against this action, but at this early stage, the Company can neither predict the ultimate outcome, nor estimate any range of possible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Company may be a party to litigation or subject to claims incident to the ordinary course of business. Except for the abovementioned putative securities class action, the Company was not a party to any material litigation and did not have any material contingency reserves established for any liabilities as of June 30, 2026 and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16. Related party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three and six months ended June 30, 2026 and 2025, there were no reportable related party transactions.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17. Segment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one operating segment focused on the business of developing rare disease therapies. The chief operating decision maker, its Chief Executive Officer, assesses performance for the entity and decides how to allocate resources based on consolidated net loss before income tax, which is reported on the condensed consolidated statements of operations and comprehensive loss. The measure of segment assets is reported on the condensed consolidated balance sheet as total consolidated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chief operating decision maker uses consolidated net loss before income tax and budget-to-actual variances for consolidated net loss before income tax to assess the performance of the operating segment.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certain financial data for the Company’s reportable segment, including significant segment expenses regularly provided to the chief operating decision maker to assess performance of the Company.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8267" w:type="dxa"/>
        <w:jc w:val="left"/>
        <w:tblInd w:w="0" w:type="dxa"/>
        <w:tblLayout w:type="fixed"/>
        <w:tblCellMar>
          <w:top w:w="28" w:type="dxa"/>
          <w:left w:w="28" w:type="dxa"/>
          <w:bottom w:w="28" w:type="dxa"/>
          <w:right w:w="28" w:type="dxa"/>
        </w:tblCellMar>
      </w:tblPr>
      <w:tblGrid>
        <w:gridCol w:w="3091"/>
        <w:gridCol w:w="146"/>
        <w:gridCol w:w="211"/>
        <w:gridCol w:w="631"/>
        <w:gridCol w:w="166"/>
        <w:gridCol w:w="146"/>
        <w:gridCol w:w="211"/>
        <w:gridCol w:w="736"/>
        <w:gridCol w:w="166"/>
        <w:gridCol w:w="146"/>
        <w:gridCol w:w="211"/>
        <w:gridCol w:w="736"/>
        <w:gridCol w:w="166"/>
        <w:gridCol w:w="146"/>
        <w:gridCol w:w="211"/>
        <w:gridCol w:w="736"/>
        <w:gridCol w:w="41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Setrusumab (BPS-804/UX143)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Alvelestat (MPH-966)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Etigilimab (MPH-313)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(27,503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segment items consist of interest income, interest expense, change in fair value of warrants, foreign currency transaction (loss)/gain, net and benefit from research and development tax credit. These are disclosed in the condensed consolidated statements of operations and comprehensive loss.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18. Subsequent events</w:t>
      </w:r>
    </w:p>
    <w:p>
      <w:pPr>
        <w:pStyle w:val="TextBody"/>
        <w:bidi w:val="0"/>
        <w:spacing w:before="251" w:after="283"/>
        <w:jc w:val="left"/>
        <w:rPr>
          <w:rFonts w:ascii="Times New Roman" w:hAnsi="Times New Roman"/>
          <w:color w:val="000000"/>
          <w:sz w:val="20"/>
        </w:rPr>
      </w:pPr>
      <w:r>
        <w:rPr>
          <w:rFonts w:ascii="Times New Roman" w:hAnsi="Times New Roman"/>
          <w:color w:val="000000"/>
          <w:sz w:val="20"/>
        </w:rPr>
        <w:t>On August 11, 2026, the Company entered into an Option and License Agreement (the “Sentynl Agreement”) with Sentynl Therapeutics, Inc. (“Sentynl”) for the U.S. commercial and global manufacturing rights to alvelestat for AATD-LD. Under the Sentynl Agreement, Mereo will receive a non-refundable option fee and, on option exercise, is eligible to receive $40 million in upfront and R&amp;D payments, up to $435 million in potential milestones, and double-digit tiered royalties on U.S. sales of alvelestat. Mereo will lead the global Phase 3 study and regulatory interactions until the study is completed. During the option period, the Company and Sentynl will collaborate to advance manufacturing and refine the Phase 3 study design.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9" w:name="mda"/>
      <w:bookmarkEnd w:id="9"/>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appearing elsewhere in this Quarterly Report and the audited consolidated financial statements and notes thereto and management’s discussion and analysis of financial condition and results of operations for the year ended December 31, 2025, included in our 2025 Annual Report.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our 2025 Annual Report, our actual results could differ materially from the results described in, or implied by, these forward-looking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biopharmaceutical company focused on the development of innovative therapeutics for rare diseases. We have developed a portfolio of late-stage clinical product candidates. Our late-stage rare disease product candidates are setrusumab for the treatment of OI and alvelestat for the treatment of severe AATD-LD. Setrusumab has received orphan designation for OI from the European Commission (“EC”) and the U.S. Food and Drug Administration (“FDA”), PRIME designation from the European Medicines Agency (“EMA”) and has Breakthrough Therapy designation and rare pediatric disease designation from the FDA. Alvelestat has received orphan designation for AATD from the EC and the FDA, and Fast Track designation for the treatment of AATD-LD from the FDA. We also have an early-stage rare disease program, vantictumab, for the treatment of a second bone disease, ADO2. The global development of vantictumab is being funded and led by our partner, āshibio, Inc. (“āshibio”), and we retain the European commercial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strategy is to selectively acquire and develop product candidates for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all of our clinical-stage product candidates of which three were in rare diseases. We have successfully completed large, randomized Phase 2 clinical trials for four of our product candidates and the Phase 1b portion of a Phase 1b/2 for a fifth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rare diseases involves close collaboration with key opinion leaders and investigators, and close coordination with patient organizations. Rare disease patients are typically treated at a limited number of specialized sites which helps identification of the patient population and enables a small, targeted sales infrastructure to commercialize the products in key markets.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Recent Events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Setrusumab (BPS-804/UX143) for the Treatment of Osteogenesis Imperfecta (OI)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2025 we, and our partner Ultragenyx, announced that the Phase 3 Orbit and Cosmic studies for our lead program setrusumab in OI did not achieve their primary endpoint of reduction in annualized clinical fracture rate compared to placebo (Orbit) or bisphosphonates (Cosmic).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2026, topline safety and efficacy data from both studies were presented and included data on bone mineral density, vertebral fractures, and patient reported outcomes on pain and physical function. We believe the data across two global Phase 3 studies suggest that setrusumab has a meaningful effect on bone disease in OI. We will continue to engage regulatory agencies to determine the necessary data to support a regulatory filing and if there is a potential path forward for setrusumab.</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Alvelestat (MPH-966) for the Treatment of Severe Alpha-1 Antitrypsin Deficiency-Associated Lung Disease (AATD-LD)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11, 2026, we entered into an Option and License Agreement (the "Sentynl Agreement") with Sentynl Therapeutics, Inc. (“Sentynl”), a U.S.-based biopharmaceutical company, for the U.S. commercial and global manufacturing rights to alvelestat for AATD-LD. Alvelestat is a neutrophil elastase inhibitor being readied for Phase 3 and, if approved, would be the first oral treatment for this rare, progressive genetic lung disease affecting an estimated 75,000 people in North America and 110,000 in Europe.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Sentynl Agreement, we will receive a non-refundable option fee and, on option exercise, we are eligible to receive $40 million in upfront and R&amp;D payments, up to $435 million in potential milestones, and double-digit tiered royalties on U.S. sales of alvelestat. We will lead the global Phase 3 study and regulatory interactions until the study is completed. During the option period, we and Sentynl will collaborate to advance manufacturing and refine the Phase 3 study design.</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three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Mereo’s results of operations for the three months ended June 30, 2026 and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23"/>
        <w:gridCol w:w="146"/>
        <w:gridCol w:w="249"/>
        <w:gridCol w:w="748"/>
        <w:gridCol w:w="196"/>
        <w:gridCol w:w="173"/>
        <w:gridCol w:w="249"/>
        <w:gridCol w:w="872"/>
        <w:gridCol w:w="166"/>
        <w:gridCol w:w="146"/>
        <w:gridCol w:w="211"/>
        <w:gridCol w:w="631"/>
        <w:gridCol w:w="395"/>
      </w:tblGrid>
      <w:tr>
        <w:trPr/>
        <w:tc>
          <w:tcPr>
            <w:tcW w:w="60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60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the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transaction 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research and development tax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(7,005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7,611</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(7,005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7,611</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 Foreign currency translation adjustments,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(6,361</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(6,719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1,250</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revenue was recognized for the three months ended June 30, 2026. Revenue of $0.5 million for the three months ended June 30, 2025 comprised a one-time milestone payment of $0.5 million resulting from the achievement of a clinical milestone on leflutrozole by ReproNovo pursuant to the ReproNovo Licensing Agreement. </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i/>
          <w:color w:val="000000"/>
          <w:sz w:val="20"/>
        </w:rPr>
        <w:t>Cost of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cost of revenue was recognized for the three months ended June 30, 2026. Cost of revenue for the three months ended June 30, 2025 was $0.1 million and represents amounts payable pursuant to the 2015 asset purchase agreement with Novartis for leflutrozole, under which the Company pays a percentage of proceeds resulting from milestone revenue received, subject to certain deductions and other amounts.</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("R&amp;D")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our R&amp;D expenses by product development program for the three months ended June 30, 2026 and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6584" w:type="dxa"/>
        <w:jc w:val="left"/>
        <w:tblInd w:w="0" w:type="dxa"/>
        <w:tblLayout w:type="fixed"/>
        <w:tblCellMar>
          <w:top w:w="28" w:type="dxa"/>
          <w:left w:w="28" w:type="dxa"/>
          <w:bottom w:w="28" w:type="dxa"/>
          <w:right w:w="28" w:type="dxa"/>
        </w:tblCellMar>
      </w:tblPr>
      <w:tblGrid>
        <w:gridCol w:w="2596"/>
        <w:gridCol w:w="146"/>
        <w:gridCol w:w="291"/>
        <w:gridCol w:w="789"/>
        <w:gridCol w:w="201"/>
        <w:gridCol w:w="201"/>
        <w:gridCol w:w="291"/>
        <w:gridCol w:w="789"/>
        <w:gridCol w:w="146"/>
        <w:gridCol w:w="146"/>
        <w:gridCol w:w="146"/>
        <w:gridCol w:w="631"/>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Setrusumab (BPS-804/UX143)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Alvelestat (MPH-966)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Etigilimab (MPH-313)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R&amp;D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R&amp;D expenses decreased by $3.6 million, from $5.4 million in the three months ended June 30, 2025 to $1.8 million in the three months ended June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decrease was primarily due to reductions of $2.6 million in R&amp;D expenses for setrusumab and $1.0 million for alvelestat.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in program expenses for setrusumab was primarily driven by reductions of, and delays to, investment in manufacturing and ongoing activities, including medical affairs activities in Europe during the three months ended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in program expenses for alvelestat was primarily due to the completion of activities undertaken in preparation for the potential Phase 3 study during 2025.</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decreased by $0.3 million, from $5.5 million in the three months ended June 30, 2025 to $5.2 million in the three months ended June 30, 2026. The decrease was primarily due to reductions of approximately $2.2 million driven by delays to investment in pre-commercial activities to lay the foundation for the potential commercial launch of setrusumab in Europe, and other realized cost savings. These decreases were partially offset by the recognition of a $1.9 million reduction in expenses in the three months ended June 30, 2025 for amounts received from our depository to reimburse certain expenses incurred by us in respect of our ADR program, whereas the corresponding amount in the current year was recognized in the three months ended March 31,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decreased by $0.3 million, from $0.6 million in the three months ended June 30, 2025 to $0.3 million in the three months ended June 30, 2026, principally due to a combination of lower interest rates earned and lower average cash and cash equivalents balances in the three months ended June 30, 2026 compared to the three months ended June 30, 2025.</w:t>
      </w:r>
    </w:p>
    <w:p>
      <w:pPr>
        <w:pStyle w:val="TextBody"/>
        <w:bidi w:val="0"/>
        <w:spacing w:before="240" w:after="283"/>
        <w:jc w:val="left"/>
        <w:rPr>
          <w:rFonts w:ascii="Times New Roman" w:hAnsi="Times New Roman"/>
          <w:sz w:val="20"/>
        </w:rPr>
      </w:pPr>
      <w:r>
        <w:rPr>
          <w:rFonts w:ascii="Times New Roman" w:hAnsi="Times New Roman"/>
          <w:i/>
          <w:color w:val="000000"/>
          <w:sz w:val="20"/>
        </w:rPr>
        <w:t>Changes in the fair value of warrants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total change in fair value of warrants in the three months ended June 30, 2026 was an unrealized gain of less than $0.1 million, compared to an unrealized loss of $0.1 million in the three months ended June 30, 2025. The unrealized gain in the three months ended June 30, 2026 was primarily due to the impact of decreases in the price of the Company’s ADSs on the value of the warrant liabilities while the unrealized loss in the three months ended June 30, 2025 was primarily due to the impact of increases in the price of the Company’s ADSs on the value of the warrant liabilities.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Foreign currency transaction loss,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net foreign exchange loss for the three months ended June 30, 2026 was $0.4 million, compared to a loss of $5.3 million for the three months ended June 30, 2025. This change primarily reflects the impact of a slight weakening in the value of U.S. dollars when translating U.S. dollar balances into our functional currency of pound sterling in the three months ended June 30, 2026, compared to a more significant weakening of U.S. dollars in the three months ended June 30, 2025.</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Benefit from research and development tax credit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benefit from research and development tax credit decreased by $0.6 million, from $0.7 million in the three months ended June 30, 2025 to $0.1 million in the three months ended June 30, 2026. This decrease reflects a lower level of qualifying expenditure in the three months ended June 30, 2026 than in the three months ended June 30,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comprehensive income </w:t>
      </w:r>
      <w:r>
        <w:rPr>
          <w:rFonts w:ascii="Times New Roman" w:hAnsi="Times New Roman"/>
          <w:color w:val="000000"/>
          <w:sz w:val="20"/>
        </w:rPr>
        <w:t xml:space="preserve">– </w:t>
      </w:r>
      <w:r>
        <w:rPr>
          <w:rFonts w:ascii="Times New Roman" w:hAnsi="Times New Roman"/>
          <w:i/>
          <w:color w:val="000000"/>
          <w:sz w:val="20"/>
        </w:rPr>
        <w:t>Foreign currency translation adjustments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foreign currency translation adjustment for the three months ended June 30, 2026 was a gain of $0.3 million, compared to a gain of $6.6 million in the three months ended June 30, 2025. This change primarily reflects the impact of a slight weakening in the value of U.S. dollars when translating pound sterling functional currency balances into our presentational currency of U.S. dollars in the three months ended June 30, 2026, compared to a more significant weakening of U.S. dollars in the three months ended June 30,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six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Mereo’s results of operations for the six months ended June 30, 2026 and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68"/>
        <w:gridCol w:w="146"/>
        <w:gridCol w:w="211"/>
        <w:gridCol w:w="736"/>
        <w:gridCol w:w="166"/>
        <w:gridCol w:w="146"/>
        <w:gridCol w:w="211"/>
        <w:gridCol w:w="736"/>
        <w:gridCol w:w="166"/>
        <w:gridCol w:w="146"/>
        <w:gridCol w:w="146"/>
        <w:gridCol w:w="736"/>
        <w:gridCol w:w="391"/>
      </w:tblGrid>
      <w:tr>
        <w:trPr/>
        <w:tc>
          <w:tcPr>
            <w:tcW w:w="6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the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transaction gain/(loss),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research and development tax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(loss)/income – Foreign currency translation adjustments,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revenue was recognized for six months ended June 30, 2026. Revenue of $0.5 million for the six months ended June 30, 2025 comprised a one-time milestone payment of $0.5 million resulting from the achievement of a clinical milestone on leflutrozole by ReproNovo pursuant to the ReproNovo Licensing Agreement. </w:t>
      </w:r>
    </w:p>
    <w:p>
      <w:pPr>
        <w:pStyle w:val="TextBody"/>
        <w:bidi w:val="0"/>
        <w:jc w:val="left"/>
        <w:rPr>
          <w:rFonts w:ascii="Times New Roman" w:hAnsi="Times New Roman"/>
          <w:sz w:val="20"/>
        </w:rPr>
      </w:pPr>
      <w:r>
        <w:rPr>
          <w:rFonts w:ascii="Times New Roman" w:hAnsi="Times New Roman"/>
          <w:i/>
          <w:color w:val="000000"/>
          <w:sz w:val="20"/>
        </w:rPr>
        <w:t>Cost of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cost of revenue was recognized for the six months ended June 30, 2026. Cost of revenue for the six months ended June 30, 2025 was $0.1 million and represents amounts payable pursuant to the 2015 asset purchase agreement with Novartis for leflutrozole, under which the Company pays a percentage of proceeds resulting from milestone revenue received, subject to certain deductions and other amounts. </w:t>
      </w:r>
    </w:p>
    <w:p>
      <w:pPr>
        <w:pStyle w:val="TextBody"/>
        <w:bidi w:val="0"/>
        <w:spacing w:before="240" w:after="283"/>
        <w:jc w:val="left"/>
        <w:rPr>
          <w:rFonts w:ascii="Times New Roman" w:hAnsi="Times New Roman"/>
          <w:sz w:val="20"/>
        </w:rPr>
      </w:pPr>
      <w:r>
        <w:rPr>
          <w:rFonts w:ascii="Times New Roman" w:hAnsi="Times New Roman"/>
          <w:i/>
          <w:color w:val="000000"/>
          <w:sz w:val="20"/>
        </w:rPr>
        <w:t>R&amp;D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our R&amp;D expenses by product development program for the six months ended June 30, 2026 and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6490" w:type="dxa"/>
        <w:jc w:val="left"/>
        <w:tblInd w:w="0" w:type="dxa"/>
        <w:tblLayout w:type="fixed"/>
        <w:tblCellMar>
          <w:top w:w="28" w:type="dxa"/>
          <w:left w:w="28" w:type="dxa"/>
          <w:bottom w:w="28" w:type="dxa"/>
          <w:right w:w="28" w:type="dxa"/>
        </w:tblCellMar>
      </w:tblPr>
      <w:tblGrid>
        <w:gridCol w:w="2596"/>
        <w:gridCol w:w="146"/>
        <w:gridCol w:w="146"/>
        <w:gridCol w:w="264"/>
        <w:gridCol w:w="715"/>
        <w:gridCol w:w="182"/>
        <w:gridCol w:w="182"/>
        <w:gridCol w:w="264"/>
        <w:gridCol w:w="715"/>
        <w:gridCol w:w="146"/>
        <w:gridCol w:w="146"/>
        <w:gridCol w:w="146"/>
        <w:gridCol w:w="631"/>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Setrusumab (BPS-804/UX143)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Alvelestat (MPH-966)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Etigilimab (MPH-313)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R&amp;D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6,555</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R&amp;D expenses decreased by $2.7 million, from $9.3 million in the six months ended June 30, 2025 to $6.6 million in the six months ended June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decrease was primarily due to reductions of $1.9 million in R&amp;D expenses for alvelestat and $0.8 million for setrusumab.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in program expenses for alvelestat was primarily due to the completion of activities undertaken in preparation for the potential Phase 3 study in the six months ended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decrease in program expenses for setrusumab was primarily driven by reductions of, and delays to, investment in manufacturing and ongoing activities, including medical affairs activities in Europe during the six months ended June 30, 2026, partially offset by an expense of $2.3 million for our share of certain costs related to the cancellation of manufacturing slots by Ultragenyx. </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decreased by $3.5 million, from $12.8 million in the six months ended June 30, 2025 to $9.2 million in the six months ended June 30, 2026. The decrease was primarily due to delays to investment in pre-commercial activities to lay the foundation for the potential commercial launch of setrusumab in Europe, and other realized cost savings.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income and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decreased by $0.6 million, from $1.2 million in the six months ended June 30, 2025 to $0.6 million in the six months ended June 30, 2026, principally due to a combination of lower interest rates earned and lower average cash and cash equivalents balances in the six months ended June 30, 2026 compared to the six months ended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decreased by $0.2 million, from $0.2 million in the six months ended June 30, 2025 to less than $0.1 million in the six months ended June 30, 2026. The decrease was principally due to the conversion of convertible loan notes in February 2025, following which the Company had no significant remaining interest-bearing liabilities.</w:t>
      </w:r>
    </w:p>
    <w:p>
      <w:pPr>
        <w:pStyle w:val="TextBody"/>
        <w:bidi w:val="0"/>
        <w:spacing w:before="240" w:after="283"/>
        <w:jc w:val="left"/>
        <w:rPr>
          <w:rFonts w:ascii="Times New Roman" w:hAnsi="Times New Roman"/>
          <w:sz w:val="20"/>
        </w:rPr>
      </w:pPr>
      <w:r>
        <w:rPr>
          <w:rFonts w:ascii="Times New Roman" w:hAnsi="Times New Roman"/>
          <w:i/>
          <w:color w:val="000000"/>
          <w:sz w:val="20"/>
        </w:rPr>
        <w:t>Changes in the fair value of warrants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total change in the fair value of warrants in the six months ended June 30, 2026 was an unrealized gain of less than $0.1 million, compared to an unrealized gain of $0.3 million in the six months ended June 30, 2025. The unrealized gain in both periods was primarily due to the impact of decreases in the price of the Company’s ADSs on the value of the warrant liabilities.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Foreign currency transaction gain/(loss),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net foreign exchange gain for the six months ended June 30, 2026 was $1.3 million, compared to a loss of $8.1 million for the six months ended June 30, 2025. This change primarily reflects the impact of a strengthening in the value of U.S. dollars when translating U.S. dollar balances into our functional currency of pound sterling in the six months ended June 30, 2026, compared to a significant weakening of U.S. dollars in the six months ended June 30, 2025.</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Benefit from research and development tax credit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benefit from research and development tax credit decreased by $0.7 million, from $0.9 million in the six months ended June 30, 2025 to $0.2 million in the six months ended June 30, 2026. This decrease reflects a lower level of qualifying expenditure in the six months ended June 30, 2026 than in the six months ended June 30,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comprehensive (loss)/income </w:t>
      </w:r>
      <w:r>
        <w:rPr>
          <w:rFonts w:ascii="Times New Roman" w:hAnsi="Times New Roman"/>
          <w:color w:val="000000"/>
          <w:sz w:val="20"/>
        </w:rPr>
        <w:t xml:space="preserve">– </w:t>
      </w:r>
      <w:r>
        <w:rPr>
          <w:rFonts w:ascii="Times New Roman" w:hAnsi="Times New Roman"/>
          <w:i/>
          <w:color w:val="000000"/>
          <w:sz w:val="20"/>
        </w:rPr>
        <w:t>Foreign currency translation adjustments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foreign currency translation adjustment for the six months ended June 30, 2026 was a loss of $1.5 million, compared to a gain of $10.2 million in the six months ended June 30, 2025. This change primarily reflects the impact of a strengthening in the value of U.S. dollars when translating pound sterling functional currency balances into our presentational currency of U.S. dollars in the six months ended June 30, 2026, compared to a significant weakening of U.S. dollars in the six months ended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current business plan and cash flow forecasts, and in consideration of our ongoing research and development efforts and our general corporate funding requirements, we anticipate that our current on-hand cash resources will extend into late 2027. However, we will need additional external funding to complete our development plans and potentially commercialize selected rare disease products. We plan to fund our operations through cash on hand and a combination of non-dilutive funding sources, public or private equity or debt financing or other 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currently have any approved product candidates and as a result, have not generated any revenue from product sales. As a result, to date, we have financed our operations primarily through the issuances of our equity securities, convertible debt and warrants. These offerings have raised approximately $259 million, including through the $50.0 million underwritten registered direct offering in June 2024 and the $12.0 million “at-the-market” offering pursuant to our Open Market Sale Agreement with Jefferies LLC in July 2023 (all amounts are gross proceeds before fees and discounts).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also received payments under various license and collaboration agreements, including payments of:</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$50.0 million under the license and collaboration agreement with Ultragenyx for setrusumab in 2021 and a further milestone payment of $9.0 million in 2023;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$4.0 million under the license and collaboration agreement with Feng Biosciences, Inc. (formerly OncXerna Therapeutics, Inc.) for navicixizumab in 2020 and a further milestone payment of $2.0 million in 2022;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$1.0 million under the global license agreement with ReproNovo SA for leflutrozole in 2023 and a further milestone payment of $0.5 million in 2025.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further described in our 2025 Annual Report, under “Item 1. Business—Material Agreements—Novartis Agreements” (as updated in Note 15 to the condensed consolidated financial statements included in this Quarterly Report) and “Item 1. Business—Material Agreements—Licensing Agreement with AstraZeneca,” under various agreements with Novartis and AstraZeneca, we have agreed to make milestone payments and pay royalties on potential future commercial sales. The amount, timing, and likelihood of such payments are not known and will remain uncertain for the foreseeable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enter into contracts in the ordinary course of business with CROs, CMOs, and other vendors, including Ultragenyx for the manufacture of setrusumab as described in our 2025 Annual Report in “Item 1. Business—Material Agreements—Agreements with Ultragenyx for Setrusumab”, to assist in the performance of its research and development activities and other services and products for operating purposes. The contracts with CROs generally provide for termination on notice, and therefore are cancelable contracts. We have no manufacturing commitments with CMOs as of June 30, 2026 and December 31, 2025. </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Comparison of the six months ended June 30, 2026 and 2025</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summarizes our cash flows (used in)/provided by operating, investing and financing activities for the six months ended June 30, 2026 and 2025.</w:t>
      </w:r>
    </w:p>
    <w:p>
      <w:pPr>
        <w:pStyle w:val="TextBody"/>
        <w:bidi w:val="0"/>
        <w:jc w:val="left"/>
        <w:rPr/>
      </w:pPr>
      <w:r>
        <w:rPr/>
        <w:t> </w:t>
      </w:r>
    </w:p>
    <w:tbl>
      <w:tblPr>
        <w:tblW w:w="6267" w:type="dxa"/>
        <w:jc w:val="left"/>
        <w:tblInd w:w="0" w:type="dxa"/>
        <w:tblLayout w:type="fixed"/>
        <w:tblCellMar>
          <w:top w:w="28" w:type="dxa"/>
          <w:left w:w="28" w:type="dxa"/>
          <w:bottom w:w="28" w:type="dxa"/>
          <w:right w:w="28" w:type="dxa"/>
        </w:tblCellMar>
      </w:tblPr>
      <w:tblGrid>
        <w:gridCol w:w="3526"/>
        <w:gridCol w:w="146"/>
        <w:gridCol w:w="228"/>
        <w:gridCol w:w="796"/>
        <w:gridCol w:w="179"/>
        <w:gridCol w:w="157"/>
        <w:gridCol w:w="228"/>
        <w:gridCol w:w="796"/>
        <w:gridCol w:w="21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Effect of exchange rate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(10,874</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for the six months ended June 30, 2026 was $10.4 million, a decrease of $5.6 million from $16.0 million in the six months ended June 30, 2025. This decrease is principally due to lower cash bonus payments of approximately $2.0 million and lower net operating cash flows of approximately $4.7 million, reflecting reduced R&amp;D and General and administrative expenses in the period. These decreases were partially offset by receipt of $1.1 million in R&amp;D tax credits in the six months ended June 30, 2025 with no similar amount received in the six months ended June 30, 2026.</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for the six months ended June 30, 2026 and 2025 were $0.3 million. These cash flows primarily relate to payments to acquire intangible assets in both periods.</w:t>
      </w:r>
    </w:p>
    <w:p>
      <w:pPr>
        <w:pStyle w:val="TextBody"/>
        <w:bidi w:val="0"/>
        <w:spacing w:before="24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financing activities for the six months ended June 30, 2026 was less than $0.1 million, compared to net cash provided by financing activities of $0.3 million in the six months ended June 30, 2025. The decrease primarily represents the $0.5 million received upon exercise of the 2020 Novartis Warrants in the six months ended June 30, 2025, net of transaction costs.</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and Capital Expenditure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had an accumulated deficit of $514.5 million. We expect to continue to report significant operating losses for the foreseeable future as we continue our research and development efforts and seek to obtain regulatory approval of our product candidates and any future product candidates we develop.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continue to incur expenses in connection with our ongoing development activities related to our product candidates, our outsourced manufacturing activities and other associated costs including the management of our intellectual property portfolio. We also expect to continue to incur costs associated with operating as a U.S. public company listed on Nasdaq and as a domestic registrant.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costs will increase further if we: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seek to develop additional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seek regulatory approvals for any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potentially establish a sales, marketing, and distribution infrastructure and scale-up manufacturing capabilities to commercialize or co-commercialize any product candidates for which we may obtain regulatory approval and chose to commercialize directly;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expand our intellectual property portfolio;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 further clinical, scientific, operational, financial, legal and management information systems, and personnel, including personnel to support our development, potential commercialization, and to support our operations as a U.S. public company listed on Nasdaq;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experience any delays or encounter any issues from any of the above, including but not limited to failed studies, complex results, safety issues, manufacturing issues, or other regulatory challenges.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our existing cash and cash equivalents will enable us to fund our currently committed clinical trials, operating expenses and capital expenditure requirements into late 2027. We have based these estimates on assumptions that may prove to be wrong, and we may use our available capital resources sooner than we currently expect. Because of the numerous risks and uncertainties associated with the development of our product candidates and any future product candidates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Our future capital requirements will depend on many factors,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for our activities related to our ongoing collaboration with Ultragenyx for setrusumab for the treatment of children and adults with OI, including the costs for our preparation for the potential commercialization of setrusumab, if approved, in Europe and the U.K; and costs associated with our alvelestat program in AATD;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and timing of manufacturing clinical or commercial supplies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product candidates, including additional data or studies that could be required pre- or post-approval by regulatory authorities;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timing, and outcome of potential future commercialization activities, including manufacturing, marketing, sales, life cycle management and distribution, for our product candidates that we commercialize directly;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timing and amount of revenue, if any, received from milestones, royalties or direct commercial sales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their intellectual property rights;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sales price and availability of adequate third-party coverage and reimbursement for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effect of competitors and market developments;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performance of our collaborators and partners under the existing agreements on setrusumab, alvelestat, vantictumab, leflutrozole and navicixizumab;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extent to which we are able to acquire new product candidates or enter into licensing or collaboration arrangements for our product candidates, although we currently have no commitments or agreements that obligate us to enter into such arrangements, except for the Sentynl Agreement announced on August 11, 2026;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milestone and deferred payments under the Amended AstraZeneca Agreements;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tax liabilities or other assessments and our ability to claim R&amp;D tax credits or other reliefs.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revenues, if any, will be derived from milestones, royalties or direct commercial sales of any product candidates that we or our partners are able to successfully develop, receive regulatory approval for, and commercialize in future years. In the meantime, we will need to obtain substantial additional funds to achieve our business objective.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Adequate additional funds may not be available to us on acceptable terms, or at all. 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that we raise additional capital through the sale of equity or convertible debt securities, shareholders' ownership interests may be diluted, and the terms of these securities may include liquidation or other preferences that adversely affect your rights as a shareholder. If we are unable to raise additional funds through partnerships, debt or equity financings when needed, we may be required to delay, limit, reduce, or terminate our product development programs or any future commercialization efforts or grant rights to develop and market product candidates that we would otherwise prefer to develop and market ourselves.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unaudited condensed consolidated financial statements are prepared in accordance with U.S. GAAP. The preparation of these unaudited condensed consolidated financial statements requires us to make estimates and assumptions that affect the reported amounts of assets, liabilities, costs and expenses, and related disclosures. On an ongoing basis, we evaluate our accounting estimates based on historical experience and on various other assumptions that we believe are reasonable under the circumstances. The actual impact on our financial performance could differ from these estimates under different assumptions or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accounting estimate is considered critical if both (i) the nature of the estimates or assumptions is material due to the levels of subjectivity and judgment involved, and (ii) the impact within a reasonable range of outcomes of the estimates and assumptions is material to our unaudited condensed consolidated financial statements. We believe that there are no estimates and assumptions made in our unaudited condensed consolidated financial statements that rise to this level. Our significant accounting policies are described under the heading “Management’s Discussion and Analysis of Financial Condition and Results of Operations—Critical Accounting Estimates” in our 2025 Annual Report, which was filed with the SEC on March 19, 2026.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estimates from those described in our 2025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recent accounting pronouncements, changes in accounting pronouncements or recently adopted accounting guidance other than those previously included in the 2025 Annual Report that are of significance or potential significance to the Company. The Company is continuing to evaluate the impact of the recently issued pronouncements that are effective in future periods and were discussed in its 2025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Safe Harbor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the section titled “Information Regarding Forward-Looking Statements” at the beginning of this Quarterly Report.</w:t>
      </w:r>
    </w:p>
    <w:p>
      <w:pPr>
        <w:pStyle w:val="TextBody"/>
        <w:bidi w:val="0"/>
        <w:spacing w:before="240" w:after="283"/>
        <w:jc w:val="left"/>
        <w:rPr>
          <w:rFonts w:ascii="Times New Roman" w:hAnsi="Times New Roman"/>
          <w:sz w:val="20"/>
        </w:rPr>
      </w:pPr>
      <w:bookmarkStart w:id="10" w:name="item3_quantitative_and_qualitative"/>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“smaller reporting company” as defined by Item 10 of Regulation S-K, we are not required to provide information required by this Item.</w:t>
      </w:r>
    </w:p>
    <w:p>
      <w:pPr>
        <w:pStyle w:val="TextBody"/>
        <w:bidi w:val="0"/>
        <w:spacing w:before="240" w:after="283"/>
        <w:jc w:val="left"/>
        <w:rPr>
          <w:rFonts w:ascii="Times New Roman" w:hAnsi="Times New Roman"/>
          <w:b/>
          <w:color w:val="000000"/>
          <w:sz w:val="20"/>
        </w:rPr>
      </w:pPr>
      <w:bookmarkStart w:id="11" w:name="item4_controls_and_procedure"/>
      <w:bookmarkEnd w:id="11"/>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Chief Financial Officer, has evaluated the effectiveness of our disclosure controls and procedures (as defined in Rules 13a-15(e) and 15d-15(e)) under the Securities and Exchange Act of 1934, as amended (“Exchange Act”) as of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such evaluation, our Chief Executive Officer and Chief Financial Officer have concluded that our disclosure controls and procedures were effective at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changes in our internal control over financial reporting (as defined in Rules 13a-15(e) and 15d-15(e) under the Exchange Act) occurred during the three months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color w:val="000000"/>
          <w:sz w:val="20"/>
        </w:rPr>
      </w:pPr>
      <w:bookmarkStart w:id="12" w:name="part_ii_other_information"/>
      <w:bookmarkEnd w:id="12"/>
      <w:r>
        <w:rPr>
          <w:rFonts w:ascii="Times New Roman" w:hAnsi="Times New Roman"/>
          <w:color w:val="000000"/>
          <w:sz w:val="20"/>
        </w:rPr>
        <w:t>PART II – OTHER INFORMATION</w:t>
      </w:r>
    </w:p>
    <w:p>
      <w:pPr>
        <w:pStyle w:val="TextBody"/>
        <w:bidi w:val="0"/>
        <w:spacing w:before="240" w:after="283"/>
        <w:jc w:val="left"/>
        <w:rPr>
          <w:rFonts w:ascii="Times New Roman" w:hAnsi="Times New Roman"/>
          <w:b/>
          <w:color w:val="000000"/>
          <w:sz w:val="20"/>
        </w:rPr>
      </w:pPr>
      <w:bookmarkStart w:id="13" w:name="item1_legal_proceeding"/>
      <w:bookmarkEnd w:id="13"/>
      <w:r>
        <w:rPr>
          <w:rFonts w:ascii="Times New Roman" w:hAnsi="Times New Roman"/>
          <w:b/>
          <w:color w:val="000000"/>
          <w:sz w:val="20"/>
        </w:rPr>
        <w:t>Item 1. Legal Proceedings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information set forth in Note 15, </w:t>
      </w:r>
      <w:r>
        <w:rPr>
          <w:rFonts w:ascii="Times New Roman" w:hAnsi="Times New Roman"/>
          <w:i/>
          <w:color w:val="000000"/>
          <w:sz w:val="20"/>
        </w:rPr>
        <w:t>Commitments and contingencies</w:t>
      </w:r>
      <w:r>
        <w:rPr>
          <w:rFonts w:ascii="Times New Roman" w:hAnsi="Times New Roman"/>
          <w:color w:val="000000"/>
          <w:sz w:val="20"/>
        </w:rPr>
        <w:t>, to the condensed consolidated financial statements included elsewhere in this Quarterly Report under the caption “Legal Proceedings” is incorporated herein by reference.</w:t>
      </w:r>
    </w:p>
    <w:p>
      <w:pPr>
        <w:pStyle w:val="TextBody"/>
        <w:bidi w:val="0"/>
        <w:jc w:val="left"/>
        <w:rPr>
          <w:rFonts w:ascii="Times New Roman" w:hAnsi="Times New Roman"/>
          <w:color w:val="000000"/>
          <w:sz w:val="20"/>
        </w:rPr>
      </w:pPr>
      <w:r>
        <w:rPr>
          <w:rFonts w:ascii="Times New Roman" w:hAnsi="Times New Roman"/>
          <w:color w:val="000000"/>
          <w:sz w:val="20"/>
        </w:rPr>
        <w:t>There have been no material developments in such proceedings during the quarter ended June 30, 2026.</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4" w:name="item1a_risk_factors"/>
      <w:bookmarkEnd w:id="14"/>
      <w:r>
        <w:rPr>
          <w:rFonts w:ascii="Times New Roman" w:hAnsi="Times New Roman"/>
          <w:b/>
          <w:color w:val="000000"/>
          <w:sz w:val="20"/>
        </w:rPr>
        <w:t>Item 1A.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been no material changes from the risk factors previously disclosed in the Company’s 2025 Annual Report. </w:t>
      </w:r>
    </w:p>
    <w:p>
      <w:pPr>
        <w:pStyle w:val="TextBody"/>
        <w:bidi w:val="0"/>
        <w:spacing w:before="240" w:after="283"/>
        <w:jc w:val="left"/>
        <w:rPr>
          <w:rFonts w:ascii="Times New Roman" w:hAnsi="Times New Roman"/>
          <w:b/>
          <w:color w:val="000000"/>
          <w:sz w:val="20"/>
        </w:rPr>
      </w:pPr>
      <w:bookmarkStart w:id="15" w:name="item2_unregistered"/>
      <w:bookmarkEnd w:id="15"/>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6" w:name="item3_default"/>
      <w:bookmarkEnd w:id="16"/>
      <w:r>
        <w:rPr>
          <w:rFonts w:ascii="Times New Roman" w:hAnsi="Times New Roman"/>
          <w:b/>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7" w:name="item4_mine"/>
      <w:bookmarkEnd w:id="17"/>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8" w:name="item5_other_information"/>
      <w:bookmarkEnd w:id="18"/>
      <w:r>
        <w:rPr>
          <w:rFonts w:ascii="Times New Roman" w:hAnsi="Times New Roman"/>
          <w:b/>
          <w:color w:val="000000"/>
          <w:sz w:val="20"/>
        </w:rPr>
        <w:t>Item 5. Other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three-month period ended June 30, 2026, none of our directors or officers adopted, modified or terminated a “Rule 10b5-1 trading arrangement” or a “non-Rule 10b5-1 trading arrangement” as such terms are defined in Item 408(a) of Regulation S-K.</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exhibits are either provided with this Quarterly Report on Form 10-Q or are incorporated herein by reference: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4"/>
        <w:gridCol w:w="146"/>
        <w:gridCol w:w="9225"/>
      </w:tblGrid>
      <w:tr>
        <w:trPr/>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25" w:type="dxa"/>
            <w:tcBorders/>
            <w:vAlign w:val="center"/>
          </w:tcPr>
          <w:p>
            <w:pPr>
              <w:pStyle w:val="TableContents"/>
              <w:bidi w:val="0"/>
              <w:spacing w:before="0" w:after="283"/>
              <w:jc w:val="left"/>
              <w:rPr>
                <w:sz w:val="4"/>
                <w:szCs w:val="4"/>
              </w:rPr>
            </w:pPr>
            <w:r>
              <w:rPr>
                <w:sz w:val="4"/>
                <w:szCs w:val="4"/>
              </w:rPr>
            </w:r>
          </w:p>
        </w:tc>
      </w:tr>
      <w:tr>
        <w:trPr/>
        <w:tc>
          <w:tcPr>
            <w:tcW w:w="83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Exhibit</w:t>
            </w:r>
          </w:p>
        </w:tc>
      </w:tr>
      <w:tr>
        <w:trPr/>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left"/>
              <w:rPr/>
            </w:pPr>
            <w:hyperlink w:anchor="mreo-ex31_1.htm">
              <w:r>
                <w:rPr>
                  <w:rStyle w:val="InternetLink"/>
                  <w:rFonts w:ascii="Times New Roman" w:hAnsi="Times New Roman"/>
                  <w:color w:val="0000FF"/>
                  <w:sz w:val="20"/>
                  <w:u w:val="single"/>
                </w:rPr>
                <w:t>Certification of Chief Executive Officer pursuant to Rule 13a-14(a) and Rule 15d-14(a) of the Securities Exchange Act of 1934, as adopted pursuant to Section 302 of the Sarbanes-Oxley Act of 2002.</w:t>
              </w:r>
            </w:hyperlink>
          </w:p>
        </w:tc>
      </w:tr>
      <w:tr>
        <w:trPr/>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left"/>
              <w:rPr/>
            </w:pPr>
            <w:hyperlink w:anchor="mreo-ex31_2.htm">
              <w:r>
                <w:rPr>
                  <w:rStyle w:val="InternetLink"/>
                  <w:rFonts w:ascii="Times New Roman" w:hAnsi="Times New Roman"/>
                  <w:color w:val="0000FF"/>
                  <w:sz w:val="20"/>
                  <w:u w:val="single"/>
                </w:rPr>
                <w:t>Certification of Chief Financial Officer pursuant to Rule 13a-14(a) and Rule 15d-14(a) of the Securities Exchange Act of 1934, as adopted pursuant to Section 302 of the Sarbanes-Oxley Act of 2002.</w:t>
              </w:r>
            </w:hyperlink>
          </w:p>
        </w:tc>
      </w:tr>
      <w:tr>
        <w:trPr/>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left"/>
              <w:rPr/>
            </w:pPr>
            <w:hyperlink w:anchor="mreo-ex32_1.htm">
              <w:r>
                <w:rPr>
                  <w:rStyle w:val="InternetLink"/>
                  <w:rFonts w:ascii="Times New Roman" w:hAnsi="Times New Roman"/>
                  <w:color w:val="0000FF"/>
                  <w:sz w:val="20"/>
                  <w:u w:val="single"/>
                </w:rPr>
                <w:t>Certification of Chief Executive Officer pursuant to 18 U.S.C. Section 1350, as adopted pursuant to Section 906 of the Sarbanes-Oxley Act of 2002.</w:t>
              </w:r>
            </w:hyperlink>
          </w:p>
        </w:tc>
      </w:tr>
      <w:tr>
        <w:trPr/>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left"/>
              <w:rPr/>
            </w:pPr>
            <w:hyperlink w:anchor="mreo-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p>
        </w:tc>
      </w:tr>
      <w:tr>
        <w:trPr/>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Inline XBRL Instance Document - the instance document does not appear in the Interactive Data File because its XBRL tags are embedded within the Inline XBRL document. </w:t>
            </w:r>
          </w:p>
        </w:tc>
      </w:tr>
      <w:tr>
        <w:trPr/>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cover page for the Company's Quarterly Report on Form 10-Q has been formatted in Inline XBRL and contained in Exhibit 101</w:t>
            </w:r>
          </w:p>
        </w:tc>
      </w:tr>
    </w:tbl>
    <w:p>
      <w:pPr>
        <w:pStyle w:val="TextBody"/>
        <w:pBdr>
          <w:bottom w:val="single" w:sz="6"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 on August 11, 2026.</w:t>
      </w:r>
    </w:p>
    <w:p>
      <w:pPr>
        <w:pStyle w:val="TextBody"/>
        <w:bidi w:val="0"/>
        <w:jc w:val="left"/>
        <w:rPr/>
      </w:pPr>
      <w:r>
        <w:rPr/>
        <w:t> </w:t>
      </w:r>
    </w:p>
    <w:tbl>
      <w:tblPr>
        <w:tblW w:w="5231" w:type="dxa"/>
        <w:jc w:val="left"/>
        <w:tblInd w:w="0" w:type="dxa"/>
        <w:tblLayout w:type="fixed"/>
        <w:tblCellMar>
          <w:top w:w="28" w:type="dxa"/>
          <w:left w:w="28" w:type="dxa"/>
          <w:bottom w:w="28" w:type="dxa"/>
          <w:right w:w="28" w:type="dxa"/>
        </w:tblCellMar>
      </w:tblPr>
      <w:tblGrid>
        <w:gridCol w:w="2095"/>
        <w:gridCol w:w="3136"/>
      </w:tblGrid>
      <w:tr>
        <w:trPr/>
        <w:tc>
          <w:tcPr>
            <w:tcW w:w="2095"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2095"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95"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MEREO BIOPHARMA GROUP PLC</w:t>
            </w:r>
          </w:p>
        </w:tc>
      </w:tr>
      <w:tr>
        <w:trPr/>
        <w:tc>
          <w:tcPr>
            <w:tcW w:w="2095"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95"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209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Date: August 11, 2026</w:t>
            </w:r>
          </w:p>
        </w:tc>
        <w:tc>
          <w:tcPr>
            <w:tcW w:w="31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Denise Scots-Knight</w:t>
            </w:r>
          </w:p>
        </w:tc>
      </w:tr>
      <w:tr>
        <w:trPr/>
        <w:tc>
          <w:tcPr>
            <w:tcW w:w="2095"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Denise Scots-Knight</w:t>
            </w:r>
          </w:p>
        </w:tc>
      </w:tr>
      <w:tr>
        <w:trPr/>
        <w:tc>
          <w:tcPr>
            <w:tcW w:w="2095"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w:t>
            </w:r>
          </w:p>
        </w:tc>
      </w:tr>
      <w:tr>
        <w:trPr/>
        <w:tc>
          <w:tcPr>
            <w:tcW w:w="2095"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95"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209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Date: August 11, 2026</w:t>
            </w:r>
          </w:p>
        </w:tc>
        <w:tc>
          <w:tcPr>
            <w:tcW w:w="31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Christine Fox</w:t>
            </w:r>
          </w:p>
        </w:tc>
      </w:tr>
      <w:tr>
        <w:trPr/>
        <w:tc>
          <w:tcPr>
            <w:tcW w:w="2095"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Fox</w:t>
            </w:r>
          </w:p>
        </w:tc>
      </w:tr>
      <w:tr>
        <w:trPr/>
        <w:tc>
          <w:tcPr>
            <w:tcW w:w="2095"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both"/>
        <w:rPr/>
      </w:pPr>
      <w:bookmarkStart w:id="21" w:name="mreo-ex31_1.htm"/>
      <w:bookmarkStart w:id="22" w:name="ksmreo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b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by the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Denise Scots-Knight, certify that:</w:t>
      </w:r>
    </w:p>
    <w:tbl>
      <w:tblPr>
        <w:tblW w:w="8597" w:type="dxa"/>
        <w:jc w:val="left"/>
        <w:tblInd w:w="0" w:type="dxa"/>
        <w:tblLayout w:type="fixed"/>
        <w:tblCellMar>
          <w:top w:w="28" w:type="dxa"/>
          <w:left w:w="28" w:type="dxa"/>
          <w:bottom w:w="28" w:type="dxa"/>
          <w:right w:w="28" w:type="dxa"/>
        </w:tblCellMar>
      </w:tblPr>
      <w:tblGrid>
        <w:gridCol w:w="271"/>
        <w:gridCol w:w="8326"/>
      </w:tblGrid>
      <w:tr>
        <w:trPr/>
        <w:tc>
          <w:tcPr>
            <w:tcW w:w="271" w:type="dxa"/>
            <w:tcBorders/>
            <w:vAlign w:val="center"/>
          </w:tcPr>
          <w:p>
            <w:pPr>
              <w:pStyle w:val="TableContents"/>
              <w:bidi w:val="0"/>
              <w:spacing w:before="0" w:after="283"/>
              <w:jc w:val="left"/>
              <w:rPr>
                <w:sz w:val="4"/>
                <w:szCs w:val="4"/>
              </w:rPr>
            </w:pPr>
            <w:r>
              <w:rPr>
                <w:sz w:val="4"/>
                <w:szCs w:val="4"/>
              </w:rPr>
            </w:r>
          </w:p>
        </w:tc>
        <w:tc>
          <w:tcPr>
            <w:tcW w:w="8326" w:type="dxa"/>
            <w:tcBorders/>
            <w:vAlign w:val="center"/>
          </w:tcPr>
          <w:p>
            <w:pPr>
              <w:pStyle w:val="TableContents"/>
              <w:bidi w:val="0"/>
              <w:spacing w:before="0" w:after="283"/>
              <w:jc w:val="left"/>
              <w:rPr>
                <w:sz w:val="4"/>
                <w:szCs w:val="4"/>
              </w:rPr>
            </w:pPr>
            <w:r>
              <w:rPr>
                <w:sz w:val="4"/>
                <w:szCs w:val="4"/>
              </w:rPr>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8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 have reviewed this quarterly report on Form 10-Q of Mereo BioPharma Group plc (the “Company”);</w:t>
            </w:r>
          </w:p>
        </w:tc>
      </w:tr>
    </w:tbl>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9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28" w:type="dxa"/>
          <w:left w:w="28" w:type="dxa"/>
          <w:bottom w:w="28" w:type="dxa"/>
          <w:right w:w="28" w:type="dxa"/>
        </w:tblCellMar>
      </w:tblPr>
      <w:tblGrid>
        <w:gridCol w:w="124"/>
        <w:gridCol w:w="214"/>
        <w:gridCol w:w="9867"/>
      </w:tblGrid>
      <w:tr>
        <w:trPr/>
        <w:tc>
          <w:tcPr>
            <w:tcW w:w="1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867"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852"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220"/>
        <w:gridCol w:w="98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861"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9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852"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9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Disclosed in this report any change in the Company’s internal control over financial reporting that occurred during the period covered by the most recent fiscal quarter (the Company's fourth fiscal quarter in the case of an annual report) that has materially affected, or is reasonably likely to materially affect, the Company’s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9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Company’s other certifying officer(s) and I have disclosed, based on our most recent evaluation of internal control over financial reporting, to the Company’s auditors and the audit and risk committee of the Company’s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222"/>
        <w:gridCol w:w="9859"/>
      </w:tblGrid>
      <w:tr>
        <w:trPr/>
        <w:tc>
          <w:tcPr>
            <w:tcW w:w="1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59"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252"/>
        <w:gridCol w:w="9829"/>
      </w:tblGrid>
      <w:tr>
        <w:trPr/>
        <w:tc>
          <w:tcPr>
            <w:tcW w:w="12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29"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Company’s internal control over financial reporting.</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11, 2026</w:t>
      </w:r>
    </w:p>
    <w:tbl>
      <w:tblPr>
        <w:tblW w:w="2863" w:type="dxa"/>
        <w:jc w:val="left"/>
        <w:tblInd w:w="0" w:type="dxa"/>
        <w:tblLayout w:type="fixed"/>
        <w:tblCellMar>
          <w:top w:w="28" w:type="dxa"/>
          <w:left w:w="28" w:type="dxa"/>
          <w:bottom w:w="28" w:type="dxa"/>
          <w:right w:w="28" w:type="dxa"/>
        </w:tblCellMar>
      </w:tblPr>
      <w:tblGrid>
        <w:gridCol w:w="646"/>
        <w:gridCol w:w="146"/>
        <w:gridCol w:w="207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3" w:type="dxa"/>
            <w:gridSpan w:val="3"/>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Denise Scots-Knight</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Denise Scots-Knight</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0" w:after="240"/>
        <w:jc w:val="both"/>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23" w:name="mreo-ex31_2.htm"/>
      <w:bookmarkStart w:id="24" w:name="ksmreo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by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Christine Fox, certify that:</w:t>
      </w:r>
    </w:p>
    <w:tbl>
      <w:tblPr>
        <w:tblW w:w="8597" w:type="dxa"/>
        <w:jc w:val="left"/>
        <w:tblInd w:w="0" w:type="dxa"/>
        <w:tblLayout w:type="fixed"/>
        <w:tblCellMar>
          <w:top w:w="28" w:type="dxa"/>
          <w:left w:w="28" w:type="dxa"/>
          <w:bottom w:w="28" w:type="dxa"/>
          <w:right w:w="28" w:type="dxa"/>
        </w:tblCellMar>
      </w:tblPr>
      <w:tblGrid>
        <w:gridCol w:w="271"/>
        <w:gridCol w:w="8326"/>
      </w:tblGrid>
      <w:tr>
        <w:trPr/>
        <w:tc>
          <w:tcPr>
            <w:tcW w:w="271" w:type="dxa"/>
            <w:tcBorders/>
            <w:vAlign w:val="center"/>
          </w:tcPr>
          <w:p>
            <w:pPr>
              <w:pStyle w:val="TableContents"/>
              <w:bidi w:val="0"/>
              <w:spacing w:before="0" w:after="283"/>
              <w:jc w:val="left"/>
              <w:rPr>
                <w:sz w:val="4"/>
                <w:szCs w:val="4"/>
              </w:rPr>
            </w:pPr>
            <w:r>
              <w:rPr>
                <w:sz w:val="4"/>
                <w:szCs w:val="4"/>
              </w:rPr>
            </w:r>
          </w:p>
        </w:tc>
        <w:tc>
          <w:tcPr>
            <w:tcW w:w="8326" w:type="dxa"/>
            <w:tcBorders/>
            <w:vAlign w:val="center"/>
          </w:tcPr>
          <w:p>
            <w:pPr>
              <w:pStyle w:val="TableContents"/>
              <w:bidi w:val="0"/>
              <w:spacing w:before="0" w:after="283"/>
              <w:jc w:val="left"/>
              <w:rPr>
                <w:sz w:val="4"/>
                <w:szCs w:val="4"/>
              </w:rPr>
            </w:pPr>
            <w:r>
              <w:rPr>
                <w:sz w:val="4"/>
                <w:szCs w:val="4"/>
              </w:rPr>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8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 have reviewed this quarterly report on Form 10-Q of Mereo BioPharma Group plc (the “Company”);</w:t>
            </w:r>
          </w:p>
        </w:tc>
      </w:tr>
    </w:tbl>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9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28" w:type="dxa"/>
          <w:left w:w="28" w:type="dxa"/>
          <w:bottom w:w="28" w:type="dxa"/>
          <w:right w:w="28" w:type="dxa"/>
        </w:tblCellMar>
      </w:tblPr>
      <w:tblGrid>
        <w:gridCol w:w="124"/>
        <w:gridCol w:w="214"/>
        <w:gridCol w:w="9867"/>
      </w:tblGrid>
      <w:tr>
        <w:trPr/>
        <w:tc>
          <w:tcPr>
            <w:tcW w:w="1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867"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852"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220"/>
        <w:gridCol w:w="98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861"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9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852"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9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Disclosed in this report any change in the Company’s internal control over financial reporting that occurred during the period covered by the most recent fiscal quarter (the Company's fourth fiscal quarter in the case of an annual report) that has materially affected, or is reasonably likely to materially affect, the Company’s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9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Company’s other certifying officer(s) and I have disclosed, based on our most recent evaluation of internal control over financial reporting, to the Company’s auditors and the audit and risk committee of the Company’s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222"/>
        <w:gridCol w:w="9859"/>
      </w:tblGrid>
      <w:tr>
        <w:trPr/>
        <w:tc>
          <w:tcPr>
            <w:tcW w:w="1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59"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252"/>
        <w:gridCol w:w="9829"/>
      </w:tblGrid>
      <w:tr>
        <w:trPr/>
        <w:tc>
          <w:tcPr>
            <w:tcW w:w="12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29"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Company’s internal control over financial reporting.</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11, 2026</w:t>
      </w:r>
    </w:p>
    <w:tbl>
      <w:tblPr>
        <w:tblW w:w="2803" w:type="dxa"/>
        <w:jc w:val="left"/>
        <w:tblInd w:w="0" w:type="dxa"/>
        <w:tblLayout w:type="fixed"/>
        <w:tblCellMar>
          <w:top w:w="28" w:type="dxa"/>
          <w:left w:w="28" w:type="dxa"/>
          <w:bottom w:w="28" w:type="dxa"/>
          <w:right w:w="28" w:type="dxa"/>
        </w:tblCellMar>
      </w:tblPr>
      <w:tblGrid>
        <w:gridCol w:w="646"/>
        <w:gridCol w:w="146"/>
        <w:gridCol w:w="201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03" w:type="dxa"/>
            <w:gridSpan w:val="3"/>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Christine Fox</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Fox</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0" w:after="240"/>
        <w:jc w:val="both"/>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25" w:name="mreo-ex32_1.htm"/>
      <w:bookmarkStart w:id="26" w:name="ksmreo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by the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Mereo BioPharma Group plc (the “Company”) on Form 10-Q for the quarterly period ended June 30, 2026 as filed with the Securities and Exchange Commission on the date hereof (the “Report”), I, Denise Scots-Knight, Chief Executive Officer of the Company, certify, pursuant to 18 U.S.C. Section 1350, as adopted pursuant to Section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11, 2026</w:t>
      </w:r>
    </w:p>
    <w:tbl>
      <w:tblPr>
        <w:tblW w:w="2863" w:type="dxa"/>
        <w:jc w:val="left"/>
        <w:tblInd w:w="0" w:type="dxa"/>
        <w:tblLayout w:type="fixed"/>
        <w:tblCellMar>
          <w:top w:w="28" w:type="dxa"/>
          <w:left w:w="28" w:type="dxa"/>
          <w:bottom w:w="28" w:type="dxa"/>
          <w:right w:w="28" w:type="dxa"/>
        </w:tblCellMar>
      </w:tblPr>
      <w:tblGrid>
        <w:gridCol w:w="646"/>
        <w:gridCol w:w="146"/>
        <w:gridCol w:w="207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Denise Scots-Knight</w:t>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Denise Scots-Knight</w:t>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0" w:after="240"/>
        <w:jc w:val="both"/>
        <w:rPr/>
      </w:pPr>
      <w:r>
        <w:rPr/>
        <w:t> </w:t>
      </w:r>
    </w:p>
    <w:p>
      <w:pPr>
        <w:pStyle w:val="TextBody"/>
        <w:bidi w:val="0"/>
        <w:spacing w:before="0" w:after="240"/>
        <w:jc w:val="both"/>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27" w:name="mreo-ex32_2.htm"/>
      <w:bookmarkStart w:id="28" w:name="ksmreoex32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by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Mereo BioPharma Group plc (the “Company”) on Form 10-Q for the quarterly period ended June 30, 2026 as filed with the Securities and Exchange Commission on the date hereof (the “Report”), I, Christine Fox, Chief Financial Officer of the Company, certify, pursuant to 18 U.S.C. Section 1350, as adopted pursuant to Section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11, 2026</w:t>
      </w:r>
    </w:p>
    <w:tbl>
      <w:tblPr>
        <w:tblW w:w="2803" w:type="dxa"/>
        <w:jc w:val="left"/>
        <w:tblInd w:w="0" w:type="dxa"/>
        <w:tblLayout w:type="fixed"/>
        <w:tblCellMar>
          <w:top w:w="28" w:type="dxa"/>
          <w:left w:w="28" w:type="dxa"/>
          <w:bottom w:w="28" w:type="dxa"/>
          <w:right w:w="28" w:type="dxa"/>
        </w:tblCellMar>
      </w:tblPr>
      <w:tblGrid>
        <w:gridCol w:w="646"/>
        <w:gridCol w:w="146"/>
        <w:gridCol w:w="201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Christine Fox</w:t>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Fox</w:t>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0" w:after="24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14859</Words>
  <Characters>80615</Characters>
  <CharactersWithSpaces>96350</CharactersWithSpaces>
  <Paragraphs>4961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