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207645</wp:posOffset>
            </wp:positionV>
            <wp:extent cx="67094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941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248920</wp:posOffset>
            </wp:positionV>
            <wp:extent cx="67094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941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459"/>
        <w:spacing w:after="0"/>
        <w:rPr>
          <w:sz w:val="20"/>
          <w:szCs w:val="20"/>
          <w:color w:val="auto"/>
        </w:rPr>
      </w:pPr>
      <w:r>
        <w:rPr>
          <w:rFonts w:ascii="Arial" w:cs="Arial" w:eastAsia="Arial" w:hAnsi="Arial"/>
          <w:sz w:val="31"/>
          <w:szCs w:val="31"/>
          <w:b w:val="1"/>
          <w:bCs w:val="1"/>
          <w:color w:val="auto"/>
        </w:rPr>
        <w:t>UNITED STATES</w:t>
      </w:r>
    </w:p>
    <w:p>
      <w:pPr>
        <w:spacing w:after="0" w:line="24" w:lineRule="exact"/>
        <w:rPr>
          <w:sz w:val="24"/>
          <w:szCs w:val="24"/>
          <w:color w:val="auto"/>
        </w:rPr>
      </w:pPr>
    </w:p>
    <w:p>
      <w:pPr>
        <w:jc w:val="center"/>
        <w:ind w:right="-4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210820</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459"/>
        <w:spacing w:after="0"/>
        <w:rPr>
          <w:sz w:val="20"/>
          <w:szCs w:val="20"/>
          <w:color w:val="auto"/>
        </w:rPr>
      </w:pPr>
      <w:r>
        <w:rPr>
          <w:rFonts w:ascii="Arial" w:cs="Arial" w:eastAsia="Arial" w:hAnsi="Arial"/>
          <w:sz w:val="31"/>
          <w:szCs w:val="31"/>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235585</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left="440"/>
        <w:spacing w:after="0"/>
        <w:rPr>
          <w:sz w:val="20"/>
          <w:szCs w:val="20"/>
          <w:color w:val="auto"/>
        </w:rPr>
      </w:pPr>
      <w:r>
        <w:rPr>
          <w:rFonts w:ascii="Arial" w:cs="Arial" w:eastAsia="Arial" w:hAnsi="Arial"/>
          <w:sz w:val="17"/>
          <w:szCs w:val="17"/>
          <w:b w:val="1"/>
          <w:bCs w:val="1"/>
          <w:color w:val="auto"/>
        </w:rPr>
        <w:t>(Mark One)</w:t>
      </w:r>
    </w:p>
    <w:p>
      <w:pPr>
        <w:spacing w:after="0" w:line="27" w:lineRule="exact"/>
        <w:rPr>
          <w:sz w:val="24"/>
          <w:szCs w:val="24"/>
          <w:color w:val="auto"/>
        </w:rPr>
      </w:pPr>
    </w:p>
    <w:p>
      <w:pPr>
        <w:ind w:left="840" w:right="140" w:hanging="409"/>
        <w:spacing w:after="0" w:line="238" w:lineRule="auto"/>
        <w:tabs>
          <w:tab w:leader="none" w:pos="8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REGISTRATION STATEMENT PURSUANT TO SECTION 12(b) OR (g) OF THE SECURITIES EXCHANGE ACT OF 1934</w:t>
      </w:r>
    </w:p>
    <w:p>
      <w:pPr>
        <w:spacing w:after="0" w:line="179"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OR</w:t>
      </w:r>
    </w:p>
    <w:p>
      <w:pPr>
        <w:spacing w:after="0" w:line="236" w:lineRule="exact"/>
        <w:rPr>
          <w:sz w:val="24"/>
          <w:szCs w:val="24"/>
          <w:color w:val="auto"/>
        </w:rPr>
      </w:pPr>
    </w:p>
    <w:p>
      <w:pPr>
        <w:ind w:left="840" w:hanging="409"/>
        <w:spacing w:after="0"/>
        <w:tabs>
          <w:tab w:leader="none" w:pos="8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32"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For the fiscal year ended December 31, 2018</w:t>
      </w:r>
    </w:p>
    <w:p>
      <w:pPr>
        <w:spacing w:after="0" w:line="219"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OR</w:t>
      </w:r>
    </w:p>
    <w:p>
      <w:pPr>
        <w:spacing w:after="0" w:line="236" w:lineRule="exact"/>
        <w:rPr>
          <w:sz w:val="24"/>
          <w:szCs w:val="24"/>
          <w:color w:val="auto"/>
        </w:rPr>
      </w:pPr>
    </w:p>
    <w:p>
      <w:pPr>
        <w:ind w:left="840" w:right="40" w:hanging="409"/>
        <w:spacing w:after="0" w:line="260" w:lineRule="auto"/>
        <w:tabs>
          <w:tab w:leader="none" w:pos="840" w:val="left"/>
        </w:tabs>
        <w:numPr>
          <w:ilvl w:val="0"/>
          <w:numId w:val="3"/>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59" w:lineRule="exact"/>
        <w:rPr>
          <w:sz w:val="24"/>
          <w:szCs w:val="24"/>
          <w:color w:val="auto"/>
        </w:rPr>
      </w:pPr>
    </w:p>
    <w:p>
      <w:pPr>
        <w:ind w:left="3580"/>
        <w:spacing w:after="0"/>
        <w:tabs>
          <w:tab w:leader="none" w:pos="6740" w:val="left"/>
          <w:tab w:leader="none" w:pos="77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r>
        <w:rPr>
          <w:sz w:val="20"/>
          <w:szCs w:val="20"/>
          <w:color w:val="auto"/>
        </w:rPr>
        <w:tab/>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3715385</wp:posOffset>
            </wp:positionH>
            <wp:positionV relativeFrom="paragraph">
              <wp:posOffset>-5080</wp:posOffset>
            </wp:positionV>
            <wp:extent cx="1242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199"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OR</w:t>
      </w:r>
    </w:p>
    <w:p>
      <w:pPr>
        <w:spacing w:after="0" w:line="236" w:lineRule="exact"/>
        <w:rPr>
          <w:sz w:val="24"/>
          <w:szCs w:val="24"/>
          <w:color w:val="auto"/>
        </w:rPr>
      </w:pPr>
    </w:p>
    <w:p>
      <w:pPr>
        <w:ind w:left="840" w:right="360" w:hanging="409"/>
        <w:spacing w:after="0" w:line="260" w:lineRule="auto"/>
        <w:tabs>
          <w:tab w:leader="none" w:pos="840" w:val="left"/>
        </w:tabs>
        <w:numPr>
          <w:ilvl w:val="0"/>
          <w:numId w:val="4"/>
        </w:numPr>
        <w:rPr>
          <w:rFonts w:ascii="MS PGothic" w:cs="MS PGothic" w:eastAsia="MS PGothic" w:hAnsi="MS PGothic"/>
          <w:sz w:val="21"/>
          <w:szCs w:val="21"/>
          <w:color w:val="auto"/>
        </w:rPr>
      </w:pPr>
      <w:r>
        <w:rPr>
          <w:rFonts w:ascii="Arial" w:cs="Arial" w:eastAsia="Arial" w:hAnsi="Arial"/>
          <w:sz w:val="21"/>
          <w:szCs w:val="21"/>
          <w:b w:val="1"/>
          <w:bCs w:val="1"/>
          <w:color w:val="auto"/>
        </w:rPr>
        <w:t>SHELL COMPANY REPORT PURSUANT TO SECTION 13 OR 15(d) OF THE SECURITIES EXCHANGE ACT OF 1934</w:t>
      </w:r>
    </w:p>
    <w:p>
      <w:pPr>
        <w:spacing w:after="0" w:line="159" w:lineRule="exact"/>
        <w:rPr>
          <w:sz w:val="24"/>
          <w:szCs w:val="24"/>
          <w:color w:val="auto"/>
        </w:rPr>
      </w:pPr>
    </w:p>
    <w:p>
      <w:pPr>
        <w:ind w:left="3440"/>
        <w:spacing w:after="0"/>
        <w:rPr>
          <w:sz w:val="20"/>
          <w:szCs w:val="20"/>
          <w:color w:val="auto"/>
        </w:rPr>
      </w:pPr>
      <w:r>
        <w:rPr>
          <w:rFonts w:ascii="Arial" w:cs="Arial" w:eastAsia="Arial" w:hAnsi="Arial"/>
          <w:sz w:val="17"/>
          <w:szCs w:val="17"/>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4518025</wp:posOffset>
            </wp:positionH>
            <wp:positionV relativeFrom="paragraph">
              <wp:posOffset>-5080</wp:posOffset>
            </wp:positionV>
            <wp:extent cx="548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199" w:lineRule="exact"/>
        <w:rPr>
          <w:sz w:val="24"/>
          <w:szCs w:val="24"/>
          <w:color w:val="auto"/>
        </w:rPr>
      </w:pPr>
    </w:p>
    <w:p>
      <w:pPr>
        <w:ind w:left="4380"/>
        <w:spacing w:after="0"/>
        <w:rPr>
          <w:sz w:val="20"/>
          <w:szCs w:val="20"/>
          <w:color w:val="auto"/>
        </w:rPr>
      </w:pPr>
      <w:r>
        <w:rPr>
          <w:rFonts w:ascii="Arial" w:cs="Arial" w:eastAsia="Arial" w:hAnsi="Arial"/>
          <w:sz w:val="17"/>
          <w:szCs w:val="17"/>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233045</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459"/>
        <w:spacing w:after="0"/>
        <w:rPr>
          <w:sz w:val="20"/>
          <w:szCs w:val="20"/>
          <w:color w:val="auto"/>
        </w:rPr>
      </w:pPr>
      <w:r>
        <w:rPr>
          <w:rFonts w:ascii="Arial" w:cs="Arial" w:eastAsia="Arial" w:hAnsi="Arial"/>
          <w:sz w:val="41"/>
          <w:szCs w:val="41"/>
          <w:b w:val="1"/>
          <w:bCs w:val="1"/>
          <w:color w:val="auto"/>
        </w:rPr>
        <w:t>MEREO BIOPHARMA GROUP PLC</w:t>
      </w:r>
    </w:p>
    <w:p>
      <w:pPr>
        <w:spacing w:after="0" w:line="51"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228600</wp:posOffset>
            </wp:positionV>
            <wp:extent cx="1414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England and Wales</w:t>
      </w:r>
    </w:p>
    <w:p>
      <w:pPr>
        <w:spacing w:after="0" w:line="24"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77"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1 Cavendish Place</w:t>
      </w:r>
    </w:p>
    <w:p>
      <w:pPr>
        <w:spacing w:after="0" w:line="30"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4th Floor</w:t>
      </w:r>
    </w:p>
    <w:p>
      <w:pPr>
        <w:spacing w:after="0" w:line="12"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London, W1G 0QF</w:t>
      </w:r>
    </w:p>
    <w:p>
      <w:pPr>
        <w:spacing w:after="0" w:line="12"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United Kingdom</w:t>
      </w:r>
    </w:p>
    <w:p>
      <w:pPr>
        <w:spacing w:after="0" w:line="12"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Tel: +44-333-023-7300</w:t>
      </w:r>
    </w:p>
    <w:p>
      <w:pPr>
        <w:spacing w:after="0" w:line="5"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77"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Charles Sermon, General Counsel</w:t>
      </w:r>
    </w:p>
    <w:p>
      <w:pPr>
        <w:spacing w:after="0" w:line="30"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Tel: +44-333-023-7300</w:t>
      </w:r>
    </w:p>
    <w:p>
      <w:pPr>
        <w:spacing w:after="0" w:line="12"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Email: cs@mereobiopharma.com</w:t>
      </w:r>
    </w:p>
    <w:p>
      <w:pPr>
        <w:spacing w:after="0" w:line="12"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1 Cavendish Place</w:t>
      </w:r>
    </w:p>
    <w:p>
      <w:pPr>
        <w:spacing w:after="0" w:line="12"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4th Floor</w:t>
      </w:r>
    </w:p>
    <w:p>
      <w:pPr>
        <w:spacing w:after="0" w:line="12"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London, W1G 0QF</w:t>
      </w:r>
    </w:p>
    <w:p>
      <w:pPr>
        <w:spacing w:after="0" w:line="12"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United Kingdom</w:t>
      </w:r>
    </w:p>
    <w:p>
      <w:pPr>
        <w:spacing w:after="0" w:line="5" w:lineRule="exact"/>
        <w:rPr>
          <w:sz w:val="24"/>
          <w:szCs w:val="24"/>
          <w:color w:val="auto"/>
        </w:rPr>
      </w:pPr>
    </w:p>
    <w:p>
      <w:pPr>
        <w:ind w:left="2940"/>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77" w:lineRule="exact"/>
        <w:rPr>
          <w:sz w:val="24"/>
          <w:szCs w:val="24"/>
          <w:color w:val="auto"/>
        </w:rPr>
      </w:pPr>
    </w:p>
    <w:p>
      <w:pPr>
        <w:ind w:left="2920"/>
        <w:spacing w:after="0"/>
        <w:rPr>
          <w:sz w:val="20"/>
          <w:szCs w:val="20"/>
          <w:color w:val="auto"/>
        </w:rPr>
      </w:pPr>
      <w:r>
        <w:rPr>
          <w:rFonts w:ascii="Arial" w:cs="Arial" w:eastAsia="Arial" w:hAnsi="Arial"/>
          <w:sz w:val="17"/>
          <w:szCs w:val="17"/>
          <w:b w:val="1"/>
          <w:bCs w:val="1"/>
          <w:color w:val="auto"/>
        </w:rPr>
        <w:t>Securities registered or to be registered pursuant to Section 12(b) of the Act:</w:t>
      </w:r>
    </w:p>
    <w:p>
      <w:pPr>
        <w:spacing w:after="0" w:line="241" w:lineRule="exact"/>
        <w:rPr>
          <w:sz w:val="24"/>
          <w:szCs w:val="24"/>
          <w:color w:val="auto"/>
        </w:rPr>
      </w:pPr>
    </w:p>
    <w:tbl>
      <w:tblPr>
        <w:tblLayout w:type="fixed"/>
        <w:tblInd w:w="560" w:type="dxa"/>
        <w:tblCellMar>
          <w:top w:w="0" w:type="dxa"/>
          <w:left w:w="0" w:type="dxa"/>
          <w:bottom w:w="0" w:type="dxa"/>
          <w:right w:w="0" w:type="dxa"/>
        </w:tblCellMar>
      </w:tblPr>
      <w:tr>
        <w:trPr>
          <w:trHeight w:val="165"/>
        </w:trPr>
        <w:tc>
          <w:tcPr>
            <w:tcW w:w="20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2760" w:type="dxa"/>
            <w:vAlign w:val="bottom"/>
          </w:tcPr>
          <w:p>
            <w:pPr>
              <w:spacing w:after="0"/>
              <w:rPr>
                <w:sz w:val="14"/>
                <w:szCs w:val="14"/>
                <w:color w:val="auto"/>
              </w:rPr>
            </w:pPr>
          </w:p>
        </w:tc>
        <w:tc>
          <w:tcPr>
            <w:tcW w:w="3360" w:type="dxa"/>
            <w:vAlign w:val="bottom"/>
            <w:gridSpan w:val="2"/>
          </w:tcPr>
          <w:p>
            <w:pPr>
              <w:jc w:val="center"/>
              <w:ind w:left="691"/>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0"/>
        </w:trPr>
        <w:tc>
          <w:tcPr>
            <w:tcW w:w="2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182"/>
        </w:trPr>
        <w:tc>
          <w:tcPr>
            <w:tcW w:w="5820" w:type="dxa"/>
            <w:vAlign w:val="bottom"/>
            <w:gridSpan w:val="3"/>
          </w:tcPr>
          <w:p>
            <w:pPr>
              <w:jc w:val="center"/>
              <w:ind w:right="740"/>
              <w:spacing w:after="0" w:line="182" w:lineRule="exact"/>
              <w:rPr>
                <w:sz w:val="20"/>
                <w:szCs w:val="20"/>
                <w:color w:val="auto"/>
              </w:rPr>
            </w:pPr>
            <w:r>
              <w:rPr>
                <w:rFonts w:ascii="Arial" w:cs="Arial" w:eastAsia="Arial" w:hAnsi="Arial"/>
                <w:sz w:val="17"/>
                <w:szCs w:val="17"/>
                <w:b w:val="1"/>
                <w:bCs w:val="1"/>
                <w:color w:val="auto"/>
                <w:w w:val="90"/>
              </w:rPr>
              <w:t>American Depositary Shares, each representing five ordinary shares,</w:t>
            </w:r>
          </w:p>
        </w:tc>
        <w:tc>
          <w:tcPr>
            <w:tcW w:w="760" w:type="dxa"/>
            <w:vAlign w:val="bottom"/>
          </w:tcPr>
          <w:p>
            <w:pPr>
              <w:spacing w:after="0"/>
              <w:rPr>
                <w:sz w:val="15"/>
                <w:szCs w:val="15"/>
                <w:color w:val="auto"/>
              </w:rPr>
            </w:pPr>
          </w:p>
        </w:tc>
        <w:tc>
          <w:tcPr>
            <w:tcW w:w="2600" w:type="dxa"/>
            <w:vAlign w:val="bottom"/>
          </w:tcPr>
          <w:p>
            <w:pPr>
              <w:jc w:val="center"/>
              <w:spacing w:after="0" w:line="182" w:lineRule="exact"/>
              <w:rPr>
                <w:sz w:val="20"/>
                <w:szCs w:val="20"/>
                <w:color w:val="auto"/>
              </w:rPr>
            </w:pPr>
            <w:r>
              <w:rPr>
                <w:rFonts w:ascii="Arial" w:cs="Arial" w:eastAsia="Arial" w:hAnsi="Arial"/>
                <w:sz w:val="17"/>
                <w:szCs w:val="17"/>
                <w:b w:val="1"/>
                <w:bCs w:val="1"/>
                <w:color w:val="auto"/>
                <w:w w:val="95"/>
              </w:rPr>
              <w:t>The Nasdaq Stock Market LLC</w:t>
            </w:r>
          </w:p>
        </w:tc>
      </w:tr>
      <w:tr>
        <w:trPr>
          <w:trHeight w:val="207"/>
        </w:trPr>
        <w:tc>
          <w:tcPr>
            <w:tcW w:w="5820" w:type="dxa"/>
            <w:vAlign w:val="bottom"/>
            <w:gridSpan w:val="3"/>
          </w:tcPr>
          <w:p>
            <w:pPr>
              <w:jc w:val="center"/>
              <w:ind w:right="740"/>
              <w:spacing w:after="0"/>
              <w:rPr>
                <w:sz w:val="20"/>
                <w:szCs w:val="20"/>
                <w:color w:val="auto"/>
              </w:rPr>
            </w:pPr>
            <w:r>
              <w:rPr>
                <w:rFonts w:ascii="Arial" w:cs="Arial" w:eastAsia="Arial" w:hAnsi="Arial"/>
                <w:sz w:val="17"/>
                <w:szCs w:val="17"/>
                <w:b w:val="1"/>
                <w:bCs w:val="1"/>
                <w:color w:val="auto"/>
                <w:w w:val="91"/>
              </w:rPr>
              <w:t>nominal value of £0.003 per share</w:t>
            </w:r>
          </w:p>
        </w:tc>
        <w:tc>
          <w:tcPr>
            <w:tcW w:w="7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26"/>
        </w:trPr>
        <w:tc>
          <w:tcPr>
            <w:tcW w:w="5820" w:type="dxa"/>
            <w:vAlign w:val="bottom"/>
            <w:gridSpan w:val="3"/>
          </w:tcPr>
          <w:p>
            <w:pPr>
              <w:jc w:val="center"/>
              <w:ind w:right="740"/>
              <w:spacing w:after="0"/>
              <w:rPr>
                <w:sz w:val="20"/>
                <w:szCs w:val="20"/>
                <w:color w:val="auto"/>
              </w:rPr>
            </w:pPr>
            <w:r>
              <w:rPr>
                <w:rFonts w:ascii="Arial" w:cs="Arial" w:eastAsia="Arial" w:hAnsi="Arial"/>
                <w:sz w:val="17"/>
                <w:szCs w:val="17"/>
                <w:b w:val="1"/>
                <w:bCs w:val="1"/>
                <w:color w:val="auto"/>
                <w:w w:val="92"/>
              </w:rPr>
              <w:t>Ordinary Shares, nominal value of £0.003 per share*</w:t>
            </w:r>
          </w:p>
        </w:tc>
        <w:tc>
          <w:tcPr>
            <w:tcW w:w="76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Arial" w:cs="Arial" w:eastAsia="Arial" w:hAnsi="Arial"/>
                <w:sz w:val="17"/>
                <w:szCs w:val="17"/>
                <w:b w:val="1"/>
                <w:bCs w:val="1"/>
                <w:color w:val="auto"/>
                <w:w w:val="95"/>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229870</wp:posOffset>
            </wp:positionV>
            <wp:extent cx="674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369" w:lineRule="exact"/>
        <w:rPr>
          <w:sz w:val="24"/>
          <w:szCs w:val="24"/>
          <w:color w:val="auto"/>
        </w:rPr>
      </w:pPr>
    </w:p>
    <w:p>
      <w:pPr>
        <w:ind w:left="640" w:right="520" w:hanging="209"/>
        <w:spacing w:after="0" w:line="284"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for trading, but only in connection with the registration of American Depositary Shares representing such Ordinary Shares pursuant to the requirements of the U.S. Securities and Exchange Commission.</w:t>
      </w:r>
    </w:p>
    <w:p>
      <w:pPr>
        <w:sectPr>
          <w:pgSz w:w="11900" w:h="16838" w:orient="portrait"/>
          <w:cols w:equalWidth="0" w:num="1">
            <w:col w:w="10960"/>
          </w:cols>
          <w:pgMar w:left="240" w:top="225" w:right="699" w:bottom="0" w:gutter="0" w:footer="0" w:header="0"/>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Securities registered or to be registered pursuant to Section 12(g) of the 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for which there is a reporting obligation pursuant to Section 15(d) of the 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233045</wp:posOffset>
            </wp:positionV>
            <wp:extent cx="1414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Indicate the number of outstanding shares of each of the issuer’s classes of capital or common stock as of the close of the period covered by the annual report.</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number of outstanding shares as of December 31, 2018 was:</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5"/>
        </w:trPr>
        <w:tc>
          <w:tcPr>
            <w:tcW w:w="1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b w:val="1"/>
                <w:bCs w:val="1"/>
                <w:color w:val="auto"/>
                <w:w w:val="84"/>
              </w:rPr>
              <w:t>Title of each class</w:t>
            </w:r>
          </w:p>
        </w:tc>
        <w:tc>
          <w:tcPr>
            <w:tcW w:w="2240" w:type="dxa"/>
            <w:vAlign w:val="bottom"/>
          </w:tcPr>
          <w:p>
            <w:pPr>
              <w:spacing w:after="0"/>
              <w:rPr>
                <w:sz w:val="14"/>
                <w:szCs w:val="14"/>
                <w:color w:val="auto"/>
              </w:rPr>
            </w:pPr>
          </w:p>
        </w:tc>
        <w:tc>
          <w:tcPr>
            <w:tcW w:w="4160" w:type="dxa"/>
            <w:vAlign w:val="bottom"/>
            <w:gridSpan w:val="2"/>
          </w:tcPr>
          <w:p>
            <w:pPr>
              <w:jc w:val="center"/>
              <w:ind w:left="911"/>
              <w:spacing w:after="0"/>
              <w:rPr>
                <w:sz w:val="20"/>
                <w:szCs w:val="20"/>
                <w:color w:val="auto"/>
              </w:rPr>
            </w:pPr>
            <w:r>
              <w:rPr>
                <w:rFonts w:ascii="Arial" w:cs="Arial" w:eastAsia="Arial" w:hAnsi="Arial"/>
                <w:sz w:val="14"/>
                <w:szCs w:val="14"/>
                <w:b w:val="1"/>
                <w:bCs w:val="1"/>
                <w:color w:val="auto"/>
                <w:w w:val="90"/>
              </w:rPr>
              <w:t>Number of Shares Outstanding at December 31, 2018</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7"/>
                <w:szCs w:val="17"/>
                <w:color w:val="auto"/>
                <w:w w:val="98"/>
              </w:rPr>
              <w:t>Ordinary shares,</w:t>
            </w:r>
          </w:p>
        </w:tc>
        <w:tc>
          <w:tcPr>
            <w:tcW w:w="10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60" w:type="dxa"/>
            <w:vAlign w:val="bottom"/>
            <w:vMerge w:val="continue"/>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7"/>
                <w:szCs w:val="17"/>
                <w:color w:val="auto"/>
              </w:rPr>
              <w:t>nominal value of £0.003 per share</w:t>
            </w:r>
          </w:p>
        </w:tc>
        <w:tc>
          <w:tcPr>
            <w:tcW w:w="1000" w:type="dxa"/>
            <w:vAlign w:val="bottom"/>
            <w:vMerge w:val="continue"/>
          </w:tcPr>
          <w:p>
            <w:pPr>
              <w:spacing w:after="0"/>
              <w:rPr>
                <w:sz w:val="18"/>
                <w:szCs w:val="18"/>
                <w:color w:val="auto"/>
              </w:rPr>
            </w:pPr>
          </w:p>
        </w:tc>
        <w:tc>
          <w:tcPr>
            <w:tcW w:w="3160" w:type="dxa"/>
            <w:vAlign w:val="bottom"/>
          </w:tcPr>
          <w:p>
            <w:pPr>
              <w:jc w:val="right"/>
              <w:ind w:right="1114"/>
              <w:spacing w:after="0"/>
              <w:rPr>
                <w:sz w:val="20"/>
                <w:szCs w:val="20"/>
                <w:color w:val="auto"/>
              </w:rPr>
            </w:pPr>
            <w:r>
              <w:rPr>
                <w:rFonts w:ascii="Arial" w:cs="Arial" w:eastAsia="Arial" w:hAnsi="Arial"/>
                <w:sz w:val="17"/>
                <w:szCs w:val="17"/>
                <w:color w:val="auto"/>
              </w:rPr>
              <w:t>71,240,272</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line="196" w:lineRule="exact"/>
        <w:tabs>
          <w:tab w:leader="none" w:pos="8220" w:val="left"/>
          <w:tab w:leader="none" w:pos="890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51" w:lineRule="exact"/>
        <w:rPr>
          <w:sz w:val="20"/>
          <w:szCs w:val="20"/>
          <w:color w:val="auto"/>
        </w:rPr>
      </w:pPr>
    </w:p>
    <w:p>
      <w:pPr>
        <w:ind w:right="60"/>
        <w:spacing w:after="0" w:line="223" w:lineRule="exact"/>
        <w:rPr>
          <w:sz w:val="20"/>
          <w:szCs w:val="20"/>
          <w:color w:val="auto"/>
        </w:rPr>
      </w:pPr>
      <w:r>
        <w:rPr>
          <w:rFonts w:ascii="Arial" w:cs="Arial" w:eastAsia="Arial" w:hAnsi="Arial"/>
          <w:sz w:val="17"/>
          <w:szCs w:val="17"/>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7"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Note – Checking the box above will not relieve any registrant required to file reports pursuant to Section 13 or 15(d) of the Securities Exchange Act of 1934 from their obligations under those Sections.</w:t>
      </w:r>
    </w:p>
    <w:p>
      <w:pPr>
        <w:spacing w:after="0" w:line="159" w:lineRule="exact"/>
        <w:rPr>
          <w:sz w:val="20"/>
          <w:szCs w:val="20"/>
          <w:color w:val="auto"/>
        </w:rPr>
      </w:pPr>
    </w:p>
    <w:p>
      <w:pPr>
        <w:ind w:right="80"/>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9" w:lineRule="exact"/>
        <w:rPr>
          <w:sz w:val="20"/>
          <w:szCs w:val="20"/>
          <w:color w:val="auto"/>
        </w:rPr>
      </w:pPr>
    </w:p>
    <w:p>
      <w:pPr>
        <w:ind w:right="140"/>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9"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(as defined in Rule 12b-2 of the Act).</w:t>
      </w:r>
    </w:p>
    <w:p>
      <w:pPr>
        <w:sectPr>
          <w:pgSz w:w="11900" w:h="16838" w:orient="portrait"/>
          <w:cols w:equalWidth="0" w:num="1">
            <w:col w:w="10560"/>
          </w:cols>
          <w:pgMar w:left="680" w:top="121" w:right="659" w:bottom="1440" w:gutter="0" w:footer="0" w:header="0"/>
        </w:sectPr>
      </w:pPr>
    </w:p>
    <w:p>
      <w:pPr>
        <w:spacing w:after="0" w:line="159"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both"/>
        <w:ind w:firstLine="383"/>
        <w:spacing w:after="0" w:line="230"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13" w:lineRule="exact"/>
        <w:rPr>
          <w:sz w:val="20"/>
          <w:szCs w:val="20"/>
          <w:color w:val="auto"/>
        </w:rPr>
      </w:pPr>
    </w:p>
    <w:p>
      <w:pPr>
        <w:sectPr>
          <w:pgSz w:w="11900" w:h="16838" w:orient="portrait"/>
          <w:cols w:equalWidth="0" w:num="6">
            <w:col w:w="3580" w:space="100"/>
            <w:col w:w="140" w:space="400"/>
            <w:col w:w="1880" w:space="80"/>
            <w:col w:w="160" w:space="500"/>
            <w:col w:w="1500" w:space="100"/>
            <w:col w:w="2120"/>
          </w:cols>
          <w:pgMar w:left="680" w:top="121" w:right="659" w:bottom="1440" w:gutter="0" w:footer="0" w:header="0"/>
          <w:type w:val="continuous"/>
        </w:sectPr>
      </w:pPr>
    </w:p>
    <w:p>
      <w:pPr>
        <w:jc w:val="both"/>
        <w:spacing w:after="0" w:line="217" w:lineRule="exact"/>
        <w:rPr>
          <w:sz w:val="20"/>
          <w:szCs w:val="20"/>
          <w:color w:val="auto"/>
        </w:rPr>
      </w:pPr>
      <w:r>
        <w:rPr>
          <w:rFonts w:ascii="Arial" w:cs="Arial" w:eastAsia="Arial" w:hAnsi="Arial"/>
          <w:sz w:val="17"/>
          <w:szCs w:val="17"/>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which basis of accounting the registrant has used to prepare the financial statements included in this filing:</w:t>
      </w:r>
    </w:p>
    <w:p>
      <w:pPr>
        <w:sectPr>
          <w:pgSz w:w="11900" w:h="16838" w:orient="portrait"/>
          <w:cols w:equalWidth="0" w:num="1">
            <w:col w:w="10560"/>
          </w:cols>
          <w:pgMar w:left="680" w:top="121" w:right="659" w:bottom="1440" w:gutter="0" w:footer="0" w:header="0"/>
          <w:type w:val="continuous"/>
        </w:sectPr>
      </w:pPr>
    </w:p>
    <w:p>
      <w:pPr>
        <w:spacing w:after="0" w:line="128"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U.S. GAAP</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223" w:lineRule="exact"/>
        <w:rPr>
          <w:sz w:val="20"/>
          <w:szCs w:val="20"/>
          <w:color w:val="auto"/>
        </w:rPr>
      </w:pPr>
      <w:r>
        <w:rPr>
          <w:rFonts w:ascii="Arial" w:cs="Arial" w:eastAsia="Arial" w:hAnsi="Arial"/>
          <w:sz w:val="15"/>
          <w:szCs w:val="15"/>
          <w:color w:val="auto"/>
        </w:rPr>
        <w:t xml:space="preserve">International Financial Reporting Standards as issued by the International Accounting Standards Board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06" w:lineRule="exact"/>
        <w:rPr>
          <w:sz w:val="20"/>
          <w:szCs w:val="20"/>
          <w:color w:val="auto"/>
        </w:rPr>
      </w:pPr>
    </w:p>
    <w:p>
      <w:pPr>
        <w:sectPr>
          <w:pgSz w:w="11900" w:h="16838" w:orient="portrait"/>
          <w:cols w:equalWidth="0" w:num="5">
            <w:col w:w="2740" w:space="80"/>
            <w:col w:w="160" w:space="440"/>
            <w:col w:w="3680" w:space="660"/>
            <w:col w:w="400" w:space="80"/>
            <w:col w:w="2320"/>
          </w:cols>
          <w:pgMar w:left="680" w:top="121" w:right="659" w:bottom="1440" w:gutter="0" w:footer="0" w:header="0"/>
          <w:type w:val="continuous"/>
        </w:sectPr>
      </w:pPr>
    </w:p>
    <w:p>
      <w:pPr>
        <w:ind w:right="300"/>
        <w:spacing w:after="0" w:line="223" w:lineRule="exact"/>
        <w:rPr>
          <w:sz w:val="20"/>
          <w:szCs w:val="20"/>
          <w:color w:val="auto"/>
        </w:rPr>
      </w:pPr>
      <w:r>
        <w:rPr>
          <w:rFonts w:ascii="Arial" w:cs="Arial" w:eastAsia="Arial" w:hAnsi="Arial"/>
          <w:sz w:val="17"/>
          <w:szCs w:val="17"/>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7"/>
          <w:szCs w:val="17"/>
          <w:color w:val="auto"/>
        </w:rPr>
        <w:t>☐</w:t>
      </w:r>
      <w:r>
        <w:rPr>
          <w:rFonts w:ascii="Arial" w:cs="Arial" w:eastAsia="Arial" w:hAnsi="Arial"/>
          <w:sz w:val="17"/>
          <w:szCs w:val="17"/>
          <w:color w:val="auto"/>
        </w:rPr>
        <w:t xml:space="preserve"> Item 17 </w:t>
      </w:r>
      <w:r>
        <w:rPr>
          <w:rFonts w:ascii="MS PGothic" w:cs="MS PGothic" w:eastAsia="MS PGothic" w:hAnsi="MS PGothic"/>
          <w:sz w:val="17"/>
          <w:szCs w:val="17"/>
          <w:color w:val="auto"/>
        </w:rPr>
        <w:t>☐</w:t>
      </w:r>
      <w:r>
        <w:rPr>
          <w:rFonts w:ascii="Arial" w:cs="Arial" w:eastAsia="Arial" w:hAnsi="Arial"/>
          <w:sz w:val="17"/>
          <w:szCs w:val="17"/>
          <w:color w:val="auto"/>
        </w:rPr>
        <w:t xml:space="preserve"> Item 18</w:t>
      </w:r>
    </w:p>
    <w:p>
      <w:pPr>
        <w:spacing w:after="0" w:line="177" w:lineRule="exact"/>
        <w:rPr>
          <w:sz w:val="20"/>
          <w:szCs w:val="20"/>
          <w:color w:val="auto"/>
        </w:rPr>
      </w:pPr>
    </w:p>
    <w:p>
      <w:pPr>
        <w:ind w:right="1320"/>
        <w:spacing w:after="0" w:line="223" w:lineRule="exact"/>
        <w:rPr>
          <w:sz w:val="20"/>
          <w:szCs w:val="20"/>
          <w:color w:val="auto"/>
        </w:rPr>
      </w:pPr>
      <w:r>
        <w:rPr>
          <w:rFonts w:ascii="Arial" w:cs="Arial" w:eastAsia="Arial" w:hAnsi="Arial"/>
          <w:sz w:val="17"/>
          <w:szCs w:val="17"/>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67094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94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67094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9410" cy="8255"/>
                    </a:xfrm>
                    <a:prstGeom prst="rect">
                      <a:avLst/>
                    </a:prstGeom>
                    <a:noFill/>
                  </pic:spPr>
                </pic:pic>
              </a:graphicData>
            </a:graphic>
          </wp:anchor>
        </w:drawing>
      </w:r>
    </w:p>
    <w:p>
      <w:pPr>
        <w:sectPr>
          <w:pgSz w:w="11900" w:h="16838" w:orient="portrait"/>
          <w:cols w:equalWidth="0" w:num="1">
            <w:col w:w="10560"/>
          </w:cols>
          <w:pgMar w:left="680" w:top="121" w:right="65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241300</wp:posOffset>
            </wp:positionV>
            <wp:extent cx="1414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480" w:type="dxa"/>
            <w:vAlign w:val="bottom"/>
            <w:gridSpan w:val="4"/>
            <w:vMerge w:val="restart"/>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PART ONE</w:t>
              </w:r>
            </w:hyperlink>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48"/>
        </w:trPr>
        <w:tc>
          <w:tcPr>
            <w:tcW w:w="148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80" w:type="dxa"/>
            <w:vAlign w:val="bottom"/>
            <w:gridSpan w:val="4"/>
          </w:tcPr>
          <w:p>
            <w:pPr>
              <w:ind w:left="340"/>
              <w:spacing w:after="0"/>
              <w:rPr>
                <w:sz w:val="20"/>
                <w:szCs w:val="20"/>
                <w:color w:val="auto"/>
              </w:rPr>
            </w:pPr>
            <w:r>
              <w:rPr>
                <w:rFonts w:ascii="Arial" w:cs="Arial" w:eastAsia="Arial" w:hAnsi="Arial"/>
                <w:sz w:val="17"/>
                <w:szCs w:val="17"/>
                <w:color w:val="auto"/>
              </w:rPr>
              <w:t>Item 1.</w:t>
            </w:r>
          </w:p>
        </w:tc>
        <w:tc>
          <w:tcPr>
            <w:tcW w:w="8720" w:type="dxa"/>
            <w:vAlign w:val="bottom"/>
            <w:gridSpan w:val="25"/>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Identity of Directors, Senior Management And Advisers</w:t>
              </w:r>
            </w:hyperlink>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2.</w:t>
            </w:r>
          </w:p>
        </w:tc>
        <w:tc>
          <w:tcPr>
            <w:tcW w:w="2760" w:type="dxa"/>
            <w:vAlign w:val="bottom"/>
            <w:tcBorders>
              <w:top w:val="single" w:sz="8" w:color="0000EE"/>
              <w:bottom w:val="single" w:sz="8" w:color="0000EE"/>
            </w:tcBorders>
            <w:gridSpan w:val="13"/>
          </w:tcPr>
          <w:p>
            <w:pPr>
              <w:spacing w:after="0" w:line="187" w:lineRule="exact"/>
              <w:rPr>
                <w:rFonts w:ascii="Arial" w:cs="Arial" w:eastAsia="Arial" w:hAnsi="Arial"/>
                <w:sz w:val="17"/>
                <w:szCs w:val="17"/>
                <w:color w:val="0000EE"/>
                <w:w w:val="91"/>
              </w:rPr>
            </w:pPr>
            <w:hyperlink w:anchor="page6">
              <w:r>
                <w:rPr>
                  <w:rFonts w:ascii="Arial" w:cs="Arial" w:eastAsia="Arial" w:hAnsi="Arial"/>
                  <w:sz w:val="17"/>
                  <w:szCs w:val="17"/>
                  <w:color w:val="0000EE"/>
                  <w:w w:val="91"/>
                </w:rPr>
                <w:t>Offer Statistics and Expected Timetable</w:t>
              </w:r>
            </w:hyperlink>
          </w:p>
        </w:tc>
        <w:tc>
          <w:tcPr>
            <w:tcW w:w="1120" w:type="dxa"/>
            <w:vAlign w:val="bottom"/>
            <w:tcBorders>
              <w:top w:val="single" w:sz="8" w:color="0000EE"/>
            </w:tcBorders>
            <w:gridSpan w:val="7"/>
          </w:tcPr>
          <w:p>
            <w:pPr>
              <w:spacing w:after="0"/>
              <w:rPr>
                <w:sz w:val="16"/>
                <w:szCs w:val="16"/>
                <w:color w:val="auto"/>
              </w:rPr>
            </w:pPr>
          </w:p>
        </w:tc>
        <w:tc>
          <w:tcPr>
            <w:tcW w:w="4840" w:type="dxa"/>
            <w:vAlign w:val="bottom"/>
            <w:gridSpan w:val="5"/>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3.</w:t>
            </w:r>
          </w:p>
        </w:tc>
        <w:tc>
          <w:tcPr>
            <w:tcW w:w="1160" w:type="dxa"/>
            <w:vAlign w:val="bottom"/>
            <w:tcBorders>
              <w:bottom w:val="single" w:sz="8" w:color="0000EE"/>
            </w:tcBorders>
            <w:gridSpan w:val="3"/>
          </w:tcPr>
          <w:p>
            <w:pPr>
              <w:spacing w:after="0" w:line="187" w:lineRule="exact"/>
              <w:rPr>
                <w:rFonts w:ascii="Arial" w:cs="Arial" w:eastAsia="Arial" w:hAnsi="Arial"/>
                <w:sz w:val="17"/>
                <w:szCs w:val="17"/>
                <w:color w:val="0000EE"/>
                <w:w w:val="95"/>
              </w:rPr>
            </w:pPr>
            <w:hyperlink w:anchor="page6">
              <w:r>
                <w:rPr>
                  <w:rFonts w:ascii="Arial" w:cs="Arial" w:eastAsia="Arial" w:hAnsi="Arial"/>
                  <w:sz w:val="17"/>
                  <w:szCs w:val="17"/>
                  <w:color w:val="0000EE"/>
                  <w:w w:val="95"/>
                </w:rPr>
                <w:t>Key Information</w:t>
              </w:r>
            </w:hyperlink>
          </w:p>
        </w:tc>
        <w:tc>
          <w:tcPr>
            <w:tcW w:w="7560" w:type="dxa"/>
            <w:vAlign w:val="bottom"/>
            <w:gridSpan w:val="22"/>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4.</w:t>
            </w:r>
          </w:p>
        </w:tc>
        <w:tc>
          <w:tcPr>
            <w:tcW w:w="2100" w:type="dxa"/>
            <w:vAlign w:val="bottom"/>
            <w:tcBorders>
              <w:bottom w:val="single" w:sz="8" w:color="0000EE"/>
            </w:tcBorders>
            <w:gridSpan w:val="10"/>
          </w:tcPr>
          <w:p>
            <w:pPr>
              <w:spacing w:after="0" w:line="187" w:lineRule="exact"/>
              <w:rPr>
                <w:rFonts w:ascii="Arial" w:cs="Arial" w:eastAsia="Arial" w:hAnsi="Arial"/>
                <w:sz w:val="17"/>
                <w:szCs w:val="17"/>
                <w:color w:val="0000EE"/>
                <w:w w:val="92"/>
              </w:rPr>
            </w:pPr>
            <w:hyperlink w:anchor="page53">
              <w:r>
                <w:rPr>
                  <w:rFonts w:ascii="Arial" w:cs="Arial" w:eastAsia="Arial" w:hAnsi="Arial"/>
                  <w:sz w:val="17"/>
                  <w:szCs w:val="17"/>
                  <w:color w:val="0000EE"/>
                  <w:w w:val="92"/>
                </w:rPr>
                <w:t>Information On The Company</w:t>
              </w:r>
            </w:hyperlink>
          </w:p>
        </w:tc>
        <w:tc>
          <w:tcPr>
            <w:tcW w:w="6620" w:type="dxa"/>
            <w:vAlign w:val="bottom"/>
            <w:gridSpan w:val="15"/>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4A.</w:t>
            </w:r>
          </w:p>
        </w:tc>
        <w:tc>
          <w:tcPr>
            <w:tcW w:w="1960" w:type="dxa"/>
            <w:vAlign w:val="bottom"/>
            <w:tcBorders>
              <w:bottom w:val="single" w:sz="8" w:color="0000EE"/>
            </w:tcBorders>
            <w:gridSpan w:val="9"/>
          </w:tcPr>
          <w:p>
            <w:pPr>
              <w:spacing w:after="0" w:line="187" w:lineRule="exact"/>
              <w:rPr>
                <w:rFonts w:ascii="Arial" w:cs="Arial" w:eastAsia="Arial" w:hAnsi="Arial"/>
                <w:sz w:val="17"/>
                <w:szCs w:val="17"/>
                <w:color w:val="0000EE"/>
                <w:w w:val="91"/>
              </w:rPr>
            </w:pPr>
            <w:hyperlink w:anchor="page103">
              <w:r>
                <w:rPr>
                  <w:rFonts w:ascii="Arial" w:cs="Arial" w:eastAsia="Arial" w:hAnsi="Arial"/>
                  <w:sz w:val="17"/>
                  <w:szCs w:val="17"/>
                  <w:color w:val="0000EE"/>
                  <w:w w:val="91"/>
                </w:rPr>
                <w:t>Unresolved Staff Comments</w:t>
              </w:r>
            </w:hyperlink>
          </w:p>
        </w:tc>
        <w:tc>
          <w:tcPr>
            <w:tcW w:w="6760" w:type="dxa"/>
            <w:vAlign w:val="bottom"/>
            <w:gridSpan w:val="16"/>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100</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5.</w:t>
            </w:r>
          </w:p>
        </w:tc>
        <w:tc>
          <w:tcPr>
            <w:tcW w:w="8720" w:type="dxa"/>
            <w:vAlign w:val="bottom"/>
            <w:gridSpan w:val="25"/>
          </w:tcPr>
          <w:p>
            <w:pPr>
              <w:spacing w:after="0" w:line="187" w:lineRule="exact"/>
              <w:rPr>
                <w:rFonts w:ascii="Arial" w:cs="Arial" w:eastAsia="Arial" w:hAnsi="Arial"/>
                <w:sz w:val="17"/>
                <w:szCs w:val="17"/>
                <w:color w:val="0000EE"/>
              </w:rPr>
            </w:pPr>
            <w:hyperlink w:anchor="page104">
              <w:r>
                <w:rPr>
                  <w:rFonts w:ascii="Arial" w:cs="Arial" w:eastAsia="Arial" w:hAnsi="Arial"/>
                  <w:sz w:val="17"/>
                  <w:szCs w:val="17"/>
                  <w:color w:val="0000EE"/>
                </w:rPr>
                <w:t>Operating And Financial Review And Prospects</w:t>
              </w:r>
            </w:hyperlink>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101</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6.</w:t>
            </w:r>
          </w:p>
        </w:tc>
        <w:tc>
          <w:tcPr>
            <w:tcW w:w="3320" w:type="dxa"/>
            <w:vAlign w:val="bottom"/>
            <w:tcBorders>
              <w:top w:val="single" w:sz="8" w:color="0000EE"/>
            </w:tcBorders>
            <w:gridSpan w:val="16"/>
          </w:tcPr>
          <w:p>
            <w:pPr>
              <w:spacing w:after="0" w:line="187" w:lineRule="exact"/>
              <w:rPr>
                <w:rFonts w:ascii="Arial" w:cs="Arial" w:eastAsia="Arial" w:hAnsi="Arial"/>
                <w:sz w:val="17"/>
                <w:szCs w:val="17"/>
                <w:color w:val="0000EE"/>
                <w:w w:val="93"/>
              </w:rPr>
            </w:pPr>
            <w:hyperlink w:anchor="page123">
              <w:r>
                <w:rPr>
                  <w:rFonts w:ascii="Arial" w:cs="Arial" w:eastAsia="Arial" w:hAnsi="Arial"/>
                  <w:sz w:val="17"/>
                  <w:szCs w:val="17"/>
                  <w:color w:val="0000EE"/>
                  <w:w w:val="93"/>
                </w:rPr>
                <w:t>Directors, Senior Management And Employees</w:t>
              </w:r>
            </w:hyperlink>
          </w:p>
        </w:tc>
        <w:tc>
          <w:tcPr>
            <w:tcW w:w="5400" w:type="dxa"/>
            <w:vAlign w:val="bottom"/>
            <w:gridSpan w:val="9"/>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120</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7.</w:t>
            </w:r>
          </w:p>
        </w:tc>
        <w:tc>
          <w:tcPr>
            <w:tcW w:w="3600" w:type="dxa"/>
            <w:vAlign w:val="bottom"/>
            <w:tcBorders>
              <w:bottom w:val="single" w:sz="8" w:color="0000EE"/>
            </w:tcBorders>
            <w:gridSpan w:val="18"/>
          </w:tcPr>
          <w:p>
            <w:pPr>
              <w:spacing w:after="0" w:line="187" w:lineRule="exact"/>
              <w:rPr>
                <w:rFonts w:ascii="Arial" w:cs="Arial" w:eastAsia="Arial" w:hAnsi="Arial"/>
                <w:sz w:val="17"/>
                <w:szCs w:val="17"/>
                <w:color w:val="0000EE"/>
                <w:w w:val="91"/>
              </w:rPr>
            </w:pPr>
            <w:hyperlink w:anchor="page139">
              <w:r>
                <w:rPr>
                  <w:rFonts w:ascii="Arial" w:cs="Arial" w:eastAsia="Arial" w:hAnsi="Arial"/>
                  <w:sz w:val="17"/>
                  <w:szCs w:val="17"/>
                  <w:color w:val="0000EE"/>
                  <w:w w:val="91"/>
                </w:rPr>
                <w:t>Major Shareholders And Related Party Transactions</w:t>
              </w:r>
            </w:hyperlink>
          </w:p>
        </w:tc>
        <w:tc>
          <w:tcPr>
            <w:tcW w:w="5120" w:type="dxa"/>
            <w:vAlign w:val="bottom"/>
            <w:gridSpan w:val="7"/>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136</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8.</w:t>
            </w:r>
          </w:p>
        </w:tc>
        <w:tc>
          <w:tcPr>
            <w:tcW w:w="8720" w:type="dxa"/>
            <w:vAlign w:val="bottom"/>
            <w:gridSpan w:val="25"/>
          </w:tcPr>
          <w:p>
            <w:pPr>
              <w:spacing w:after="0" w:line="187" w:lineRule="exact"/>
              <w:rPr>
                <w:rFonts w:ascii="Arial" w:cs="Arial" w:eastAsia="Arial" w:hAnsi="Arial"/>
                <w:sz w:val="17"/>
                <w:szCs w:val="17"/>
                <w:color w:val="0000EE"/>
              </w:rPr>
            </w:pPr>
            <w:hyperlink w:anchor="page141">
              <w:r>
                <w:rPr>
                  <w:rFonts w:ascii="Arial" w:cs="Arial" w:eastAsia="Arial" w:hAnsi="Arial"/>
                  <w:sz w:val="17"/>
                  <w:szCs w:val="17"/>
                  <w:color w:val="0000EE"/>
                </w:rPr>
                <w:t>Financial Information</w:t>
              </w:r>
            </w:hyperlink>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138</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9.</w:t>
            </w:r>
          </w:p>
        </w:tc>
        <w:tc>
          <w:tcPr>
            <w:tcW w:w="1500" w:type="dxa"/>
            <w:vAlign w:val="bottom"/>
            <w:tcBorders>
              <w:bottom w:val="single" w:sz="8" w:color="0000EE"/>
            </w:tcBorders>
            <w:gridSpan w:val="5"/>
          </w:tcPr>
          <w:p>
            <w:pPr>
              <w:spacing w:after="0" w:line="187" w:lineRule="exact"/>
              <w:rPr>
                <w:rFonts w:ascii="Arial" w:cs="Arial" w:eastAsia="Arial" w:hAnsi="Arial"/>
                <w:sz w:val="17"/>
                <w:szCs w:val="17"/>
                <w:color w:val="0000EE"/>
                <w:w w:val="90"/>
              </w:rPr>
            </w:pPr>
            <w:hyperlink w:anchor="page142">
              <w:r>
                <w:rPr>
                  <w:rFonts w:ascii="Arial" w:cs="Arial" w:eastAsia="Arial" w:hAnsi="Arial"/>
                  <w:sz w:val="17"/>
                  <w:szCs w:val="17"/>
                  <w:color w:val="0000EE"/>
                  <w:w w:val="90"/>
                </w:rPr>
                <w:t>The Offer And Listing</w:t>
              </w:r>
            </w:hyperlink>
          </w:p>
        </w:tc>
        <w:tc>
          <w:tcPr>
            <w:tcW w:w="7220" w:type="dxa"/>
            <w:vAlign w:val="bottom"/>
            <w:gridSpan w:val="20"/>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139</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10.</w:t>
            </w:r>
          </w:p>
        </w:tc>
        <w:tc>
          <w:tcPr>
            <w:tcW w:w="8720" w:type="dxa"/>
            <w:vAlign w:val="bottom"/>
            <w:gridSpan w:val="25"/>
          </w:tcPr>
          <w:p>
            <w:pPr>
              <w:spacing w:after="0" w:line="187" w:lineRule="exact"/>
              <w:rPr>
                <w:rFonts w:ascii="Arial" w:cs="Arial" w:eastAsia="Arial" w:hAnsi="Arial"/>
                <w:sz w:val="17"/>
                <w:szCs w:val="17"/>
                <w:color w:val="0000EE"/>
              </w:rPr>
            </w:pPr>
            <w:hyperlink w:anchor="page143">
              <w:r>
                <w:rPr>
                  <w:rFonts w:ascii="Arial" w:cs="Arial" w:eastAsia="Arial" w:hAnsi="Arial"/>
                  <w:sz w:val="17"/>
                  <w:szCs w:val="17"/>
                  <w:color w:val="0000EE"/>
                </w:rPr>
                <w:t>Additional Information</w:t>
              </w:r>
            </w:hyperlink>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140</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11.</w:t>
            </w:r>
          </w:p>
        </w:tc>
        <w:tc>
          <w:tcPr>
            <w:tcW w:w="8720" w:type="dxa"/>
            <w:vAlign w:val="bottom"/>
            <w:gridSpan w:val="25"/>
          </w:tcPr>
          <w:p>
            <w:pPr>
              <w:spacing w:after="0" w:line="187" w:lineRule="exact"/>
              <w:rPr>
                <w:rFonts w:ascii="Arial" w:cs="Arial" w:eastAsia="Arial" w:hAnsi="Arial"/>
                <w:sz w:val="17"/>
                <w:szCs w:val="17"/>
                <w:color w:val="0000EE"/>
              </w:rPr>
            </w:pPr>
            <w:hyperlink w:anchor="page157">
              <w:r>
                <w:rPr>
                  <w:rFonts w:ascii="Arial" w:cs="Arial" w:eastAsia="Arial" w:hAnsi="Arial"/>
                  <w:sz w:val="17"/>
                  <w:szCs w:val="17"/>
                  <w:color w:val="0000EE"/>
                </w:rPr>
                <w:t>Quantitative And Qualitative Disclosures About Market Risk</w:t>
              </w:r>
            </w:hyperlink>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154</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12.</w:t>
            </w:r>
          </w:p>
        </w:tc>
        <w:tc>
          <w:tcPr>
            <w:tcW w:w="4220" w:type="dxa"/>
            <w:vAlign w:val="bottom"/>
            <w:tcBorders>
              <w:top w:val="single" w:sz="8" w:color="0000EE"/>
            </w:tcBorders>
            <w:gridSpan w:val="21"/>
          </w:tcPr>
          <w:p>
            <w:pPr>
              <w:spacing w:after="0" w:line="187" w:lineRule="exact"/>
              <w:rPr>
                <w:rFonts w:ascii="Arial" w:cs="Arial" w:eastAsia="Arial" w:hAnsi="Arial"/>
                <w:sz w:val="17"/>
                <w:szCs w:val="17"/>
                <w:color w:val="0000EE"/>
              </w:rPr>
            </w:pPr>
            <w:hyperlink w:anchor="page158">
              <w:r>
                <w:rPr>
                  <w:rFonts w:ascii="Arial" w:cs="Arial" w:eastAsia="Arial" w:hAnsi="Arial"/>
                  <w:sz w:val="17"/>
                  <w:szCs w:val="17"/>
                  <w:color w:val="0000EE"/>
                </w:rPr>
                <w:t>Description of Securities Other Than Equity Securities</w:t>
              </w:r>
            </w:hyperlink>
          </w:p>
        </w:tc>
        <w:tc>
          <w:tcPr>
            <w:tcW w:w="4500" w:type="dxa"/>
            <w:vAlign w:val="bottom"/>
            <w:gridSpan w:val="4"/>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155</w:t>
            </w:r>
          </w:p>
        </w:tc>
        <w:tc>
          <w:tcPr>
            <w:tcW w:w="0" w:type="dxa"/>
            <w:vAlign w:val="bottom"/>
          </w:tcPr>
          <w:p>
            <w:pPr>
              <w:spacing w:after="0"/>
              <w:rPr>
                <w:sz w:val="1"/>
                <w:szCs w:val="1"/>
                <w:color w:val="auto"/>
              </w:rPr>
            </w:pPr>
          </w:p>
        </w:tc>
      </w:tr>
      <w:tr>
        <w:trPr>
          <w:trHeight w:val="291"/>
        </w:trPr>
        <w:tc>
          <w:tcPr>
            <w:tcW w:w="880" w:type="dxa"/>
            <w:vAlign w:val="bottom"/>
            <w:tcBorders>
              <w:bottom w:val="single" w:sz="8" w:color="0000EE"/>
            </w:tcBorders>
            <w:gridSpan w:val="2"/>
          </w:tcPr>
          <w:p>
            <w:pPr>
              <w:spacing w:after="0"/>
              <w:rPr>
                <w:rFonts w:ascii="Arial" w:cs="Arial" w:eastAsia="Arial" w:hAnsi="Arial"/>
                <w:sz w:val="17"/>
                <w:szCs w:val="17"/>
                <w:color w:val="0000EE"/>
                <w:w w:val="95"/>
              </w:rPr>
            </w:pPr>
            <w:hyperlink w:anchor="page160">
              <w:r>
                <w:rPr>
                  <w:rFonts w:ascii="Arial" w:cs="Arial" w:eastAsia="Arial" w:hAnsi="Arial"/>
                  <w:sz w:val="17"/>
                  <w:szCs w:val="17"/>
                  <w:color w:val="0000EE"/>
                  <w:w w:val="95"/>
                </w:rPr>
                <w:t>PART TWO</w:t>
              </w:r>
            </w:hyperlink>
          </w:p>
        </w:tc>
        <w:tc>
          <w:tcPr>
            <w:tcW w:w="600" w:type="dxa"/>
            <w:vAlign w:val="bottom"/>
            <w:gridSpan w:val="2"/>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157</w:t>
            </w:r>
          </w:p>
        </w:tc>
        <w:tc>
          <w:tcPr>
            <w:tcW w:w="0" w:type="dxa"/>
            <w:vAlign w:val="bottom"/>
          </w:tcPr>
          <w:p>
            <w:pPr>
              <w:spacing w:after="0"/>
              <w:rPr>
                <w:sz w:val="1"/>
                <w:szCs w:val="1"/>
                <w:color w:val="auto"/>
              </w:rPr>
            </w:pPr>
          </w:p>
        </w:tc>
      </w:tr>
      <w:tr>
        <w:trPr>
          <w:trHeight w:val="291"/>
        </w:trPr>
        <w:tc>
          <w:tcPr>
            <w:tcW w:w="1480" w:type="dxa"/>
            <w:vAlign w:val="bottom"/>
            <w:gridSpan w:val="4"/>
          </w:tcPr>
          <w:p>
            <w:pPr>
              <w:ind w:left="340"/>
              <w:spacing w:after="0"/>
              <w:rPr>
                <w:sz w:val="20"/>
                <w:szCs w:val="20"/>
                <w:color w:val="auto"/>
              </w:rPr>
            </w:pPr>
            <w:r>
              <w:rPr>
                <w:rFonts w:ascii="Arial" w:cs="Arial" w:eastAsia="Arial" w:hAnsi="Arial"/>
                <w:sz w:val="17"/>
                <w:szCs w:val="17"/>
                <w:color w:val="auto"/>
              </w:rPr>
              <w:t>Item 13.</w:t>
            </w:r>
          </w:p>
        </w:tc>
        <w:tc>
          <w:tcPr>
            <w:tcW w:w="3480" w:type="dxa"/>
            <w:vAlign w:val="bottom"/>
            <w:tcBorders>
              <w:bottom w:val="single" w:sz="8" w:color="0000EE"/>
            </w:tcBorders>
            <w:gridSpan w:val="17"/>
          </w:tcPr>
          <w:p>
            <w:pPr>
              <w:spacing w:after="0"/>
              <w:rPr>
                <w:rFonts w:ascii="Arial" w:cs="Arial" w:eastAsia="Arial" w:hAnsi="Arial"/>
                <w:sz w:val="17"/>
                <w:szCs w:val="17"/>
                <w:color w:val="0000EE"/>
                <w:w w:val="92"/>
              </w:rPr>
            </w:pPr>
            <w:hyperlink w:anchor="page160">
              <w:r>
                <w:rPr>
                  <w:rFonts w:ascii="Arial" w:cs="Arial" w:eastAsia="Arial" w:hAnsi="Arial"/>
                  <w:sz w:val="17"/>
                  <w:szCs w:val="17"/>
                  <w:color w:val="0000EE"/>
                  <w:w w:val="92"/>
                </w:rPr>
                <w:t>Defaults, Dividend Arrearages And Delinquencies</w:t>
              </w:r>
            </w:hyperlink>
          </w:p>
        </w:tc>
        <w:tc>
          <w:tcPr>
            <w:tcW w:w="524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157</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14.</w:t>
            </w:r>
          </w:p>
        </w:tc>
        <w:tc>
          <w:tcPr>
            <w:tcW w:w="5600" w:type="dxa"/>
            <w:vAlign w:val="bottom"/>
            <w:tcBorders>
              <w:bottom w:val="single" w:sz="8" w:color="0000EE"/>
            </w:tcBorders>
            <w:gridSpan w:val="24"/>
          </w:tcPr>
          <w:p>
            <w:pPr>
              <w:spacing w:after="0" w:line="187" w:lineRule="exact"/>
              <w:rPr>
                <w:rFonts w:ascii="Arial" w:cs="Arial" w:eastAsia="Arial" w:hAnsi="Arial"/>
                <w:sz w:val="17"/>
                <w:szCs w:val="17"/>
                <w:color w:val="0000EE"/>
                <w:w w:val="93"/>
              </w:rPr>
            </w:pPr>
            <w:hyperlink w:anchor="page160">
              <w:r>
                <w:rPr>
                  <w:rFonts w:ascii="Arial" w:cs="Arial" w:eastAsia="Arial" w:hAnsi="Arial"/>
                  <w:sz w:val="17"/>
                  <w:szCs w:val="17"/>
                  <w:color w:val="0000EE"/>
                  <w:w w:val="93"/>
                </w:rPr>
                <w:t>Material Modifications To The Rights Of Security Holders And Use Of Proceeds</w:t>
              </w:r>
            </w:hyperlink>
          </w:p>
        </w:tc>
        <w:tc>
          <w:tcPr>
            <w:tcW w:w="3120" w:type="dxa"/>
            <w:vAlign w:val="bottom"/>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157</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15.</w:t>
            </w:r>
          </w:p>
        </w:tc>
        <w:tc>
          <w:tcPr>
            <w:tcW w:w="8720" w:type="dxa"/>
            <w:vAlign w:val="bottom"/>
            <w:gridSpan w:val="25"/>
          </w:tcPr>
          <w:p>
            <w:pPr>
              <w:spacing w:after="0" w:line="187" w:lineRule="exact"/>
              <w:rPr>
                <w:rFonts w:ascii="Arial" w:cs="Arial" w:eastAsia="Arial" w:hAnsi="Arial"/>
                <w:sz w:val="17"/>
                <w:szCs w:val="17"/>
                <w:color w:val="0000EE"/>
              </w:rPr>
            </w:pPr>
            <w:hyperlink w:anchor="page160">
              <w:r>
                <w:rPr>
                  <w:rFonts w:ascii="Arial" w:cs="Arial" w:eastAsia="Arial" w:hAnsi="Arial"/>
                  <w:sz w:val="17"/>
                  <w:szCs w:val="17"/>
                  <w:color w:val="0000EE"/>
                </w:rPr>
                <w:t>Controls And Procedures</w:t>
              </w:r>
            </w:hyperlink>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157</w:t>
            </w: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16A.</w:t>
            </w:r>
          </w:p>
        </w:tc>
        <w:tc>
          <w:tcPr>
            <w:tcW w:w="8720" w:type="dxa"/>
            <w:vAlign w:val="bottom"/>
            <w:gridSpan w:val="25"/>
          </w:tcPr>
          <w:p>
            <w:pPr>
              <w:spacing w:after="0" w:line="187" w:lineRule="exact"/>
              <w:rPr>
                <w:rFonts w:ascii="Arial" w:cs="Arial" w:eastAsia="Arial" w:hAnsi="Arial"/>
                <w:sz w:val="17"/>
                <w:szCs w:val="17"/>
                <w:color w:val="0000EE"/>
              </w:rPr>
            </w:pPr>
            <w:hyperlink w:anchor="page161">
              <w:r>
                <w:rPr>
                  <w:rFonts w:ascii="Arial" w:cs="Arial" w:eastAsia="Arial" w:hAnsi="Arial"/>
                  <w:sz w:val="17"/>
                  <w:szCs w:val="17"/>
                  <w:color w:val="0000EE"/>
                </w:rPr>
                <w:t>Audit Committee Financial Expert</w:t>
              </w:r>
            </w:hyperlink>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158</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16B.</w:t>
            </w:r>
          </w:p>
        </w:tc>
        <w:tc>
          <w:tcPr>
            <w:tcW w:w="2380" w:type="dxa"/>
            <w:vAlign w:val="bottom"/>
            <w:tcBorders>
              <w:top w:val="single" w:sz="8" w:color="0000EE"/>
            </w:tcBorders>
            <w:gridSpan w:val="11"/>
          </w:tcPr>
          <w:p>
            <w:pPr>
              <w:spacing w:after="0" w:line="187" w:lineRule="exact"/>
              <w:rPr>
                <w:rFonts w:ascii="Arial" w:cs="Arial" w:eastAsia="Arial" w:hAnsi="Arial"/>
                <w:sz w:val="17"/>
                <w:szCs w:val="17"/>
                <w:color w:val="0000EE"/>
              </w:rPr>
            </w:pPr>
            <w:hyperlink w:anchor="page161">
              <w:r>
                <w:rPr>
                  <w:rFonts w:ascii="Arial" w:cs="Arial" w:eastAsia="Arial" w:hAnsi="Arial"/>
                  <w:sz w:val="17"/>
                  <w:szCs w:val="17"/>
                  <w:color w:val="0000EE"/>
                </w:rPr>
                <w:t>Code of Ethics</w:t>
              </w:r>
            </w:hyperlink>
          </w:p>
        </w:tc>
        <w:tc>
          <w:tcPr>
            <w:tcW w:w="6340" w:type="dxa"/>
            <w:vAlign w:val="bottom"/>
            <w:gridSpan w:val="14"/>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158</w:t>
            </w: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16C.</w:t>
            </w:r>
          </w:p>
        </w:tc>
        <w:tc>
          <w:tcPr>
            <w:tcW w:w="2740" w:type="dxa"/>
            <w:vAlign w:val="bottom"/>
            <w:tcBorders>
              <w:bottom w:val="single" w:sz="8" w:color="0000EE"/>
            </w:tcBorders>
            <w:gridSpan w:val="12"/>
          </w:tcPr>
          <w:p>
            <w:pPr>
              <w:spacing w:after="0" w:line="187" w:lineRule="exact"/>
              <w:rPr>
                <w:rFonts w:ascii="Arial" w:cs="Arial" w:eastAsia="Arial" w:hAnsi="Arial"/>
                <w:sz w:val="17"/>
                <w:szCs w:val="17"/>
                <w:color w:val="0000EE"/>
                <w:w w:val="90"/>
              </w:rPr>
            </w:pPr>
            <w:hyperlink w:anchor="page161">
              <w:r>
                <w:rPr>
                  <w:rFonts w:ascii="Arial" w:cs="Arial" w:eastAsia="Arial" w:hAnsi="Arial"/>
                  <w:sz w:val="17"/>
                  <w:szCs w:val="17"/>
                  <w:color w:val="0000EE"/>
                  <w:w w:val="90"/>
                </w:rPr>
                <w:t>Principal Accountant Fees and Services</w:t>
              </w:r>
            </w:hyperlink>
          </w:p>
        </w:tc>
        <w:tc>
          <w:tcPr>
            <w:tcW w:w="5980" w:type="dxa"/>
            <w:vAlign w:val="bottom"/>
            <w:gridSpan w:val="13"/>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158</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16D.</w:t>
            </w:r>
          </w:p>
        </w:tc>
        <w:tc>
          <w:tcPr>
            <w:tcW w:w="8720" w:type="dxa"/>
            <w:vAlign w:val="bottom"/>
            <w:gridSpan w:val="25"/>
          </w:tcPr>
          <w:p>
            <w:pPr>
              <w:spacing w:after="0" w:line="187" w:lineRule="exact"/>
              <w:rPr>
                <w:rFonts w:ascii="Arial" w:cs="Arial" w:eastAsia="Arial" w:hAnsi="Arial"/>
                <w:sz w:val="17"/>
                <w:szCs w:val="17"/>
                <w:color w:val="0000EE"/>
              </w:rPr>
            </w:pPr>
            <w:hyperlink w:anchor="page162">
              <w:r>
                <w:rPr>
                  <w:rFonts w:ascii="Arial" w:cs="Arial" w:eastAsia="Arial" w:hAnsi="Arial"/>
                  <w:sz w:val="17"/>
                  <w:szCs w:val="17"/>
                  <w:color w:val="0000EE"/>
                </w:rPr>
                <w:t>Exemptions From The Listing Standards For Audit Committees</w:t>
              </w:r>
            </w:hyperlink>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16E.</w:t>
            </w:r>
          </w:p>
        </w:tc>
        <w:tc>
          <w:tcPr>
            <w:tcW w:w="4960" w:type="dxa"/>
            <w:vAlign w:val="bottom"/>
            <w:tcBorders>
              <w:bottom w:val="single" w:sz="8" w:color="0000EE"/>
            </w:tcBorders>
            <w:gridSpan w:val="23"/>
          </w:tcPr>
          <w:p>
            <w:pPr>
              <w:spacing w:after="0" w:line="187" w:lineRule="exact"/>
              <w:rPr>
                <w:rFonts w:ascii="Arial" w:cs="Arial" w:eastAsia="Arial" w:hAnsi="Arial"/>
                <w:sz w:val="17"/>
                <w:szCs w:val="17"/>
                <w:color w:val="0000EE"/>
                <w:w w:val="92"/>
              </w:rPr>
            </w:pPr>
            <w:hyperlink w:anchor="page162">
              <w:r>
                <w:rPr>
                  <w:rFonts w:ascii="Arial" w:cs="Arial" w:eastAsia="Arial" w:hAnsi="Arial"/>
                  <w:sz w:val="17"/>
                  <w:szCs w:val="17"/>
                  <w:color w:val="0000EE"/>
                  <w:w w:val="92"/>
                </w:rPr>
                <w:t>Purchases of Equity Securities By The Issuer And Affiliated Purchasers</w:t>
              </w:r>
            </w:hyperlink>
          </w:p>
        </w:tc>
        <w:tc>
          <w:tcPr>
            <w:tcW w:w="3760" w:type="dxa"/>
            <w:vAlign w:val="bottom"/>
            <w:gridSpan w:val="2"/>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16F.</w:t>
            </w:r>
          </w:p>
        </w:tc>
        <w:tc>
          <w:tcPr>
            <w:tcW w:w="8720" w:type="dxa"/>
            <w:vAlign w:val="bottom"/>
            <w:gridSpan w:val="25"/>
          </w:tcPr>
          <w:p>
            <w:pPr>
              <w:spacing w:after="0" w:line="187" w:lineRule="exact"/>
              <w:rPr>
                <w:rFonts w:ascii="Arial" w:cs="Arial" w:eastAsia="Arial" w:hAnsi="Arial"/>
                <w:sz w:val="17"/>
                <w:szCs w:val="17"/>
                <w:color w:val="0000EE"/>
              </w:rPr>
            </w:pPr>
            <w:hyperlink w:anchor="page162">
              <w:r>
                <w:rPr>
                  <w:rFonts w:ascii="Arial" w:cs="Arial" w:eastAsia="Arial" w:hAnsi="Arial"/>
                  <w:sz w:val="17"/>
                  <w:szCs w:val="17"/>
                  <w:color w:val="0000EE"/>
                </w:rPr>
                <w:t>Change In Registrant’s Certifying Accountant</w:t>
              </w:r>
            </w:hyperlink>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16G.</w:t>
            </w:r>
          </w:p>
        </w:tc>
        <w:tc>
          <w:tcPr>
            <w:tcW w:w="3160" w:type="dxa"/>
            <w:vAlign w:val="bottom"/>
            <w:tcBorders>
              <w:top w:val="single" w:sz="8" w:color="0000EE"/>
            </w:tcBorders>
            <w:gridSpan w:val="14"/>
          </w:tcPr>
          <w:p>
            <w:pPr>
              <w:spacing w:after="0" w:line="187" w:lineRule="exact"/>
              <w:rPr>
                <w:rFonts w:ascii="Arial" w:cs="Arial" w:eastAsia="Arial" w:hAnsi="Arial"/>
                <w:sz w:val="17"/>
                <w:szCs w:val="17"/>
                <w:color w:val="0000EE"/>
              </w:rPr>
            </w:pPr>
            <w:hyperlink w:anchor="page162">
              <w:r>
                <w:rPr>
                  <w:rFonts w:ascii="Arial" w:cs="Arial" w:eastAsia="Arial" w:hAnsi="Arial"/>
                  <w:sz w:val="17"/>
                  <w:szCs w:val="17"/>
                  <w:color w:val="0000EE"/>
                </w:rPr>
                <w:t>Corporate Governance</w:t>
              </w:r>
            </w:hyperlink>
          </w:p>
        </w:tc>
        <w:tc>
          <w:tcPr>
            <w:tcW w:w="5560" w:type="dxa"/>
            <w:vAlign w:val="bottom"/>
            <w:gridSpan w:val="11"/>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7100" w:type="dxa"/>
            <w:vAlign w:val="bottom"/>
            <w:gridSpan w:val="1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16H.</w:t>
            </w:r>
          </w:p>
        </w:tc>
        <w:tc>
          <w:tcPr>
            <w:tcW w:w="8720" w:type="dxa"/>
            <w:vAlign w:val="bottom"/>
            <w:gridSpan w:val="25"/>
          </w:tcPr>
          <w:p>
            <w:pPr>
              <w:spacing w:after="0" w:line="187" w:lineRule="exact"/>
              <w:rPr>
                <w:rFonts w:ascii="Arial" w:cs="Arial" w:eastAsia="Arial" w:hAnsi="Arial"/>
                <w:sz w:val="17"/>
                <w:szCs w:val="17"/>
                <w:color w:val="0000EE"/>
              </w:rPr>
            </w:pPr>
            <w:hyperlink w:anchor="page167">
              <w:r>
                <w:rPr>
                  <w:rFonts w:ascii="Arial" w:cs="Arial" w:eastAsia="Arial" w:hAnsi="Arial"/>
                  <w:sz w:val="17"/>
                  <w:szCs w:val="17"/>
                  <w:color w:val="0000EE"/>
                </w:rPr>
                <w:t>Mine Safety Disclosure</w:t>
              </w:r>
            </w:hyperlink>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164</w:t>
            </w:r>
          </w:p>
        </w:tc>
        <w:tc>
          <w:tcPr>
            <w:tcW w:w="0" w:type="dxa"/>
            <w:vAlign w:val="bottom"/>
          </w:tcPr>
          <w:p>
            <w:pPr>
              <w:spacing w:after="0"/>
              <w:rPr>
                <w:sz w:val="1"/>
                <w:szCs w:val="1"/>
                <w:color w:val="auto"/>
              </w:rPr>
            </w:pPr>
          </w:p>
        </w:tc>
      </w:tr>
      <w:tr>
        <w:trPr>
          <w:trHeight w:val="291"/>
        </w:trPr>
        <w:tc>
          <w:tcPr>
            <w:tcW w:w="1480" w:type="dxa"/>
            <w:vAlign w:val="bottom"/>
            <w:gridSpan w:val="4"/>
          </w:tcPr>
          <w:p>
            <w:pPr>
              <w:spacing w:after="0"/>
              <w:rPr>
                <w:rFonts w:ascii="Arial" w:cs="Arial" w:eastAsia="Arial" w:hAnsi="Arial"/>
                <w:sz w:val="17"/>
                <w:szCs w:val="17"/>
                <w:color w:val="0000EE"/>
              </w:rPr>
            </w:pPr>
            <w:hyperlink w:anchor="page168">
              <w:r>
                <w:rPr>
                  <w:rFonts w:ascii="Arial" w:cs="Arial" w:eastAsia="Arial" w:hAnsi="Arial"/>
                  <w:sz w:val="17"/>
                  <w:szCs w:val="17"/>
                  <w:color w:val="0000EE"/>
                </w:rPr>
                <w:t>PART THREE</w:t>
              </w:r>
            </w:hyperlink>
          </w:p>
        </w:tc>
        <w:tc>
          <w:tcPr>
            <w:tcW w:w="5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165</w:t>
            </w:r>
          </w:p>
        </w:tc>
        <w:tc>
          <w:tcPr>
            <w:tcW w:w="0" w:type="dxa"/>
            <w:vAlign w:val="bottom"/>
          </w:tcPr>
          <w:p>
            <w:pPr>
              <w:spacing w:after="0"/>
              <w:rPr>
                <w:sz w:val="1"/>
                <w:szCs w:val="1"/>
                <w:color w:val="auto"/>
              </w:rPr>
            </w:pPr>
          </w:p>
        </w:tc>
      </w:tr>
      <w:tr>
        <w:trPr>
          <w:trHeight w:val="291"/>
        </w:trPr>
        <w:tc>
          <w:tcPr>
            <w:tcW w:w="1000" w:type="dxa"/>
            <w:vAlign w:val="bottom"/>
            <w:tcBorders>
              <w:top w:val="single" w:sz="8" w:color="0000EE"/>
            </w:tcBorders>
            <w:gridSpan w:val="3"/>
          </w:tcPr>
          <w:p>
            <w:pPr>
              <w:ind w:left="340"/>
              <w:spacing w:after="0"/>
              <w:rPr>
                <w:sz w:val="20"/>
                <w:szCs w:val="20"/>
                <w:color w:val="auto"/>
              </w:rPr>
            </w:pPr>
            <w:r>
              <w:rPr>
                <w:rFonts w:ascii="Arial" w:cs="Arial" w:eastAsia="Arial" w:hAnsi="Arial"/>
                <w:sz w:val="17"/>
                <w:szCs w:val="17"/>
                <w:color w:val="auto"/>
              </w:rPr>
              <w:t>Item 17.</w:t>
            </w:r>
          </w:p>
        </w:tc>
        <w:tc>
          <w:tcPr>
            <w:tcW w:w="480" w:type="dxa"/>
            <w:vAlign w:val="bottom"/>
          </w:tcPr>
          <w:p>
            <w:pPr>
              <w:spacing w:after="0"/>
              <w:rPr>
                <w:sz w:val="24"/>
                <w:szCs w:val="24"/>
                <w:color w:val="auto"/>
              </w:rPr>
            </w:pPr>
          </w:p>
        </w:tc>
        <w:tc>
          <w:tcPr>
            <w:tcW w:w="150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168">
              <w:r>
                <w:rPr>
                  <w:rFonts w:ascii="Arial" w:cs="Arial" w:eastAsia="Arial" w:hAnsi="Arial"/>
                  <w:sz w:val="17"/>
                  <w:szCs w:val="17"/>
                  <w:color w:val="0000EE"/>
                  <w:w w:val="91"/>
                </w:rPr>
                <w:t>Financial Statements</w:t>
              </w:r>
            </w:hyperlink>
          </w:p>
        </w:tc>
        <w:tc>
          <w:tcPr>
            <w:tcW w:w="7220" w:type="dxa"/>
            <w:vAlign w:val="bottom"/>
            <w:gridSpan w:val="2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165</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18.</w:t>
            </w:r>
          </w:p>
        </w:tc>
        <w:tc>
          <w:tcPr>
            <w:tcW w:w="1440" w:type="dxa"/>
            <w:vAlign w:val="bottom"/>
            <w:tcBorders>
              <w:bottom w:val="single" w:sz="8" w:color="0000EE"/>
            </w:tcBorders>
            <w:gridSpan w:val="4"/>
          </w:tcPr>
          <w:p>
            <w:pPr>
              <w:spacing w:after="0" w:line="187" w:lineRule="exact"/>
              <w:rPr>
                <w:rFonts w:ascii="Arial" w:cs="Arial" w:eastAsia="Arial" w:hAnsi="Arial"/>
                <w:sz w:val="17"/>
                <w:szCs w:val="17"/>
                <w:color w:val="0000EE"/>
                <w:w w:val="89"/>
              </w:rPr>
            </w:pPr>
            <w:hyperlink w:anchor="page168">
              <w:r>
                <w:rPr>
                  <w:rFonts w:ascii="Arial" w:cs="Arial" w:eastAsia="Arial" w:hAnsi="Arial"/>
                  <w:sz w:val="17"/>
                  <w:szCs w:val="17"/>
                  <w:color w:val="0000EE"/>
                  <w:w w:val="89"/>
                </w:rPr>
                <w:t>Financial Statements</w:t>
              </w:r>
            </w:hyperlink>
          </w:p>
        </w:tc>
        <w:tc>
          <w:tcPr>
            <w:tcW w:w="7280" w:type="dxa"/>
            <w:vAlign w:val="bottom"/>
            <w:gridSpan w:val="21"/>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165</w:t>
            </w:r>
          </w:p>
        </w:tc>
        <w:tc>
          <w:tcPr>
            <w:tcW w:w="0" w:type="dxa"/>
            <w:vAlign w:val="bottom"/>
          </w:tcPr>
          <w:p>
            <w:pPr>
              <w:spacing w:after="0"/>
              <w:rPr>
                <w:sz w:val="1"/>
                <w:szCs w:val="1"/>
                <w:color w:val="auto"/>
              </w:rPr>
            </w:pPr>
          </w:p>
        </w:tc>
      </w:tr>
      <w:tr>
        <w:trPr>
          <w:trHeight w:val="187"/>
        </w:trPr>
        <w:tc>
          <w:tcPr>
            <w:tcW w:w="1480" w:type="dxa"/>
            <w:vAlign w:val="bottom"/>
            <w:gridSpan w:val="4"/>
          </w:tcPr>
          <w:p>
            <w:pPr>
              <w:ind w:left="340"/>
              <w:spacing w:after="0" w:line="187" w:lineRule="exact"/>
              <w:rPr>
                <w:sz w:val="20"/>
                <w:szCs w:val="20"/>
                <w:color w:val="auto"/>
              </w:rPr>
            </w:pPr>
            <w:r>
              <w:rPr>
                <w:rFonts w:ascii="Arial" w:cs="Arial" w:eastAsia="Arial" w:hAnsi="Arial"/>
                <w:sz w:val="17"/>
                <w:szCs w:val="17"/>
                <w:color w:val="auto"/>
              </w:rPr>
              <w:t>Item 19.</w:t>
            </w:r>
          </w:p>
        </w:tc>
        <w:tc>
          <w:tcPr>
            <w:tcW w:w="580" w:type="dxa"/>
            <w:vAlign w:val="bottom"/>
            <w:tcBorders>
              <w:bottom w:val="single" w:sz="8" w:color="0000EE"/>
            </w:tcBorders>
          </w:tcPr>
          <w:p>
            <w:pPr>
              <w:spacing w:after="0" w:line="187" w:lineRule="exact"/>
              <w:rPr>
                <w:rFonts w:ascii="Arial" w:cs="Arial" w:eastAsia="Arial" w:hAnsi="Arial"/>
                <w:sz w:val="17"/>
                <w:szCs w:val="17"/>
                <w:color w:val="0000EE"/>
                <w:w w:val="94"/>
              </w:rPr>
            </w:pPr>
            <w:hyperlink w:anchor="page212">
              <w:r>
                <w:rPr>
                  <w:rFonts w:ascii="Arial" w:cs="Arial" w:eastAsia="Arial" w:hAnsi="Arial"/>
                  <w:sz w:val="17"/>
                  <w:szCs w:val="17"/>
                  <w:color w:val="0000EE"/>
                  <w:w w:val="94"/>
                </w:rPr>
                <w:t>Exhibits</w:t>
              </w:r>
            </w:hyperlink>
          </w:p>
        </w:tc>
        <w:tc>
          <w:tcPr>
            <w:tcW w:w="8140" w:type="dxa"/>
            <w:vAlign w:val="bottom"/>
            <w:gridSpan w:val="24"/>
          </w:tcPr>
          <w:p>
            <w:pPr>
              <w:spacing w:after="0"/>
              <w:rPr>
                <w:sz w:val="16"/>
                <w:szCs w:val="16"/>
                <w:color w:val="auto"/>
              </w:rPr>
            </w:pPr>
          </w:p>
        </w:tc>
        <w:tc>
          <w:tcPr>
            <w:tcW w:w="32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w w:val="98"/>
              </w:rPr>
              <w:t>166</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940"/>
          </w:cols>
          <w:pgMar w:left="240" w:top="445" w:right="71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CERTAIN DEFINITIONS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Unless otherwise indicated and except where the context otherwise requires, references in this annual report on Form 20-F to:</w:t>
      </w:r>
    </w:p>
    <w:p>
      <w:pPr>
        <w:spacing w:after="0" w:line="128" w:lineRule="exact"/>
        <w:rPr>
          <w:sz w:val="20"/>
          <w:szCs w:val="20"/>
          <w:color w:val="auto"/>
        </w:rPr>
      </w:pPr>
    </w:p>
    <w:p>
      <w:pPr>
        <w:ind w:left="1260" w:hanging="415"/>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“ADSs” are to our American Depositary Shares, each of which represents five ordinary shares of Mereo BioPharma Group plc;</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“ADRs” are to the American depositary receipts that evidence our ADSs;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“Exchange Act” are to the United States Securities Exchange Act of 1934, as amended;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“FDA” are to the United States Food and Drug Administration;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“Mereo,” the “Company,” “we,” “our,” “ours,” “us” or similar terms are to Mereo BioPharma Group plc, together with its subsidiaries;</w:t>
      </w:r>
    </w:p>
    <w:p>
      <w:pPr>
        <w:spacing w:after="0" w:line="139" w:lineRule="exact"/>
        <w:rPr>
          <w:rFonts w:ascii="Arial" w:cs="Arial" w:eastAsia="Arial" w:hAnsi="Arial"/>
          <w:sz w:val="16"/>
          <w:szCs w:val="16"/>
          <w:color w:val="auto"/>
        </w:rPr>
      </w:pPr>
    </w:p>
    <w:p>
      <w:pPr>
        <w:ind w:left="1260" w:right="300" w:hanging="415"/>
        <w:spacing w:after="0" w:line="269" w:lineRule="auto"/>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“Merger” are to the merger of Mereo MergerCo One Inc. and OncoMed Pharmaceuticals, Inc., with OncoMed Pharmaceuticals, Inc. surviving as a wholly-owned subsidiary of Mereo US Holdings Inc., and as an indirect wholly-owned subsidiary of Mereo BioPharma Group plc;</w:t>
      </w:r>
    </w:p>
    <w:p>
      <w:pPr>
        <w:spacing w:after="0" w:line="80" w:lineRule="exact"/>
        <w:rPr>
          <w:rFonts w:ascii="Arial" w:cs="Arial" w:eastAsia="Arial" w:hAnsi="Arial"/>
          <w:sz w:val="17"/>
          <w:szCs w:val="17"/>
          <w:color w:val="auto"/>
        </w:rPr>
      </w:pPr>
    </w:p>
    <w:p>
      <w:pPr>
        <w:ind w:left="1260" w:right="380" w:hanging="415"/>
        <w:spacing w:after="0" w:line="316" w:lineRule="auto"/>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“Merger Agreement” are to the Agreement and Plan of Merger and Reorganization, dated December 5, 2018, by and among Mereo BioPharma Group plc, Mereo US Holdings Inc., Mereo MergerCo One Inc. and OncoMed Pharmaceuticals, Inc.;</w:t>
      </w:r>
    </w:p>
    <w:p>
      <w:pPr>
        <w:spacing w:after="0" w:line="46" w:lineRule="exact"/>
        <w:rPr>
          <w:rFonts w:ascii="Arial" w:cs="Arial" w:eastAsia="Arial" w:hAnsi="Arial"/>
          <w:sz w:val="16"/>
          <w:szCs w:val="16"/>
          <w:color w:val="auto"/>
        </w:rPr>
      </w:pPr>
    </w:p>
    <w:p>
      <w:pPr>
        <w:ind w:left="1260" w:hanging="415"/>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“ordinary shares” are to our ordinary shares, each of £0.003 nominal value;</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“SEC” are to the United States Securities and Exchange Commission;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“Securities Act” are to the Securities Act of 1933, as amended;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“USD,” “US$” and “U.S. dollar” are to the United States dollar;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“GBP,” “pound sterling,” “pence” and “p” are to the British pound sterling (or units thereof).</w:t>
      </w:r>
    </w:p>
    <w:p>
      <w:pPr>
        <w:spacing w:after="0" w:line="200" w:lineRule="exact"/>
        <w:rPr>
          <w:sz w:val="20"/>
          <w:szCs w:val="20"/>
          <w:color w:val="auto"/>
        </w:rPr>
      </w:pPr>
    </w:p>
    <w:p>
      <w:pPr>
        <w:spacing w:after="0" w:line="220"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PRESENTATION OF FINANCIAL INFORMATION</w:t>
      </w:r>
    </w:p>
    <w:p>
      <w:pPr>
        <w:spacing w:after="0" w:line="225" w:lineRule="exact"/>
        <w:rPr>
          <w:sz w:val="20"/>
          <w:szCs w:val="20"/>
          <w:color w:val="auto"/>
        </w:rPr>
      </w:pPr>
    </w:p>
    <w:p>
      <w:pPr>
        <w:ind w:left="440" w:right="260" w:firstLine="423"/>
        <w:spacing w:after="0" w:line="285" w:lineRule="auto"/>
        <w:rPr>
          <w:sz w:val="20"/>
          <w:szCs w:val="20"/>
          <w:color w:val="auto"/>
        </w:rPr>
      </w:pPr>
      <w:r>
        <w:rPr>
          <w:rFonts w:ascii="Arial" w:cs="Arial" w:eastAsia="Arial" w:hAnsi="Arial"/>
          <w:sz w:val="16"/>
          <w:szCs w:val="16"/>
          <w:color w:val="auto"/>
        </w:rPr>
        <w:t>This annual report contains our audited consolidated financial statements as of December 2016, 2017 and 2018 and for the years ended December 31, 2016, 2017 and 2018 (our “audited consolidated financial statements”), prepared in accordance with International Financial Reporting Standards (“IFRS”), as issued by the International Accounting Standards Board (“IASB”). Our financial information is presented in pound sterling. None of our financial statements were prepared in accordance with generally accepted accounting principles in the United States.</w:t>
      </w:r>
    </w:p>
    <w:p>
      <w:pPr>
        <w:spacing w:after="0" w:line="162"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This annual report contains translations of certain pound sterling amounts into U.S. dollars at specified rates solely for the convenience of the reader. These translations should not be construed as representations that the pound sterling amounts actually represent such U.S. dollar amounts or could be converted into U.S. dollars at the rate indicated. Unless otherwise indicated, such U.S. dollar amounts have been translated from pound sterling at an exchange rate of £0.7853 to US$1.00, the exchange rate for pound sterling on December 31, 2018. On April 23, 2019, this exchange rate was £0.7688 to US$1.00.</w:t>
      </w:r>
    </w:p>
    <w:p>
      <w:pPr>
        <w:spacing w:after="0" w:line="381"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USE OF TRADEMARKS, SERVICE MARKS AND TRADENAMES</w:t>
      </w:r>
    </w:p>
    <w:p>
      <w:pPr>
        <w:spacing w:after="0" w:line="225" w:lineRule="exact"/>
        <w:rPr>
          <w:sz w:val="20"/>
          <w:szCs w:val="20"/>
          <w:color w:val="auto"/>
        </w:rPr>
      </w:pPr>
    </w:p>
    <w:p>
      <w:pPr>
        <w:ind w:left="440" w:right="80" w:firstLine="423"/>
        <w:spacing w:after="0" w:line="264" w:lineRule="auto"/>
        <w:rPr>
          <w:sz w:val="20"/>
          <w:szCs w:val="20"/>
          <w:color w:val="auto"/>
        </w:rPr>
      </w:pPr>
      <w:r>
        <w:rPr>
          <w:rFonts w:ascii="Arial" w:cs="Arial" w:eastAsia="Arial" w:hAnsi="Arial"/>
          <w:sz w:val="17"/>
          <w:szCs w:val="17"/>
          <w:color w:val="auto"/>
        </w:rPr>
        <w:t>“Mereo,” the Mereo logo and other trademarks, trade names or service marks of Mereo appearing in this annual report are the property of Mereo. This Form 20-F also contains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w:t>
      </w:r>
    </w:p>
    <w:p>
      <w:pPr>
        <w:sectPr>
          <w:pgSz w:w="11900" w:h="16838" w:orient="portrait"/>
          <w:cols w:equalWidth="0" w:num="1">
            <w:col w:w="10960"/>
          </w:cols>
          <w:pgMar w:left="240" w:top="445" w:right="6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7"/>
          <w:szCs w:val="17"/>
          <w:color w:val="auto"/>
        </w:rPr>
        <w:t>This annual report contains additional trademarks, service marks, and trade names of others, which are the property of their respective owners. All trademarks, service marks, and trade names appearing in this annual report are, to Mereo’s knowledge, the property of their respective owners. Mereo does not intend its use or display of other companies’ trademarks, service marks, copyrights or trade names to imply a relationship with, or endorsement or sponsorship of Mereo by, any other companies.</w:t>
      </w:r>
    </w:p>
    <w:p>
      <w:pPr>
        <w:spacing w:after="0" w:line="37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5" w:lineRule="exact"/>
        <w:rPr>
          <w:sz w:val="20"/>
          <w:szCs w:val="20"/>
          <w:color w:val="auto"/>
        </w:rPr>
      </w:pPr>
    </w:p>
    <w:p>
      <w:pPr>
        <w:ind w:left="440" w:right="60" w:firstLine="423"/>
        <w:spacing w:after="0" w:line="285" w:lineRule="auto"/>
        <w:rPr>
          <w:sz w:val="20"/>
          <w:szCs w:val="20"/>
          <w:color w:val="auto"/>
        </w:rPr>
      </w:pPr>
      <w:r>
        <w:rPr>
          <w:rFonts w:ascii="Arial" w:cs="Arial" w:eastAsia="Arial" w:hAnsi="Arial"/>
          <w:sz w:val="16"/>
          <w:szCs w:val="16"/>
          <w:color w:val="auto"/>
        </w:rPr>
        <w:t>This annual report contains statements that constitute forward-looking statements (including within the meaning of the U.S. Private Securities Litigation Reform Act of 1995). Many of the forward-looking statements contained in this annual report can be identified by the use of forward-looking words such as “anticipate,” “believe,” “could,” “expect,” “foresee,” “should,” “plan,” “intend,” “estimate,” “would,” “may,” “outlook,” and “potential,” among others. The absence of these words, however, does not mean that the statements are not forward-looking.</w:t>
      </w:r>
    </w:p>
    <w:p>
      <w:pPr>
        <w:spacing w:after="0" w:line="162" w:lineRule="exact"/>
        <w:rPr>
          <w:sz w:val="20"/>
          <w:szCs w:val="20"/>
          <w:color w:val="auto"/>
        </w:rPr>
      </w:pPr>
    </w:p>
    <w:p>
      <w:pPr>
        <w:ind w:left="440" w:right="100" w:firstLine="423"/>
        <w:spacing w:after="0" w:line="259" w:lineRule="auto"/>
        <w:rPr>
          <w:sz w:val="20"/>
          <w:szCs w:val="20"/>
          <w:color w:val="auto"/>
        </w:rPr>
      </w:pPr>
      <w:r>
        <w:rPr>
          <w:rFonts w:ascii="Arial" w:cs="Arial" w:eastAsia="Arial" w:hAnsi="Arial"/>
          <w:sz w:val="17"/>
          <w:szCs w:val="17"/>
          <w:color w:val="auto"/>
        </w:rPr>
        <w:t>Forward-looking statements appear in a number of places in this annual report and include, but are not limited to, statements regarding intent, belief or current expectations. Forward-looking statements are based on the current beliefs and assumptions of the management of Mereo and on information currently available to such management. While the management of Mereo believes that these forward-looking statements are reasonable as and when made, there can be no assurance that future developments will be as anticipated. Such statements are subject to risks and uncertainties, and actual results may differ materially from those expressed or implied in the forward-looking statements due to of various factors, including, but not limited to, those identified under the section “Item 3. Key Information—D. Risk Factors” in this annual report. These risks and uncertainties include factors relating to:</w:t>
      </w:r>
    </w:p>
    <w:p>
      <w:pPr>
        <w:spacing w:after="0" w:line="90" w:lineRule="exact"/>
        <w:rPr>
          <w:sz w:val="20"/>
          <w:szCs w:val="20"/>
          <w:color w:val="auto"/>
        </w:rPr>
      </w:pPr>
    </w:p>
    <w:p>
      <w:pPr>
        <w:ind w:left="1260" w:right="100" w:hanging="415"/>
        <w:spacing w:after="0" w:line="284" w:lineRule="auto"/>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development of our product candidates, including statements regarding the expected initiation, timing, progress, and availability of data from our clinical trials;</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potential attributes and benefits of our product candidates and their competitive position;</w:t>
      </w:r>
    </w:p>
    <w:p>
      <w:pPr>
        <w:spacing w:after="0" w:line="128" w:lineRule="exact"/>
        <w:rPr>
          <w:rFonts w:ascii="Arial" w:cs="Arial" w:eastAsia="Arial" w:hAnsi="Arial"/>
          <w:sz w:val="17"/>
          <w:szCs w:val="17"/>
          <w:color w:val="auto"/>
        </w:rPr>
      </w:pPr>
    </w:p>
    <w:p>
      <w:pPr>
        <w:ind w:left="1260" w:right="100" w:hanging="415"/>
        <w:spacing w:after="0" w:line="284" w:lineRule="auto"/>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successfully commercialize, or enter into strategic relationships with third parties to commercialize, our product candidates, if approved;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estimates regarding expenses, future revenues, capital requirements, and our need for additional financing;</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being subject to ongoing regulatory obligations if our products secure regulatory approval;</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reliance on third parties to conduct our clinical trials and on third-party suppliers to supply or produce our product candidates;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patient market size of any diseases and market adoption of our products by physicians and patients;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obtain and maintain adequate intellectual property rights and adequately protect and enforce such rights;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duration of our patent portfolio;</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retain key personnel and recruit additional qualified personnel;</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manage growth;</w:t>
      </w:r>
    </w:p>
    <w:p>
      <w:pPr>
        <w:spacing w:after="0" w:line="128" w:lineRule="exact"/>
        <w:rPr>
          <w:rFonts w:ascii="Arial" w:cs="Arial" w:eastAsia="Arial" w:hAnsi="Arial"/>
          <w:sz w:val="17"/>
          <w:szCs w:val="17"/>
          <w:color w:val="auto"/>
        </w:rPr>
      </w:pPr>
    </w:p>
    <w:p>
      <w:pPr>
        <w:ind w:left="1260" w:right="140" w:hanging="415"/>
        <w:spacing w:after="0" w:line="284" w:lineRule="auto"/>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successfully integrate and realize the benefits of our past or future strategic acquisitions or investments, including our merger with OncoMed Pharmaceuticals, Inc. (“OncoMed”); and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risk factors discussed under “Item 3. Key Information—D. Risk Factors”.</w:t>
      </w:r>
    </w:p>
    <w:p>
      <w:pPr>
        <w:spacing w:after="0" w:line="219" w:lineRule="exact"/>
        <w:rPr>
          <w:sz w:val="20"/>
          <w:szCs w:val="20"/>
          <w:color w:val="auto"/>
        </w:rPr>
      </w:pPr>
    </w:p>
    <w:p>
      <w:pPr>
        <w:ind w:left="440" w:firstLine="423"/>
        <w:spacing w:after="0" w:line="281" w:lineRule="auto"/>
        <w:rPr>
          <w:sz w:val="20"/>
          <w:szCs w:val="20"/>
          <w:color w:val="auto"/>
        </w:rPr>
      </w:pPr>
      <w:r>
        <w:rPr>
          <w:rFonts w:ascii="Arial" w:cs="Arial" w:eastAsia="Arial" w:hAnsi="Arial"/>
          <w:sz w:val="16"/>
          <w:szCs w:val="16"/>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so, what impact they will have on our results of operations, cash flows or financial condition.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80"/>
          </w:cols>
          <w:pgMar w:left="240" w:top="445" w:right="67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PART ONE</w:t>
      </w:r>
    </w:p>
    <w:p>
      <w:pPr>
        <w:spacing w:after="0" w:line="245"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Identity of Directors, Senior Management And Advisers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55"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Offer Statistics and Expected Timetable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55"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3.A. Selected Financial Data</w:t>
      </w:r>
    </w:p>
    <w:p>
      <w:pPr>
        <w:spacing w:after="0" w:line="121" w:lineRule="exact"/>
        <w:rPr>
          <w:sz w:val="20"/>
          <w:szCs w:val="20"/>
          <w:color w:val="auto"/>
        </w:rPr>
      </w:pPr>
    </w:p>
    <w:p>
      <w:pPr>
        <w:ind w:left="440" w:right="60" w:firstLine="423"/>
        <w:spacing w:after="0" w:line="293" w:lineRule="auto"/>
        <w:rPr>
          <w:sz w:val="20"/>
          <w:szCs w:val="20"/>
          <w:color w:val="auto"/>
        </w:rPr>
      </w:pPr>
      <w:r>
        <w:rPr>
          <w:rFonts w:ascii="Arial" w:cs="Arial" w:eastAsia="Arial" w:hAnsi="Arial"/>
          <w:sz w:val="16"/>
          <w:szCs w:val="16"/>
          <w:color w:val="auto"/>
        </w:rPr>
        <w:t>The selected historical consolidated financial information for the years ended December 31, 2016, 2017 and 2018 and the selected statements of financial position data as of December 31, 2016, 2017 and 2018 have been derived from, and should be read in conjunction with, the audited consolidated financial statements of Mereo BioPharma Group plc and notes thereto appearing elsewhere in this annual report.</w:t>
      </w:r>
    </w:p>
    <w:p>
      <w:pPr>
        <w:spacing w:after="0" w:line="155"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The information presented below is qualified by the more detailed historical consolidated financial statements set forth in this annual report, and should be read in conjunction with those consolidated financial statements, the notes thereto and the discussion under “Item 5. Operating and Financial Review and Prospects” included elsewhere in this annual report.</w:t>
      </w:r>
    </w:p>
    <w:p>
      <w:pPr>
        <w:spacing w:after="0" w:line="171" w:lineRule="exact"/>
        <w:rPr>
          <w:sz w:val="20"/>
          <w:szCs w:val="20"/>
          <w:color w:val="auto"/>
        </w:rPr>
      </w:pPr>
    </w:p>
    <w:p>
      <w:pPr>
        <w:jc w:val="both"/>
        <w:ind w:left="440" w:right="180" w:firstLine="423"/>
        <w:spacing w:after="0" w:line="269" w:lineRule="auto"/>
        <w:rPr>
          <w:sz w:val="20"/>
          <w:szCs w:val="20"/>
          <w:color w:val="auto"/>
        </w:rPr>
      </w:pPr>
      <w:r>
        <w:rPr>
          <w:rFonts w:ascii="Arial" w:cs="Arial" w:eastAsia="Arial" w:hAnsi="Arial"/>
          <w:sz w:val="17"/>
          <w:szCs w:val="17"/>
          <w:color w:val="auto"/>
        </w:rPr>
        <w:t>We have not included selected historical consolidated financial data for the years ended December 31, 2015 and 2014 in the table below as we qualify as an emerging growth company (an “Emerging Growth Company”) as defined in Section 2(a)(19) of the Securities Act, we make use of an accommodation for reduced reporting.</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Consolidated Statements of Comprehensive Loss Data</w:t>
      </w:r>
    </w:p>
    <w:p>
      <w:pPr>
        <w:spacing w:after="0" w:line="241"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900" w:type="dxa"/>
            <w:vAlign w:val="bottom"/>
            <w:tcBorders>
              <w:bottom w:val="single" w:sz="8" w:color="auto"/>
            </w:tcBorders>
          </w:tcPr>
          <w:p>
            <w:pPr>
              <w:jc w:val="right"/>
              <w:ind w:right="236"/>
              <w:spacing w:after="0" w:line="13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center"/>
              <w:ind w:left="257"/>
              <w:spacing w:after="0" w:line="135" w:lineRule="exact"/>
              <w:rPr>
                <w:sz w:val="20"/>
                <w:szCs w:val="20"/>
                <w:color w:val="auto"/>
              </w:rPr>
            </w:pPr>
            <w:r>
              <w:rPr>
                <w:rFonts w:ascii="Arial" w:cs="Arial" w:eastAsia="Arial" w:hAnsi="Arial"/>
                <w:sz w:val="14"/>
                <w:szCs w:val="14"/>
                <w:b w:val="1"/>
                <w:bCs w:val="1"/>
                <w:color w:val="auto"/>
                <w:w w:val="89"/>
              </w:rPr>
              <w:t>2017</w:t>
            </w:r>
          </w:p>
        </w:tc>
        <w:tc>
          <w:tcPr>
            <w:tcW w:w="4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660" w:type="dxa"/>
            <w:vAlign w:val="bottom"/>
            <w:gridSpan w:val="6"/>
          </w:tcPr>
          <w:p>
            <w:pPr>
              <w:jc w:val="center"/>
              <w:spacing w:after="0" w:line="135" w:lineRule="exact"/>
              <w:rPr>
                <w:sz w:val="20"/>
                <w:szCs w:val="20"/>
                <w:color w:val="auto"/>
              </w:rPr>
            </w:pPr>
            <w:r>
              <w:rPr>
                <w:rFonts w:ascii="Arial" w:cs="Arial" w:eastAsia="Arial" w:hAnsi="Arial"/>
                <w:sz w:val="14"/>
                <w:szCs w:val="14"/>
                <w:b w:val="1"/>
                <w:bCs w:val="1"/>
                <w:color w:val="auto"/>
                <w:w w:val="87"/>
              </w:rPr>
              <w:t>(in thousands of pounds, except per ordinary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 Comprehensive Loss Data:</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(24,563)</w:t>
            </w:r>
          </w:p>
        </w:tc>
        <w:tc>
          <w:tcPr>
            <w:tcW w:w="1700" w:type="dxa"/>
            <w:vAlign w:val="bottom"/>
            <w:gridSpan w:val="3"/>
          </w:tcPr>
          <w:p>
            <w:pPr>
              <w:jc w:val="right"/>
              <w:ind w:right="380"/>
              <w:spacing w:after="0"/>
              <w:rPr>
                <w:sz w:val="20"/>
                <w:szCs w:val="20"/>
                <w:color w:val="auto"/>
              </w:rPr>
            </w:pPr>
            <w:r>
              <w:rPr>
                <w:rFonts w:ascii="Arial" w:cs="Arial" w:eastAsia="Arial" w:hAnsi="Arial"/>
                <w:sz w:val="17"/>
                <w:szCs w:val="17"/>
                <w:color w:val="auto"/>
              </w:rPr>
              <w:t>(34,607)</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(22,704)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(11,617)</w:t>
            </w:r>
          </w:p>
        </w:tc>
        <w:tc>
          <w:tcPr>
            <w:tcW w:w="17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(10,697)</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(12,505)</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7"/>
                <w:szCs w:val="17"/>
                <w:color w:val="auto"/>
              </w:rPr>
              <w:t>Operating loss</w:t>
            </w: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120" w:type="dxa"/>
            <w:vAlign w:val="bottom"/>
            <w:gridSpan w:val="2"/>
            <w:vMerge w:val="continue"/>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(36,180)</w:t>
            </w:r>
          </w:p>
        </w:tc>
        <w:tc>
          <w:tcPr>
            <w:tcW w:w="1700" w:type="dxa"/>
            <w:vAlign w:val="bottom"/>
            <w:gridSpan w:val="3"/>
          </w:tcPr>
          <w:p>
            <w:pPr>
              <w:jc w:val="right"/>
              <w:ind w:right="380"/>
              <w:spacing w:after="0"/>
              <w:rPr>
                <w:sz w:val="20"/>
                <w:szCs w:val="20"/>
                <w:color w:val="auto"/>
              </w:rPr>
            </w:pPr>
            <w:r>
              <w:rPr>
                <w:rFonts w:ascii="Arial" w:cs="Arial" w:eastAsia="Arial" w:hAnsi="Arial"/>
                <w:sz w:val="17"/>
                <w:szCs w:val="17"/>
                <w:color w:val="auto"/>
              </w:rPr>
              <w:t>(45,304)</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(35,208)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Finance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827</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Finance charge</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(180)</w:t>
            </w:r>
          </w:p>
        </w:tc>
        <w:tc>
          <w:tcPr>
            <w:tcW w:w="1700" w:type="dxa"/>
            <w:vAlign w:val="bottom"/>
            <w:gridSpan w:val="3"/>
          </w:tcPr>
          <w:p>
            <w:pPr>
              <w:jc w:val="right"/>
              <w:ind w:right="380"/>
              <w:spacing w:after="0"/>
              <w:rPr>
                <w:sz w:val="20"/>
                <w:szCs w:val="20"/>
                <w:color w:val="auto"/>
              </w:rPr>
            </w:pPr>
            <w:r>
              <w:rPr>
                <w:rFonts w:ascii="Arial" w:cs="Arial" w:eastAsia="Arial" w:hAnsi="Arial"/>
                <w:sz w:val="17"/>
                <w:szCs w:val="17"/>
                <w:color w:val="auto"/>
              </w:rPr>
              <w:t>(1,090)</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(2,361)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Net foreign exchange gain/(loss)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(1,384)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7"/>
                <w:szCs w:val="17"/>
                <w:color w:val="auto"/>
              </w:rPr>
              <w:t>Net loss before tax</w:t>
            </w: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120" w:type="dxa"/>
            <w:vAlign w:val="bottom"/>
            <w:gridSpan w:val="2"/>
            <w:vMerge w:val="continue"/>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(33,722)</w:t>
            </w:r>
          </w:p>
        </w:tc>
        <w:tc>
          <w:tcPr>
            <w:tcW w:w="1700" w:type="dxa"/>
            <w:vAlign w:val="bottom"/>
            <w:gridSpan w:val="3"/>
          </w:tcPr>
          <w:p>
            <w:pPr>
              <w:jc w:val="right"/>
              <w:ind w:right="380"/>
              <w:spacing w:after="0"/>
              <w:rPr>
                <w:sz w:val="20"/>
                <w:szCs w:val="20"/>
                <w:color w:val="auto"/>
              </w:rPr>
            </w:pPr>
            <w:r>
              <w:rPr>
                <w:rFonts w:ascii="Arial" w:cs="Arial" w:eastAsia="Arial" w:hAnsi="Arial"/>
                <w:sz w:val="17"/>
                <w:szCs w:val="17"/>
                <w:color w:val="auto"/>
              </w:rPr>
              <w:t>(46,951)</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(37,306)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Taxation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8,152</w:t>
            </w:r>
          </w:p>
        </w:tc>
        <w:tc>
          <w:tcPr>
            <w:tcW w:w="4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gridSpan w:val="2"/>
          </w:tcPr>
          <w:p>
            <w:pPr>
              <w:spacing w:after="0"/>
              <w:rPr>
                <w:sz w:val="20"/>
                <w:szCs w:val="20"/>
                <w:color w:val="auto"/>
              </w:rPr>
            </w:pPr>
            <w:r>
              <w:rPr>
                <w:rFonts w:ascii="Arial" w:cs="Arial" w:eastAsia="Arial" w:hAnsi="Arial"/>
                <w:sz w:val="17"/>
                <w:szCs w:val="17"/>
                <w:color w:val="auto"/>
              </w:rPr>
              <w:t>Loss attributable to equity holders of Mereo</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(28,391)</w:t>
            </w:r>
          </w:p>
        </w:tc>
        <w:tc>
          <w:tcPr>
            <w:tcW w:w="1700" w:type="dxa"/>
            <w:vAlign w:val="bottom"/>
            <w:gridSpan w:val="3"/>
          </w:tcPr>
          <w:p>
            <w:pPr>
              <w:jc w:val="right"/>
              <w:ind w:right="380"/>
              <w:spacing w:after="0"/>
              <w:rPr>
                <w:sz w:val="20"/>
                <w:szCs w:val="20"/>
                <w:color w:val="auto"/>
              </w:rPr>
            </w:pPr>
            <w:r>
              <w:rPr>
                <w:rFonts w:ascii="Arial" w:cs="Arial" w:eastAsia="Arial" w:hAnsi="Arial"/>
                <w:sz w:val="17"/>
                <w:szCs w:val="17"/>
                <w:color w:val="auto"/>
              </w:rPr>
              <w:t>(38,799)</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(32,029)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loss attributable to equity holders of Mereo</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(28,391)</w:t>
            </w:r>
          </w:p>
        </w:tc>
        <w:tc>
          <w:tcPr>
            <w:tcW w:w="170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(38,799)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(32,029)</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7"/>
                <w:szCs w:val="17"/>
                <w:color w:val="auto"/>
              </w:rPr>
              <w:t>Basic and diluted loss per ordinary share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120" w:type="dxa"/>
            <w:vAlign w:val="bottom"/>
            <w:gridSpan w:val="2"/>
            <w:vMerge w:val="continue"/>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(0.63)</w:t>
            </w:r>
          </w:p>
        </w:tc>
        <w:tc>
          <w:tcPr>
            <w:tcW w:w="1700" w:type="dxa"/>
            <w:vAlign w:val="bottom"/>
            <w:gridSpan w:val="3"/>
          </w:tcPr>
          <w:p>
            <w:pPr>
              <w:jc w:val="right"/>
              <w:ind w:right="380"/>
              <w:spacing w:after="0"/>
              <w:rPr>
                <w:sz w:val="20"/>
                <w:szCs w:val="20"/>
                <w:color w:val="auto"/>
              </w:rPr>
            </w:pPr>
            <w:r>
              <w:rPr>
                <w:rFonts w:ascii="Arial" w:cs="Arial" w:eastAsia="Arial" w:hAnsi="Arial"/>
                <w:sz w:val="17"/>
                <w:szCs w:val="17"/>
                <w:color w:val="auto"/>
              </w:rPr>
              <w:t>(0.56)</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(0.45)</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4400"/>
              <w:spacing w:after="0"/>
              <w:rPr>
                <w:sz w:val="20"/>
                <w:szCs w:val="20"/>
                <w:color w:val="auto"/>
              </w:rPr>
            </w:pPr>
            <w:r>
              <w:rPr>
                <w:rFonts w:ascii="Arial" w:cs="Arial" w:eastAsia="Arial" w:hAnsi="Arial"/>
                <w:sz w:val="17"/>
                <w:szCs w:val="17"/>
                <w:color w:val="auto"/>
              </w:rPr>
              <w:t>3</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51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445" w:right="7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Consolidated Statements of Financial Position Data</w:t>
      </w:r>
    </w:p>
    <w:p>
      <w:pPr>
        <w:spacing w:after="0" w:line="241"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2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6"/>
              </w:rPr>
              <w:t>As of December 31,</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35"/>
        </w:trPr>
        <w:tc>
          <w:tcPr>
            <w:tcW w:w="5220" w:type="dxa"/>
            <w:vAlign w:val="bottom"/>
          </w:tcPr>
          <w:p>
            <w:pPr>
              <w:spacing w:after="0"/>
              <w:rPr>
                <w:sz w:val="11"/>
                <w:szCs w:val="11"/>
                <w:color w:val="auto"/>
              </w:rPr>
            </w:pPr>
          </w:p>
        </w:tc>
        <w:tc>
          <w:tcPr>
            <w:tcW w:w="1060" w:type="dxa"/>
            <w:vAlign w:val="bottom"/>
            <w:tcBorders>
              <w:bottom w:val="single" w:sz="8" w:color="auto"/>
            </w:tcBorders>
          </w:tcPr>
          <w:p>
            <w:pPr>
              <w:jc w:val="right"/>
              <w:ind w:right="437"/>
              <w:spacing w:after="0" w:line="135" w:lineRule="exact"/>
              <w:rPr>
                <w:sz w:val="20"/>
                <w:szCs w:val="20"/>
                <w:color w:val="auto"/>
              </w:rPr>
            </w:pPr>
            <w:r>
              <w:rPr>
                <w:rFonts w:ascii="Arial" w:cs="Arial" w:eastAsia="Arial" w:hAnsi="Arial"/>
                <w:sz w:val="14"/>
                <w:szCs w:val="14"/>
                <w:b w:val="1"/>
                <w:bCs w:val="1"/>
                <w:color w:val="auto"/>
              </w:rPr>
              <w:t>2016</w:t>
            </w:r>
          </w:p>
        </w:tc>
        <w:tc>
          <w:tcPr>
            <w:tcW w:w="1540" w:type="dxa"/>
            <w:vAlign w:val="bottom"/>
            <w:tcBorders>
              <w:bottom w:val="single" w:sz="8" w:color="auto"/>
            </w:tcBorders>
          </w:tcPr>
          <w:p>
            <w:pPr>
              <w:jc w:val="center"/>
              <w:ind w:right="177"/>
              <w:spacing w:after="0" w:line="135" w:lineRule="exact"/>
              <w:rPr>
                <w:sz w:val="20"/>
                <w:szCs w:val="20"/>
                <w:color w:val="auto"/>
              </w:rPr>
            </w:pPr>
            <w:r>
              <w:rPr>
                <w:rFonts w:ascii="Arial" w:cs="Arial" w:eastAsia="Arial" w:hAnsi="Arial"/>
                <w:sz w:val="14"/>
                <w:szCs w:val="14"/>
                <w:b w:val="1"/>
                <w:bCs w:val="1"/>
                <w:color w:val="auto"/>
                <w:w w:val="89"/>
              </w:rPr>
              <w:t>2017</w:t>
            </w:r>
          </w:p>
        </w:tc>
        <w:tc>
          <w:tcPr>
            <w:tcW w:w="800" w:type="dxa"/>
            <w:vAlign w:val="bottom"/>
            <w:tcBorders>
              <w:bottom w:val="single" w:sz="8" w:color="auto"/>
            </w:tcBorders>
          </w:tcPr>
          <w:p>
            <w:pPr>
              <w:jc w:val="right"/>
              <w:ind w:right="176"/>
              <w:spacing w:after="0" w:line="13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1"/>
                <w:szCs w:val="11"/>
                <w:color w:val="auto"/>
              </w:rPr>
            </w:pPr>
          </w:p>
        </w:tc>
      </w:tr>
      <w:tr>
        <w:trPr>
          <w:trHeight w:val="135"/>
        </w:trPr>
        <w:tc>
          <w:tcPr>
            <w:tcW w:w="5220" w:type="dxa"/>
            <w:vAlign w:val="bottom"/>
          </w:tcPr>
          <w:p>
            <w:pPr>
              <w:spacing w:after="0"/>
              <w:rPr>
                <w:sz w:val="11"/>
                <w:szCs w:val="11"/>
                <w:color w:val="auto"/>
              </w:rPr>
            </w:pPr>
          </w:p>
        </w:tc>
        <w:tc>
          <w:tcPr>
            <w:tcW w:w="2600" w:type="dxa"/>
            <w:vAlign w:val="bottom"/>
            <w:gridSpan w:val="2"/>
          </w:tcPr>
          <w:p>
            <w:pPr>
              <w:jc w:val="center"/>
              <w:ind w:left="677"/>
              <w:spacing w:after="0" w:line="135" w:lineRule="exact"/>
              <w:rPr>
                <w:sz w:val="20"/>
                <w:szCs w:val="20"/>
                <w:color w:val="auto"/>
              </w:rPr>
            </w:pPr>
            <w:r>
              <w:rPr>
                <w:rFonts w:ascii="Arial" w:cs="Arial" w:eastAsia="Arial" w:hAnsi="Arial"/>
                <w:sz w:val="14"/>
                <w:szCs w:val="14"/>
                <w:b w:val="1"/>
                <w:bCs w:val="1"/>
                <w:color w:val="auto"/>
                <w:w w:val="85"/>
              </w:rPr>
              <w:t>(in thousands of pounds)</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07"/>
        </w:trPr>
        <w:tc>
          <w:tcPr>
            <w:tcW w:w="5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Sheets Data:</w:t>
            </w:r>
          </w:p>
        </w:tc>
        <w:tc>
          <w:tcPr>
            <w:tcW w:w="10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7"/>
                <w:szCs w:val="17"/>
                <w:color w:val="auto"/>
              </w:rPr>
              <w:t>Cash and short-term deposits and short-term investments</w:t>
            </w: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53,578</w:t>
            </w:r>
          </w:p>
        </w:tc>
        <w:tc>
          <w:tcPr>
            <w:tcW w:w="1540" w:type="dxa"/>
            <w:vAlign w:val="bottom"/>
          </w:tcPr>
          <w:p>
            <w:pPr>
              <w:jc w:val="right"/>
              <w:ind w:right="417"/>
              <w:spacing w:after="0"/>
              <w:rPr>
                <w:sz w:val="20"/>
                <w:szCs w:val="20"/>
                <w:color w:val="auto"/>
              </w:rPr>
            </w:pPr>
            <w:r>
              <w:rPr>
                <w:rFonts w:ascii="Arial" w:cs="Arial" w:eastAsia="Arial" w:hAnsi="Arial"/>
                <w:sz w:val="17"/>
                <w:szCs w:val="17"/>
                <w:color w:val="auto"/>
              </w:rPr>
              <w:t>52,545</w:t>
            </w:r>
          </w:p>
        </w:tc>
        <w:tc>
          <w:tcPr>
            <w:tcW w:w="800" w:type="dxa"/>
            <w:vAlign w:val="bottom"/>
          </w:tcPr>
          <w:p>
            <w:pPr>
              <w:jc w:val="right"/>
              <w:spacing w:after="0"/>
              <w:rPr>
                <w:sz w:val="20"/>
                <w:szCs w:val="20"/>
                <w:color w:val="auto"/>
              </w:rPr>
            </w:pPr>
            <w:r>
              <w:rPr>
                <w:rFonts w:ascii="Arial" w:cs="Arial" w:eastAsia="Arial" w:hAnsi="Arial"/>
                <w:sz w:val="17"/>
                <w:szCs w:val="17"/>
                <w:color w:val="auto"/>
              </w:rPr>
              <w:t>27,541</w:t>
            </w:r>
          </w:p>
        </w:tc>
        <w:tc>
          <w:tcPr>
            <w:tcW w:w="260" w:type="dxa"/>
            <w:vAlign w:val="bottom"/>
          </w:tcPr>
          <w:p>
            <w:pPr>
              <w:spacing w:after="0"/>
              <w:rPr>
                <w:sz w:val="18"/>
                <w:szCs w:val="18"/>
                <w:color w:val="auto"/>
              </w:rPr>
            </w:pPr>
          </w:p>
        </w:tc>
      </w:tr>
      <w:tr>
        <w:trPr>
          <w:trHeight w:val="207"/>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86,765</w:t>
            </w:r>
          </w:p>
        </w:tc>
        <w:tc>
          <w:tcPr>
            <w:tcW w:w="1540" w:type="dxa"/>
            <w:vAlign w:val="bottom"/>
            <w:shd w:val="clear" w:color="auto" w:fill="CCEEFF"/>
          </w:tcPr>
          <w:p>
            <w:pPr>
              <w:jc w:val="right"/>
              <w:ind w:right="417"/>
              <w:spacing w:after="0"/>
              <w:rPr>
                <w:sz w:val="20"/>
                <w:szCs w:val="20"/>
                <w:color w:val="auto"/>
              </w:rPr>
            </w:pPr>
            <w:r>
              <w:rPr>
                <w:rFonts w:ascii="Arial" w:cs="Arial" w:eastAsia="Arial" w:hAnsi="Arial"/>
                <w:sz w:val="17"/>
                <w:szCs w:val="17"/>
                <w:color w:val="auto"/>
              </w:rPr>
              <w:t>96,335</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67,276</w:t>
            </w:r>
          </w:p>
        </w:tc>
        <w:tc>
          <w:tcPr>
            <w:tcW w:w="260" w:type="dxa"/>
            <w:vAlign w:val="bottom"/>
            <w:shd w:val="clear" w:color="auto" w:fill="CCEEFF"/>
          </w:tcPr>
          <w:p>
            <w:pPr>
              <w:spacing w:after="0"/>
              <w:rPr>
                <w:sz w:val="18"/>
                <w:szCs w:val="18"/>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7"/>
                <w:szCs w:val="17"/>
                <w:color w:val="auto"/>
              </w:rPr>
              <w:t>Issued capital</w:t>
            </w: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193</w:t>
            </w:r>
          </w:p>
        </w:tc>
        <w:tc>
          <w:tcPr>
            <w:tcW w:w="1540" w:type="dxa"/>
            <w:vAlign w:val="bottom"/>
          </w:tcPr>
          <w:p>
            <w:pPr>
              <w:jc w:val="right"/>
              <w:ind w:right="417"/>
              <w:spacing w:after="0"/>
              <w:rPr>
                <w:sz w:val="20"/>
                <w:szCs w:val="20"/>
                <w:color w:val="auto"/>
              </w:rPr>
            </w:pPr>
            <w:r>
              <w:rPr>
                <w:rFonts w:ascii="Arial" w:cs="Arial" w:eastAsia="Arial" w:hAnsi="Arial"/>
                <w:sz w:val="17"/>
                <w:szCs w:val="17"/>
                <w:color w:val="auto"/>
              </w:rPr>
              <w:t>213</w:t>
            </w:r>
          </w:p>
        </w:tc>
        <w:tc>
          <w:tcPr>
            <w:tcW w:w="800" w:type="dxa"/>
            <w:vAlign w:val="bottom"/>
          </w:tcPr>
          <w:p>
            <w:pPr>
              <w:jc w:val="right"/>
              <w:spacing w:after="0"/>
              <w:rPr>
                <w:sz w:val="20"/>
                <w:szCs w:val="20"/>
                <w:color w:val="auto"/>
              </w:rPr>
            </w:pPr>
            <w:r>
              <w:rPr>
                <w:rFonts w:ascii="Arial" w:cs="Arial" w:eastAsia="Arial" w:hAnsi="Arial"/>
                <w:sz w:val="17"/>
                <w:szCs w:val="17"/>
                <w:color w:val="auto"/>
              </w:rPr>
              <w:t>214</w:t>
            </w:r>
          </w:p>
        </w:tc>
        <w:tc>
          <w:tcPr>
            <w:tcW w:w="260" w:type="dxa"/>
            <w:vAlign w:val="bottom"/>
          </w:tcPr>
          <w:p>
            <w:pPr>
              <w:spacing w:after="0"/>
              <w:rPr>
                <w:sz w:val="18"/>
                <w:szCs w:val="18"/>
                <w:color w:val="auto"/>
              </w:rPr>
            </w:pPr>
          </w:p>
        </w:tc>
      </w:tr>
      <w:tr>
        <w:trPr>
          <w:trHeight w:val="207"/>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Share premium</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99,975</w:t>
            </w:r>
          </w:p>
        </w:tc>
        <w:tc>
          <w:tcPr>
            <w:tcW w:w="1540" w:type="dxa"/>
            <w:vAlign w:val="bottom"/>
            <w:shd w:val="clear" w:color="auto" w:fill="CCEEFF"/>
          </w:tcPr>
          <w:p>
            <w:pPr>
              <w:jc w:val="right"/>
              <w:ind w:right="417"/>
              <w:spacing w:after="0"/>
              <w:rPr>
                <w:sz w:val="20"/>
                <w:szCs w:val="20"/>
                <w:color w:val="auto"/>
              </w:rPr>
            </w:pPr>
            <w:r>
              <w:rPr>
                <w:rFonts w:ascii="Arial" w:cs="Arial" w:eastAsia="Arial" w:hAnsi="Arial"/>
                <w:sz w:val="17"/>
                <w:szCs w:val="17"/>
                <w:color w:val="auto"/>
              </w:rPr>
              <w:t>118,227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118,492</w:t>
            </w:r>
          </w:p>
        </w:tc>
        <w:tc>
          <w:tcPr>
            <w:tcW w:w="260" w:type="dxa"/>
            <w:vAlign w:val="bottom"/>
            <w:shd w:val="clear" w:color="auto" w:fill="CCEEFF"/>
          </w:tcPr>
          <w:p>
            <w:pPr>
              <w:spacing w:after="0"/>
              <w:rPr>
                <w:sz w:val="18"/>
                <w:szCs w:val="18"/>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7"/>
                <w:szCs w:val="17"/>
                <w:color w:val="auto"/>
              </w:rPr>
              <w:t>Accumulated loss</w:t>
            </w:r>
          </w:p>
        </w:tc>
        <w:tc>
          <w:tcPr>
            <w:tcW w:w="1060" w:type="dxa"/>
            <w:vAlign w:val="bottom"/>
          </w:tcPr>
          <w:p>
            <w:pPr>
              <w:jc w:val="right"/>
              <w:ind w:right="137"/>
              <w:spacing w:after="0"/>
              <w:rPr>
                <w:sz w:val="20"/>
                <w:szCs w:val="20"/>
                <w:color w:val="auto"/>
              </w:rPr>
            </w:pPr>
            <w:r>
              <w:rPr>
                <w:rFonts w:ascii="Arial" w:cs="Arial" w:eastAsia="Arial" w:hAnsi="Arial"/>
                <w:sz w:val="17"/>
                <w:szCs w:val="17"/>
                <w:color w:val="auto"/>
              </w:rPr>
              <w:t>(40,579)</w:t>
            </w:r>
          </w:p>
        </w:tc>
        <w:tc>
          <w:tcPr>
            <w:tcW w:w="1540" w:type="dxa"/>
            <w:vAlign w:val="bottom"/>
          </w:tcPr>
          <w:p>
            <w:pPr>
              <w:jc w:val="right"/>
              <w:ind w:right="357"/>
              <w:spacing w:after="0"/>
              <w:rPr>
                <w:sz w:val="20"/>
                <w:szCs w:val="20"/>
                <w:color w:val="auto"/>
              </w:rPr>
            </w:pPr>
            <w:r>
              <w:rPr>
                <w:rFonts w:ascii="Arial" w:cs="Arial" w:eastAsia="Arial" w:hAnsi="Arial"/>
                <w:sz w:val="17"/>
                <w:szCs w:val="17"/>
                <w:color w:val="auto"/>
              </w:rPr>
              <w:t>(79,316)</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(111,221)</w:t>
            </w:r>
          </w:p>
        </w:tc>
      </w:tr>
      <w:tr>
        <w:trPr>
          <w:trHeight w:val="207"/>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Total equity</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79,257</w:t>
            </w:r>
          </w:p>
        </w:tc>
        <w:tc>
          <w:tcPr>
            <w:tcW w:w="1540" w:type="dxa"/>
            <w:vAlign w:val="bottom"/>
            <w:shd w:val="clear" w:color="auto" w:fill="CCEEFF"/>
          </w:tcPr>
          <w:p>
            <w:pPr>
              <w:jc w:val="right"/>
              <w:ind w:right="417"/>
              <w:spacing w:after="0"/>
              <w:rPr>
                <w:sz w:val="20"/>
                <w:szCs w:val="20"/>
                <w:color w:val="auto"/>
              </w:rPr>
            </w:pPr>
            <w:r>
              <w:rPr>
                <w:rFonts w:ascii="Arial" w:cs="Arial" w:eastAsia="Arial" w:hAnsi="Arial"/>
                <w:sz w:val="17"/>
                <w:szCs w:val="17"/>
                <w:color w:val="auto"/>
              </w:rPr>
              <w:t>62,483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32,771</w:t>
            </w:r>
          </w:p>
        </w:tc>
        <w:tc>
          <w:tcPr>
            <w:tcW w:w="260" w:type="dxa"/>
            <w:vAlign w:val="bottom"/>
            <w:shd w:val="clear" w:color="auto" w:fill="CCEEFF"/>
          </w:tcPr>
          <w:p>
            <w:pPr>
              <w:spacing w:after="0"/>
              <w:rPr>
                <w:sz w:val="18"/>
                <w:szCs w:val="18"/>
                <w:color w:val="auto"/>
              </w:rPr>
            </w:pPr>
          </w:p>
        </w:tc>
      </w:tr>
      <w:tr>
        <w:trPr>
          <w:trHeight w:val="207"/>
        </w:trPr>
        <w:tc>
          <w:tcPr>
            <w:tcW w:w="5220" w:type="dxa"/>
            <w:vAlign w:val="bottom"/>
          </w:tcPr>
          <w:p>
            <w:pPr>
              <w:spacing w:after="0"/>
              <w:rPr>
                <w:sz w:val="20"/>
                <w:szCs w:val="20"/>
                <w:color w:val="auto"/>
              </w:rPr>
            </w:pPr>
            <w:r>
              <w:rPr>
                <w:rFonts w:ascii="Arial" w:cs="Arial" w:eastAsia="Arial" w:hAnsi="Arial"/>
                <w:sz w:val="17"/>
                <w:szCs w:val="17"/>
                <w:color w:val="auto"/>
              </w:rPr>
              <w:t>Total liabilities</w:t>
            </w:r>
          </w:p>
        </w:tc>
        <w:tc>
          <w:tcPr>
            <w:tcW w:w="1060" w:type="dxa"/>
            <w:vAlign w:val="bottom"/>
          </w:tcPr>
          <w:p>
            <w:pPr>
              <w:jc w:val="right"/>
              <w:spacing w:after="0"/>
              <w:rPr>
                <w:sz w:val="20"/>
                <w:szCs w:val="20"/>
                <w:color w:val="auto"/>
              </w:rPr>
            </w:pPr>
            <w:r>
              <w:rPr>
                <w:rFonts w:ascii="Arial" w:cs="Arial" w:eastAsia="Arial" w:hAnsi="Arial"/>
                <w:sz w:val="17"/>
                <w:szCs w:val="17"/>
                <w:color w:val="auto"/>
              </w:rPr>
              <w:t>7,508(1)</w:t>
            </w:r>
          </w:p>
        </w:tc>
        <w:tc>
          <w:tcPr>
            <w:tcW w:w="1540" w:type="dxa"/>
            <w:vAlign w:val="bottom"/>
          </w:tcPr>
          <w:p>
            <w:pPr>
              <w:jc w:val="right"/>
              <w:ind w:right="217"/>
              <w:spacing w:after="0"/>
              <w:rPr>
                <w:sz w:val="20"/>
                <w:szCs w:val="20"/>
                <w:color w:val="auto"/>
              </w:rPr>
            </w:pPr>
            <w:r>
              <w:rPr>
                <w:rFonts w:ascii="Arial" w:cs="Arial" w:eastAsia="Arial" w:hAnsi="Arial"/>
                <w:sz w:val="17"/>
                <w:szCs w:val="17"/>
                <w:color w:val="auto"/>
              </w:rPr>
              <w:t>33,852(2)</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34,505(3)</w:t>
            </w:r>
          </w:p>
        </w:tc>
      </w:tr>
      <w:tr>
        <w:trPr>
          <w:trHeight w:val="207"/>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Total equity and liabilities</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86,765</w:t>
            </w:r>
          </w:p>
        </w:tc>
        <w:tc>
          <w:tcPr>
            <w:tcW w:w="1540" w:type="dxa"/>
            <w:vAlign w:val="bottom"/>
            <w:shd w:val="clear" w:color="auto" w:fill="CCEEFF"/>
          </w:tcPr>
          <w:p>
            <w:pPr>
              <w:jc w:val="right"/>
              <w:ind w:right="417"/>
              <w:spacing w:after="0"/>
              <w:rPr>
                <w:sz w:val="20"/>
                <w:szCs w:val="20"/>
                <w:color w:val="auto"/>
              </w:rPr>
            </w:pPr>
            <w:r>
              <w:rPr>
                <w:rFonts w:ascii="Arial" w:cs="Arial" w:eastAsia="Arial" w:hAnsi="Arial"/>
                <w:sz w:val="17"/>
                <w:szCs w:val="17"/>
                <w:color w:val="auto"/>
              </w:rPr>
              <w:t>96,335</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67,276</w:t>
            </w:r>
          </w:p>
        </w:tc>
        <w:tc>
          <w:tcPr>
            <w:tcW w:w="2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81915</wp:posOffset>
            </wp:positionV>
            <wp:extent cx="6743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49" w:lineRule="exact"/>
        <w:rPr>
          <w:sz w:val="20"/>
          <w:szCs w:val="20"/>
          <w:color w:val="auto"/>
        </w:rPr>
      </w:pPr>
    </w:p>
    <w:p>
      <w:pPr>
        <w:ind w:left="840" w:right="480" w:hanging="409"/>
        <w:spacing w:after="0" w:line="262"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£3.1 million ($4.1 million) aggregate principal amount of, and accrued interest on, the Novartis Notes. See “Item 5. Operating and Financial Review and Prospects—B. Liquidity and Capital Resources—Indebtedness—Novartis Notes.”</w:t>
      </w:r>
    </w:p>
    <w:p>
      <w:pPr>
        <w:ind w:left="840" w:right="480" w:hanging="409"/>
        <w:spacing w:after="0" w:line="254"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£2.0 million ($2.6 million) aggregate principal amount of, and accrued interest on, the Novartis Notes. See “Item 5. Operating and Financial Review and Prospects—B. Liquidity and Capital Resources—Indebtedness—Novartis Notes.”</w:t>
      </w:r>
    </w:p>
    <w:p>
      <w:pPr>
        <w:ind w:left="840" w:right="480" w:hanging="409"/>
        <w:spacing w:after="0" w:line="268"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£2.0 million ($2.5 million) aggregate principal amount of, and accrued interest on, the Novartis Notes. See “Item 5. Operating and Financial Review and Prospects—B. Liquidity and Capital Resources—Indebtedness—Novartis Notes.”</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3.B. Capitalization and Indebtedness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3.C. Reasons For the Offer and Use of Proceeds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3.D. Risk Factors</w:t>
      </w:r>
    </w:p>
    <w:p>
      <w:pPr>
        <w:spacing w:after="0" w:line="121" w:lineRule="exact"/>
        <w:rPr>
          <w:sz w:val="20"/>
          <w:szCs w:val="20"/>
          <w:color w:val="auto"/>
        </w:rPr>
      </w:pPr>
    </w:p>
    <w:p>
      <w:pPr>
        <w:ind w:left="440" w:right="100" w:firstLine="423"/>
        <w:spacing w:after="0" w:line="281" w:lineRule="auto"/>
        <w:rPr>
          <w:sz w:val="20"/>
          <w:szCs w:val="20"/>
          <w:color w:val="auto"/>
        </w:rPr>
      </w:pPr>
      <w:r>
        <w:rPr>
          <w:rFonts w:ascii="Arial" w:cs="Arial" w:eastAsia="Arial" w:hAnsi="Arial"/>
          <w:sz w:val="16"/>
          <w:szCs w:val="16"/>
          <w:i w:val="1"/>
          <w:iCs w:val="1"/>
          <w:color w:val="auto"/>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ordinary shares and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Mereo’s Business and Industry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 has a limited operating history and has never generated any product revenue.</w:t>
      </w:r>
    </w:p>
    <w:p>
      <w:pPr>
        <w:spacing w:after="0" w:line="219" w:lineRule="exact"/>
        <w:rPr>
          <w:sz w:val="20"/>
          <w:szCs w:val="20"/>
          <w:color w:val="auto"/>
        </w:rPr>
      </w:pPr>
    </w:p>
    <w:p>
      <w:pPr>
        <w:ind w:left="440" w:firstLine="423"/>
        <w:spacing w:after="0" w:line="278" w:lineRule="auto"/>
        <w:rPr>
          <w:sz w:val="20"/>
          <w:szCs w:val="20"/>
          <w:color w:val="auto"/>
        </w:rPr>
      </w:pPr>
      <w:r>
        <w:rPr>
          <w:rFonts w:ascii="Arial" w:cs="Arial" w:eastAsia="Arial" w:hAnsi="Arial"/>
          <w:sz w:val="16"/>
          <w:szCs w:val="16"/>
          <w:color w:val="auto"/>
        </w:rPr>
        <w:t>Mereo is a multi-product, clinical-stage biopharmaceutical company with a limited operating history, and has incurred significant operating losses since its formation. Mereo had net losses of £28.4 million, £38.8 million and £32.0 million in the years ended December 31, 2016, 2017 and 2018, respectively. As of December 31, 2018, Mereo had an accumulated loss of £111.2 million. Mereo’s losses have resulted principally from expenses incurred from the research and development of its product candidates and from general and administrative costs that it has incurred while building its business infrastructure. Mereo expects to continue to incur significant operating losses for the foreseeable future as it seeks to acquire new product candidates, expand its research and development efforts, and seek to obtain regulatory approval and potentially commercialize its product candidates. Mereo anticipates that its expenses will increase substantially as it:</w:t>
      </w:r>
    </w:p>
    <w:p>
      <w:pPr>
        <w:spacing w:after="0" w:line="75" w:lineRule="exact"/>
        <w:rPr>
          <w:sz w:val="20"/>
          <w:szCs w:val="20"/>
          <w:color w:val="auto"/>
        </w:rPr>
      </w:pPr>
    </w:p>
    <w:p>
      <w:pPr>
        <w:ind w:left="1260" w:right="340" w:hanging="415"/>
        <w:spacing w:after="0" w:line="284" w:lineRule="auto"/>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continues to conduct its ongoing Phase 2b clinical trial of BPS-804 for the treatment of osteogenesis imperfecta (“OI”) in adults and its ongoing Phase 2 clinical trial of MPH-966 for the treatment of severe alpha-1 antitrypsin deficiency (“AATD”);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continues to conduct the OncoMed clinical trials for OMP-305B3 and OMP-313M32;</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seeks to acquire additional novel product candidates to treat rare and specialty diseases;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seeks regulatory approvals for its product candidates;</w:t>
      </w:r>
    </w:p>
    <w:p>
      <w:pPr>
        <w:spacing w:after="0" w:line="15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40"/>
          </w:cols>
          <w:pgMar w:left="240" w:top="445" w:right="7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920" w:hanging="415"/>
        <w:spacing w:after="0" w:line="284" w:lineRule="auto"/>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potentially establishes a commercial infrastructure and works with contract manufacturing organizations (“CMOs”) to scale up manufacturing processes to commercialize selected product candidates, if approved;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maintains, expands, and protects Mereo’s intellectual property portfolio;</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secures, maintains, or obtains freedom to operate for its technologies and products;</w:t>
      </w:r>
    </w:p>
    <w:p>
      <w:pPr>
        <w:spacing w:after="0" w:line="128" w:lineRule="exact"/>
        <w:rPr>
          <w:rFonts w:ascii="Arial" w:cs="Arial" w:eastAsia="Arial" w:hAnsi="Arial"/>
          <w:sz w:val="17"/>
          <w:szCs w:val="17"/>
          <w:color w:val="auto"/>
        </w:rPr>
      </w:pPr>
    </w:p>
    <w:p>
      <w:pPr>
        <w:ind w:left="1260" w:right="220" w:hanging="415"/>
        <w:spacing w:after="0" w:line="284" w:lineRule="auto"/>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adds clinical, scientific, operational, financial, and management personnel, including personnel to support the development of its product candidates and potential future commercialization efforts; and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expands its operations in the United Kingdom and potentially hires additional employees in the United States.</w:t>
      </w:r>
    </w:p>
    <w:p>
      <w:pPr>
        <w:spacing w:after="0" w:line="219" w:lineRule="exact"/>
        <w:rPr>
          <w:sz w:val="20"/>
          <w:szCs w:val="20"/>
          <w:color w:val="auto"/>
        </w:rPr>
      </w:pPr>
    </w:p>
    <w:p>
      <w:pPr>
        <w:ind w:left="440" w:right="180" w:firstLine="423"/>
        <w:spacing w:after="0" w:line="284" w:lineRule="auto"/>
        <w:rPr>
          <w:sz w:val="20"/>
          <w:szCs w:val="20"/>
          <w:color w:val="auto"/>
        </w:rPr>
      </w:pPr>
      <w:r>
        <w:rPr>
          <w:rFonts w:ascii="Arial" w:cs="Arial" w:eastAsia="Arial" w:hAnsi="Arial"/>
          <w:sz w:val="17"/>
          <w:szCs w:val="17"/>
          <w:color w:val="auto"/>
        </w:rPr>
        <w:t>Mereo’s expenses may also increase substantially if it experiences any delays or encounters any issues with any of the above, including, but not limited to, failed clinical trials, complex results, safety issues, or unforeseen regulatory challenges.</w:t>
      </w:r>
    </w:p>
    <w:p>
      <w:pPr>
        <w:spacing w:after="0" w:line="159" w:lineRule="exact"/>
        <w:rPr>
          <w:sz w:val="20"/>
          <w:szCs w:val="20"/>
          <w:color w:val="auto"/>
        </w:rPr>
      </w:pPr>
    </w:p>
    <w:p>
      <w:pPr>
        <w:ind w:left="440" w:right="440" w:firstLine="423"/>
        <w:spacing w:after="0" w:line="284" w:lineRule="auto"/>
        <w:rPr>
          <w:sz w:val="20"/>
          <w:szCs w:val="20"/>
          <w:color w:val="auto"/>
        </w:rPr>
      </w:pPr>
      <w:r>
        <w:rPr>
          <w:rFonts w:ascii="Arial" w:cs="Arial" w:eastAsia="Arial" w:hAnsi="Arial"/>
          <w:sz w:val="17"/>
          <w:szCs w:val="17"/>
          <w:color w:val="auto"/>
        </w:rPr>
        <w:t>Mereo has devoted substantially all of its financial resources and efforts to the acquisition and clinical development of BPS-804, MPH-966, BCT-197, and BGS-649. Mereo has not completed the clinical development of any product candidate through approval.</w:t>
      </w:r>
    </w:p>
    <w:p>
      <w:pPr>
        <w:spacing w:after="0" w:line="159" w:lineRule="exact"/>
        <w:rPr>
          <w:sz w:val="20"/>
          <w:szCs w:val="20"/>
          <w:color w:val="auto"/>
        </w:rPr>
      </w:pPr>
    </w:p>
    <w:p>
      <w:pPr>
        <w:ind w:left="440" w:right="80" w:firstLine="423"/>
        <w:spacing w:after="0" w:line="260" w:lineRule="auto"/>
        <w:rPr>
          <w:sz w:val="20"/>
          <w:szCs w:val="20"/>
          <w:color w:val="auto"/>
        </w:rPr>
      </w:pPr>
      <w:r>
        <w:rPr>
          <w:rFonts w:ascii="Arial" w:cs="Arial" w:eastAsia="Arial" w:hAnsi="Arial"/>
          <w:sz w:val="17"/>
          <w:szCs w:val="17"/>
          <w:color w:val="auto"/>
        </w:rPr>
        <w:t>To become and remain profitable, Mereo must succeed in developing and commercializing products that generate significant revenue. This will require Mereo to be successful in a range of challenging activities, including completing clinical trials of Mereo’s current or any future product candidates, obtaining regulatory approval for Mereo’s product candidates that successfully complete clinical trials, establishing manufacturing supplies and marketing capabilities, and ultimately commercializing or entering into strategic relationships for Mereo’s current and future product candidates, if approved. Mereo is only in the preliminary stages of many of these activities. Mereo may never succeed in these activities and, even if it does, it may never generate revenue that is significant enough to achieve profitability.</w:t>
      </w:r>
    </w:p>
    <w:p>
      <w:pPr>
        <w:spacing w:after="0" w:line="180" w:lineRule="exact"/>
        <w:rPr>
          <w:sz w:val="20"/>
          <w:szCs w:val="20"/>
          <w:color w:val="auto"/>
        </w:rPr>
      </w:pPr>
    </w:p>
    <w:p>
      <w:pPr>
        <w:ind w:left="440" w:firstLine="423"/>
        <w:spacing w:after="0" w:line="258" w:lineRule="auto"/>
        <w:rPr>
          <w:sz w:val="20"/>
          <w:szCs w:val="20"/>
          <w:color w:val="auto"/>
        </w:rPr>
      </w:pPr>
      <w:r>
        <w:rPr>
          <w:rFonts w:ascii="Arial" w:cs="Arial" w:eastAsia="Arial" w:hAnsi="Arial"/>
          <w:sz w:val="17"/>
          <w:szCs w:val="17"/>
          <w:color w:val="auto"/>
        </w:rPr>
        <w:t>Because of the numerous risks and uncertainties associated with biopharmaceutical product development, Mereo is unable to accurately predict the timing or amount of increased expenses or when, or if, it will be able to achieve profitability. Mereo may be subject to different or contradictory regulatory requirements in different countries, and different regulatory authorities may not be aligned on the clinical trials necessary to support approval of its product candidates. If Mereo is required by the Food and Drug Administration (“FDA”), the European Medicines Agency (“EMA”), or other regulatory authorities to perform studies in addition to those it currently anticipates, or if there are any delays in completing its clinical trials or the development of its current product candidates, Mereo’s expenses could increase and its ability to generate revenue could be further delayed. In addition, Mereo may not be able to acquire new product candidates or may encounter unexpected difficulties or delays in such acquisitions, which would impair its business.</w:t>
      </w:r>
    </w:p>
    <w:p>
      <w:pPr>
        <w:spacing w:after="0" w:line="184" w:lineRule="exact"/>
        <w:rPr>
          <w:sz w:val="20"/>
          <w:szCs w:val="20"/>
          <w:color w:val="auto"/>
        </w:rPr>
      </w:pPr>
    </w:p>
    <w:p>
      <w:pPr>
        <w:ind w:left="440" w:right="20" w:firstLine="423"/>
        <w:spacing w:after="0" w:line="297" w:lineRule="auto"/>
        <w:rPr>
          <w:sz w:val="20"/>
          <w:szCs w:val="20"/>
          <w:color w:val="auto"/>
        </w:rPr>
      </w:pPr>
      <w:r>
        <w:rPr>
          <w:rFonts w:ascii="Arial" w:cs="Arial" w:eastAsia="Arial" w:hAnsi="Arial"/>
          <w:sz w:val="15"/>
          <w:szCs w:val="15"/>
          <w:color w:val="auto"/>
        </w:rPr>
        <w:t>Furthermore, adoption by the medical community of Mereo’s product candidates, if approved, may be limited if third-party payors offer inadequate reimbursement coverage. Cost control initiatives may decrease coverage and payment levels for Mereo’s products, which in turn would negatively affect the price that Mereo will be able to charge for such products. Mereo is unable to predict the coverage that will be provided by private or government payors for any product candidate Mereo has in development. Any denial of private or government payor coverage, inadequate reimbursement for Mereo’s products, or delay in receipt of reimbursement payments could harm Mereo’s business and, even if Mereo were to generate product royalties or product sales, it may never achieve or sustain profitability. Mereo’s failure to sustain profitability would depress the market price of the ADSs and ordinary shares and could impair its ability to raise capital, acquire new product candidates, expand its business, or continue Mereo’s operations. A decline in the market price of our ADSs or ordinary shares also could cause you to lose all or a part of your investment.</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Mereo’s limited operating history may make it difficult for you to evaluate the success of its business to date and to assess its future viability.</w:t>
      </w:r>
    </w:p>
    <w:p>
      <w:pPr>
        <w:spacing w:after="0" w:line="242" w:lineRule="exact"/>
        <w:rPr>
          <w:sz w:val="20"/>
          <w:szCs w:val="20"/>
          <w:color w:val="auto"/>
        </w:rPr>
      </w:pPr>
    </w:p>
    <w:p>
      <w:pPr>
        <w:ind w:left="440" w:right="300" w:firstLine="423"/>
        <w:spacing w:after="0" w:line="264" w:lineRule="auto"/>
        <w:rPr>
          <w:sz w:val="20"/>
          <w:szCs w:val="20"/>
          <w:color w:val="auto"/>
        </w:rPr>
      </w:pPr>
      <w:r>
        <w:rPr>
          <w:rFonts w:ascii="Arial" w:cs="Arial" w:eastAsia="Arial" w:hAnsi="Arial"/>
          <w:sz w:val="17"/>
          <w:szCs w:val="17"/>
          <w:color w:val="auto"/>
        </w:rPr>
        <w:t>Since Mereo’s formation, it has devoted substantially all of its resources to acquiring and developing BPS-804, MPH-966, BCT-197, and BGS-649; building its intellectual property portfolio; developing its supply chain; planning its business; raising capital; and providing general and administrative support for these operations. Mereo has not yet demonstrated its ability to successfully complete any Phase 3 or other pivotal clinical trials, obtain regulatory</w:t>
      </w:r>
    </w:p>
    <w:p>
      <w:pPr>
        <w:spacing w:after="0" w:line="11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40"/>
          </w:cols>
          <w:pgMar w:left="240" w:top="445" w:right="71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spacing w:after="0" w:line="260" w:lineRule="auto"/>
        <w:rPr>
          <w:sz w:val="20"/>
          <w:szCs w:val="20"/>
          <w:color w:val="auto"/>
        </w:rPr>
      </w:pPr>
      <w:r>
        <w:rPr>
          <w:rFonts w:ascii="Arial" w:cs="Arial" w:eastAsia="Arial" w:hAnsi="Arial"/>
          <w:sz w:val="17"/>
          <w:szCs w:val="17"/>
          <w:color w:val="auto"/>
        </w:rPr>
        <w:t>approval, arrange for third parties to manufacture commercial-scale products, or conduct or partner with others to conduct sales and marketing activities necessary for successful product commercialization. Additionally, although Mereo has acquired product candidates from two large pharmaceutical companies, it has not demonstrated the sustainability of its business model of acquiring and developing product candidates for rare and specialty diseases from, and becoming a partner of choice for, large pharmaceutical companies, nor has it demonstrated its ability to obtain approvals for or to commercialize these product candidates. Consequently, any predictions you make about Mereo’s future success or viability may not be as accurate as they could be if Mereo had a longer operating history.</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 may not be successful in its efforts to identify and acquire additional product candidates.</w:t>
      </w:r>
    </w:p>
    <w:p>
      <w:pPr>
        <w:spacing w:after="0" w:line="219" w:lineRule="exact"/>
        <w:rPr>
          <w:sz w:val="20"/>
          <w:szCs w:val="20"/>
          <w:color w:val="auto"/>
        </w:rPr>
      </w:pPr>
    </w:p>
    <w:p>
      <w:pPr>
        <w:ind w:left="440" w:right="60" w:firstLine="423"/>
        <w:spacing w:after="0" w:line="264" w:lineRule="auto"/>
        <w:rPr>
          <w:sz w:val="20"/>
          <w:szCs w:val="20"/>
          <w:color w:val="auto"/>
        </w:rPr>
      </w:pPr>
      <w:r>
        <w:rPr>
          <w:rFonts w:ascii="Arial" w:cs="Arial" w:eastAsia="Arial" w:hAnsi="Arial"/>
          <w:sz w:val="17"/>
          <w:szCs w:val="17"/>
          <w:color w:val="auto"/>
        </w:rPr>
        <w:t>Part of Mereo’s strategy involves identifying and acquiring novel product candidates that have received significant investment from large pharmaceutical companies and that have substantial pre-clinical, clinical, and manufacturing data packages. The process by which Mereo identifies product candidates may fail to yield product candidates for clinical development for a number of reasons, including those discussed in these risk factors and also:</w:t>
      </w:r>
    </w:p>
    <w:p>
      <w:pPr>
        <w:spacing w:after="0" w:line="85" w:lineRule="exact"/>
        <w:rPr>
          <w:sz w:val="20"/>
          <w:szCs w:val="20"/>
          <w:color w:val="auto"/>
        </w:rPr>
      </w:pPr>
    </w:p>
    <w:p>
      <w:pPr>
        <w:ind w:left="1260" w:right="420" w:hanging="415"/>
        <w:spacing w:after="0" w:line="284"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product candidates Mereo acquires that have generated positive clinical data for Mereo’s target indication or in diseases other than Mereo’s target indications may not prove to be effective in treating Mereo’s target indications;</w:t>
      </w:r>
    </w:p>
    <w:p>
      <w:pPr>
        <w:spacing w:after="0" w:line="68" w:lineRule="exact"/>
        <w:rPr>
          <w:rFonts w:ascii="Arial" w:cs="Arial" w:eastAsia="Arial" w:hAnsi="Arial"/>
          <w:sz w:val="17"/>
          <w:szCs w:val="17"/>
          <w:color w:val="auto"/>
        </w:rPr>
      </w:pPr>
    </w:p>
    <w:p>
      <w:pPr>
        <w:ind w:left="1260" w:right="140" w:hanging="415"/>
        <w:spacing w:after="0" w:line="284" w:lineRule="auto"/>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product candidates may, with further studies, be shown to have harmful side effects or other characteristics that indicate that they are unlikely to be products that will receive marketing approval and achieve market acceptance;</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regulatory pathway for a potential product candidate may be too complex and difficult to navigate successfully or economically; and</w:t>
      </w:r>
    </w:p>
    <w:p>
      <w:pPr>
        <w:spacing w:after="0" w:line="139" w:lineRule="exact"/>
        <w:rPr>
          <w:rFonts w:ascii="Arial" w:cs="Arial" w:eastAsia="Arial" w:hAnsi="Arial"/>
          <w:sz w:val="16"/>
          <w:szCs w:val="16"/>
          <w:color w:val="auto"/>
        </w:rPr>
      </w:pPr>
    </w:p>
    <w:p>
      <w:pPr>
        <w:ind w:left="1260" w:hanging="415"/>
        <w:spacing w:after="0"/>
        <w:tabs>
          <w:tab w:leader="none" w:pos="1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may be competitive bids for potential product candidates which Mereo does not seek to or is unable to match.</w:t>
      </w:r>
    </w:p>
    <w:p>
      <w:pPr>
        <w:spacing w:after="0" w:line="219" w:lineRule="exact"/>
        <w:rPr>
          <w:sz w:val="20"/>
          <w:szCs w:val="20"/>
          <w:color w:val="auto"/>
        </w:rPr>
      </w:pPr>
    </w:p>
    <w:p>
      <w:pPr>
        <w:ind w:left="440" w:right="40" w:firstLine="423"/>
        <w:spacing w:after="0" w:line="285" w:lineRule="auto"/>
        <w:rPr>
          <w:sz w:val="20"/>
          <w:szCs w:val="20"/>
          <w:color w:val="auto"/>
        </w:rPr>
      </w:pPr>
      <w:r>
        <w:rPr>
          <w:rFonts w:ascii="Arial" w:cs="Arial" w:eastAsia="Arial" w:hAnsi="Arial"/>
          <w:sz w:val="16"/>
          <w:szCs w:val="16"/>
          <w:color w:val="auto"/>
        </w:rPr>
        <w:t>In addition, Mereo may choose to focus its efforts and resources on a potential product candidate that ultimately proves to be unsuccessful. Further, time and resources spent searching for, identifying, acquiring, and developing potential product candidates may distract Mereo’s management’s attention from Mereo’s primary business or other development programs. If Mereo is unable to identify and acquire additional suitable product candidates for clinical development, this would adversely impact its business strategy and its financial position and share price.</w:t>
      </w:r>
    </w:p>
    <w:p>
      <w:pPr>
        <w:spacing w:after="0" w:line="162" w:lineRule="exact"/>
        <w:rPr>
          <w:sz w:val="20"/>
          <w:szCs w:val="20"/>
          <w:color w:val="auto"/>
        </w:rPr>
      </w:pPr>
    </w:p>
    <w:p>
      <w:pPr>
        <w:jc w:val="both"/>
        <w:ind w:left="640"/>
        <w:spacing w:after="0" w:line="293" w:lineRule="auto"/>
        <w:rPr>
          <w:sz w:val="20"/>
          <w:szCs w:val="20"/>
          <w:color w:val="auto"/>
        </w:rPr>
      </w:pPr>
      <w:r>
        <w:rPr>
          <w:rFonts w:ascii="Arial" w:cs="Arial" w:eastAsia="Arial" w:hAnsi="Arial"/>
          <w:sz w:val="16"/>
          <w:szCs w:val="16"/>
          <w:b w:val="1"/>
          <w:bCs w:val="1"/>
          <w:i w:val="1"/>
          <w:iCs w:val="1"/>
          <w:color w:val="auto"/>
        </w:rPr>
        <w:t>Mereo will need additional funding to complete the development of its current product candidates; to license, acquire, and develop future product candidates; and to commercialize its product candidates, if approved. If Mereo is unable to raise capital when needed, it could be forced to delay, reduce, or eliminate its product development programs or any future commercialization efforts.</w:t>
      </w:r>
    </w:p>
    <w:p>
      <w:pPr>
        <w:spacing w:after="0" w:line="155" w:lineRule="exact"/>
        <w:rPr>
          <w:sz w:val="20"/>
          <w:szCs w:val="20"/>
          <w:color w:val="auto"/>
        </w:rPr>
      </w:pPr>
    </w:p>
    <w:p>
      <w:pPr>
        <w:ind w:left="440" w:right="80" w:firstLine="423"/>
        <w:spacing w:after="0" w:line="296" w:lineRule="auto"/>
        <w:rPr>
          <w:sz w:val="20"/>
          <w:szCs w:val="20"/>
          <w:color w:val="auto"/>
        </w:rPr>
      </w:pPr>
      <w:r>
        <w:rPr>
          <w:rFonts w:ascii="Arial" w:cs="Arial" w:eastAsia="Arial" w:hAnsi="Arial"/>
          <w:sz w:val="15"/>
          <w:szCs w:val="15"/>
          <w:color w:val="auto"/>
        </w:rPr>
        <w:t>Mereo expects its expenses to increase in connection with its ongoing activities, particularly as it conducts its ongoing Phase 2b clinical trial for BPS-804, OncoMed’s study for OMP-305B3 and its ongoing Phase 2 clinical trial for MPH-966. Mereo also expects its expenses to rise as it seeks to acquire and develop new product candidates. In addition, if Mereo obtains regulatory approval for any of its product candidates, it expects to incur significant commercialization expenses related to product manufacturing, marketing, sales, and distribution for any products it commercializes directly. Furthermore, as a result of the merger with OncoMed (the “Merger”), Mereo expects to incur additional costs associated with operating as a public company in the United Kingdom and the United States and maintaining listings on both the Alternative Investment Market operated by the London Stock Exchange (“AIM”) and The Nasdaq Stock Market (“Nasdaq”). Accordingly, Mereo will need to obtain substantial additional funding in connection with its continuing operations. If Mereo is unable to raise capital when needed or on attractive terms, it could be forced to delay, reduce, or eliminate its research and development programs, any future commercialization efforts, or acquisitions of potential product candidates.</w:t>
      </w:r>
    </w:p>
    <w:p>
      <w:pPr>
        <w:spacing w:after="0" w:line="157"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Mereo expects that its existing cash resources will enable it to fund its operating expenses and capital expenditure requirements into mid-2020. Mereo has based this estimate on assumptions that may prove to be wrong, and Mereo could use its capital resources sooner than it currently expects, or its operating plan may change as a result of many factors unknown to it. These factors, among others, may necessitate that Mereo seek additional capital sooner than currently planned. In addition, Mereo may seek additional capital due to favorable market conditions or strategic considerations, even if it believes that it has sufficient funds for its current or future operating plans.</w:t>
      </w:r>
    </w:p>
    <w:p>
      <w:pPr>
        <w:spacing w:after="0" w:line="1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60"/>
          </w:cols>
          <w:pgMar w:left="240" w:top="445" w:right="69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Mereo’s future capital requirements will depend on many factors, including:</w:t>
      </w:r>
    </w:p>
    <w:p>
      <w:pPr>
        <w:spacing w:after="0" w:line="128" w:lineRule="exact"/>
        <w:rPr>
          <w:sz w:val="20"/>
          <w:szCs w:val="20"/>
          <w:color w:val="auto"/>
        </w:rPr>
      </w:pPr>
    </w:p>
    <w:p>
      <w:pPr>
        <w:ind w:left="1260" w:hanging="415"/>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timing and results of its ongoing Phase 2b clinical trial for BPS-804; and its ongoing Phase 2 clinical trial for MPH-966;</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and timing of manufacturing clinical supplies of its product candidates;</w:t>
      </w:r>
    </w:p>
    <w:p>
      <w:pPr>
        <w:spacing w:after="0" w:line="128" w:lineRule="exact"/>
        <w:rPr>
          <w:rFonts w:ascii="Arial" w:cs="Arial" w:eastAsia="Arial" w:hAnsi="Arial"/>
          <w:sz w:val="17"/>
          <w:szCs w:val="17"/>
          <w:color w:val="auto"/>
        </w:rPr>
      </w:pPr>
    </w:p>
    <w:p>
      <w:pPr>
        <w:ind w:left="1260" w:right="300" w:hanging="415"/>
        <w:spacing w:after="0" w:line="284"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its product candidates, including post-marketing studies that could be required by regulatory authorities;</w:t>
      </w:r>
    </w:p>
    <w:p>
      <w:pPr>
        <w:spacing w:after="0" w:line="68" w:lineRule="exact"/>
        <w:rPr>
          <w:rFonts w:ascii="Arial" w:cs="Arial" w:eastAsia="Arial" w:hAnsi="Arial"/>
          <w:sz w:val="17"/>
          <w:szCs w:val="17"/>
          <w:color w:val="auto"/>
        </w:rPr>
      </w:pPr>
    </w:p>
    <w:p>
      <w:pPr>
        <w:ind w:left="1260" w:right="120" w:hanging="415"/>
        <w:spacing w:after="0" w:line="284"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timing, and outcome of potential future commercialization activities, including manufacturing, marketing, sales, and distribution, for its product candidates that it commercializes directly;</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amount of revenue, if any, received from commercial sales of its product candidates;</w:t>
      </w:r>
    </w:p>
    <w:p>
      <w:pPr>
        <w:spacing w:after="0" w:line="128" w:lineRule="exact"/>
        <w:rPr>
          <w:rFonts w:ascii="Arial" w:cs="Arial" w:eastAsia="Arial" w:hAnsi="Arial"/>
          <w:sz w:val="17"/>
          <w:szCs w:val="17"/>
          <w:color w:val="auto"/>
        </w:rPr>
      </w:pPr>
    </w:p>
    <w:p>
      <w:pPr>
        <w:ind w:left="1260" w:right="120" w:hanging="415"/>
        <w:spacing w:after="0" w:line="269"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its intellectual property rights; and defending any intellectual property-related claims, including any claims by third parties that Mereo is infringing upon the third party’s intellectual property rights;</w:t>
      </w:r>
    </w:p>
    <w:p>
      <w:pPr>
        <w:spacing w:after="0" w:line="80" w:lineRule="exact"/>
        <w:rPr>
          <w:rFonts w:ascii="Arial" w:cs="Arial" w:eastAsia="Arial" w:hAnsi="Arial"/>
          <w:sz w:val="17"/>
          <w:szCs w:val="17"/>
          <w:color w:val="auto"/>
        </w:rPr>
      </w:pPr>
    </w:p>
    <w:p>
      <w:pPr>
        <w:ind w:left="1260" w:hanging="415"/>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sales price and availability of adequate third-party coverage and reimbursement for its product candidates;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effect of competitors and market developments; and</w:t>
      </w:r>
    </w:p>
    <w:p>
      <w:pPr>
        <w:spacing w:after="0" w:line="128" w:lineRule="exact"/>
        <w:rPr>
          <w:rFonts w:ascii="Arial" w:cs="Arial" w:eastAsia="Arial" w:hAnsi="Arial"/>
          <w:sz w:val="17"/>
          <w:szCs w:val="17"/>
          <w:color w:val="auto"/>
        </w:rPr>
      </w:pPr>
    </w:p>
    <w:p>
      <w:pPr>
        <w:ind w:left="1260" w:right="340" w:hanging="415"/>
        <w:spacing w:after="0" w:line="284"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Mereo is able to acquire new product candidates or enter into licensing or collaboration arrangements for its product candidates, although Mereo currently has no commitments or agreements to complete any such transactions.</w:t>
      </w:r>
    </w:p>
    <w:p>
      <w:pPr>
        <w:spacing w:after="0" w:line="159" w:lineRule="exact"/>
        <w:rPr>
          <w:sz w:val="20"/>
          <w:szCs w:val="20"/>
          <w:color w:val="auto"/>
        </w:rPr>
      </w:pPr>
    </w:p>
    <w:p>
      <w:pPr>
        <w:ind w:left="440" w:right="160" w:firstLine="423"/>
        <w:spacing w:after="0" w:line="264" w:lineRule="auto"/>
        <w:rPr>
          <w:sz w:val="20"/>
          <w:szCs w:val="20"/>
          <w:color w:val="auto"/>
        </w:rPr>
      </w:pPr>
      <w:r>
        <w:rPr>
          <w:rFonts w:ascii="Arial" w:cs="Arial" w:eastAsia="Arial" w:hAnsi="Arial"/>
          <w:sz w:val="17"/>
          <w:szCs w:val="17"/>
          <w:color w:val="auto"/>
        </w:rPr>
        <w:t>Any additional fundraising efforts may divert Mereo’s management from its day-to-day activities, which may adversely affect Mereo’s ability to develop and commercialize its product candidates. In addition, Mereo cannot guarantee that future financing will be available in sufficient amounts or on terms acceptable to it, if at all. Moreover, the terms of any financing may adversely affect Mereo’s business, the holdings or the rights of its shareholders, or the value of our ADSs or ordinary shares.</w:t>
      </w:r>
    </w:p>
    <w:p>
      <w:pPr>
        <w:spacing w:after="0" w:line="176" w:lineRule="exact"/>
        <w:rPr>
          <w:sz w:val="20"/>
          <w:szCs w:val="20"/>
          <w:color w:val="auto"/>
        </w:rPr>
      </w:pPr>
    </w:p>
    <w:p>
      <w:pPr>
        <w:ind w:left="440" w:right="300" w:firstLine="423"/>
        <w:spacing w:after="0" w:line="293" w:lineRule="auto"/>
        <w:rPr>
          <w:sz w:val="20"/>
          <w:szCs w:val="20"/>
          <w:color w:val="auto"/>
        </w:rPr>
      </w:pPr>
      <w:r>
        <w:rPr>
          <w:rFonts w:ascii="Arial" w:cs="Arial" w:eastAsia="Arial" w:hAnsi="Arial"/>
          <w:sz w:val="16"/>
          <w:szCs w:val="16"/>
          <w:color w:val="auto"/>
        </w:rPr>
        <w:t>If Mereo is unable to obtain funding on a timely basis, it may be required to significantly curtail, delay, or discontinue its research and development programs or any commercialization efforts; be unable to expand its operations or acquire product candidates; or be unable to otherwise capitalize on its business opportunities, as desired, which could harm its business and potentially force it to discontinue operations.</w:t>
      </w:r>
    </w:p>
    <w:p>
      <w:pPr>
        <w:spacing w:after="0" w:line="155" w:lineRule="exact"/>
        <w:rPr>
          <w:sz w:val="20"/>
          <w:szCs w:val="20"/>
          <w:color w:val="auto"/>
        </w:rPr>
      </w:pPr>
    </w:p>
    <w:p>
      <w:pPr>
        <w:ind w:left="640"/>
        <w:spacing w:after="0" w:line="284" w:lineRule="auto"/>
        <w:rPr>
          <w:sz w:val="20"/>
          <w:szCs w:val="20"/>
          <w:color w:val="auto"/>
        </w:rPr>
      </w:pPr>
      <w:r>
        <w:rPr>
          <w:rFonts w:ascii="Arial" w:cs="Arial" w:eastAsia="Arial" w:hAnsi="Arial"/>
          <w:sz w:val="17"/>
          <w:szCs w:val="17"/>
          <w:b w:val="1"/>
          <w:bCs w:val="1"/>
          <w:i w:val="1"/>
          <w:iCs w:val="1"/>
          <w:color w:val="auto"/>
        </w:rPr>
        <w:t>Raising additional capital may cause dilution to, or adversely affect the rights of, Mereo’s security holders; restrict Mereo’s operations; or require Mereo to relinquish rights to its technologies or product candidates.</w:t>
      </w:r>
    </w:p>
    <w:p>
      <w:pPr>
        <w:spacing w:after="0" w:line="159" w:lineRule="exact"/>
        <w:rPr>
          <w:sz w:val="20"/>
          <w:szCs w:val="20"/>
          <w:color w:val="auto"/>
        </w:rPr>
      </w:pPr>
    </w:p>
    <w:p>
      <w:pPr>
        <w:ind w:left="440" w:right="20" w:firstLine="423"/>
        <w:spacing w:after="0" w:line="274" w:lineRule="auto"/>
        <w:rPr>
          <w:sz w:val="20"/>
          <w:szCs w:val="20"/>
          <w:color w:val="auto"/>
        </w:rPr>
      </w:pPr>
      <w:r>
        <w:rPr>
          <w:rFonts w:ascii="Arial" w:cs="Arial" w:eastAsia="Arial" w:hAnsi="Arial"/>
          <w:sz w:val="16"/>
          <w:szCs w:val="16"/>
          <w:color w:val="auto"/>
        </w:rPr>
        <w:t>Until such time, if ever, as Mereo can generate substantial product revenues, it may finance its cash needs through securities offerings, debt financings, license and collaboration agreements, or other capital raising transactions. If Mereo raises capital through securities offerings, your ownership interest will be diluted, and the terms of the securities Mereo issues in such transaction may include liquidation or other preferences that adversely affect your rights as a holder of ADSs. Debt financing, if available, could result in fixed payment obligations, and Mereo may be required to agree to certain restrictive covenants, such as limitations on its ability to incur additional debt, to acquire, sell or license intellectual property rights, to make capital expenditures, to declare dividends, or other operating restrictions. For example, Mereo’s credit facility with Silicon Valley Bank and Kreos Capital V (UK) Limited, or the credit facility, requires Mereo to seek consent for certain corporate transactions, dispositions, or incurrences of certain debt. If Mereo raises additional funds through collaboration or licensing agreements, it may have to relinquish valuable rights to its technologies, future revenue streams, or product candidates or grant licenses on terms that may not be favorable to it. In addition, Mereo could also be required to seek funds through arrangements with collaborators or others at an earlier stage than otherwise would be desirable. Raising additional capital through any of these or other means could adversely affect Mereo’s business and the holdings or rights of Mereo’s security holders, and may cause the market price of our ADSs or ordinary shares to decline.</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80"/>
          </w:cols>
          <w:pgMar w:left="240" w:top="445" w:right="67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line="261" w:lineRule="auto"/>
        <w:rPr>
          <w:sz w:val="20"/>
          <w:szCs w:val="20"/>
          <w:color w:val="auto"/>
        </w:rPr>
      </w:pPr>
      <w:r>
        <w:rPr>
          <w:rFonts w:ascii="Arial" w:cs="Arial" w:eastAsia="Arial" w:hAnsi="Arial"/>
          <w:sz w:val="17"/>
          <w:szCs w:val="17"/>
          <w:b w:val="1"/>
          <w:bCs w:val="1"/>
          <w:i w:val="1"/>
          <w:iCs w:val="1"/>
          <w:color w:val="auto"/>
        </w:rPr>
        <w:t>Mereo depends heavily on the success of BPS-804, MPH-966, BCT-197, BGS-649, OMP-305B83 and OMP-313M32. Mereo cannot give any assurance that any of these product candidates or therapeutic candidates will receive regulatory approval, which is necessary before they can be commercialized. If Mereo is unable to commercialize, whether on its own or through agreements with third parties, BPS-804, MPH-966, BCT-197, BGS-649, OMP-305B83 or OMP-313M32 or experience significant delays in doing so, Mereo’s ability to generate revenue and Mereo’s financial condition will be adversely affected.</w:t>
      </w:r>
    </w:p>
    <w:p>
      <w:pPr>
        <w:spacing w:after="0" w:line="180" w:lineRule="exact"/>
        <w:rPr>
          <w:sz w:val="20"/>
          <w:szCs w:val="20"/>
          <w:color w:val="auto"/>
        </w:rPr>
      </w:pPr>
    </w:p>
    <w:p>
      <w:pPr>
        <w:ind w:left="440" w:firstLine="423"/>
        <w:spacing w:after="0" w:line="274" w:lineRule="auto"/>
        <w:rPr>
          <w:sz w:val="20"/>
          <w:szCs w:val="20"/>
          <w:color w:val="auto"/>
        </w:rPr>
      </w:pPr>
      <w:r>
        <w:rPr>
          <w:rFonts w:ascii="Arial" w:cs="Arial" w:eastAsia="Arial" w:hAnsi="Arial"/>
          <w:sz w:val="16"/>
          <w:szCs w:val="16"/>
          <w:color w:val="auto"/>
        </w:rPr>
        <w:t>Mereo does not currently generate any revenue from sales of any products, and it may never be able to develop or commercialize a marketable product. Mereo has invested substantially all of its efforts and financial resources in the acquisition and development of BPS-804, MPH-966, BCT-197, BGS-649, OMP-305B83 and OMP-313M32. Mereo’s ability to generate royalty and product revenues, which it does not expect will occur for at least the next several years, if ever, will depend heavily on the successful development and eventual commercialization of its current product candidates, if approved, which may never occur. Mereo’s current product candidates will require additional clinical development, management of clinical and manufacturing activities, regulatory approval in multiple jurisdictions, procurement of manufacturing supply, commercialization, substantial additional investment, and significant marketing efforts before Mereo generates any revenue from product sales. For example, Mereo intends to commence a Phase 3 clinical trial of BPS-804, its most advanced product candidate, in children with OI in 2019. Mereo plans to engage with the FDA in the second half of 2019 to discuss the expansion of Mereo’s pediatric Phase 3 study to include sites in the United States. However, the FDA may not approve Mereo’s pediatric trial for BPS-804, which would adversely affect the clinical development of BPS-804 in the United States and adversely affect Mereo’s commercialization plans in the United States.</w:t>
      </w:r>
    </w:p>
    <w:p>
      <w:pPr>
        <w:spacing w:after="0" w:line="176" w:lineRule="exact"/>
        <w:rPr>
          <w:sz w:val="20"/>
          <w:szCs w:val="20"/>
          <w:color w:val="auto"/>
        </w:rPr>
      </w:pPr>
    </w:p>
    <w:p>
      <w:pPr>
        <w:ind w:left="440" w:right="120" w:firstLine="423"/>
        <w:spacing w:after="0" w:line="281" w:lineRule="auto"/>
        <w:rPr>
          <w:sz w:val="20"/>
          <w:szCs w:val="20"/>
          <w:color w:val="auto"/>
        </w:rPr>
      </w:pPr>
      <w:r>
        <w:rPr>
          <w:rFonts w:ascii="Arial" w:cs="Arial" w:eastAsia="Arial" w:hAnsi="Arial"/>
          <w:sz w:val="16"/>
          <w:szCs w:val="16"/>
          <w:color w:val="auto"/>
        </w:rPr>
        <w:t>Mereo is not permitted to market or promote any product candidates in the United States, Europe, or other countries before it receives regulatory approval from the FDA, the EMA, or comparable foreign regulatory authorities, and it may never receive such regulatory approval for its current product candidates. Mereo has not submitted a Biologics License Application (“BLA”) or a New Drug Application (“NDA”), to the FDA; a Marketing Authorization Application (“MAA”) to the EMA; or comparable applications to other regulatory authorities, and does not expect to be in a position to do so in the foreseeable future. The success of Mereo’s current product candidates will depend on many factors, including the following:</w:t>
      </w:r>
    </w:p>
    <w:p>
      <w:pPr>
        <w:spacing w:after="0" w:line="75" w:lineRule="exact"/>
        <w:rPr>
          <w:sz w:val="20"/>
          <w:szCs w:val="20"/>
          <w:color w:val="auto"/>
        </w:rPr>
      </w:pPr>
    </w:p>
    <w:p>
      <w:pPr>
        <w:ind w:left="1260" w:right="700" w:hanging="415"/>
        <w:spacing w:after="0" w:line="284"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Mereo may not be able to demonstrate that any of its current product candidates is safe and effective as a treatment for the targeted indications to the satisfaction of the applicable regulatory authorities;</w:t>
      </w:r>
    </w:p>
    <w:p>
      <w:pPr>
        <w:spacing w:after="0" w:line="68" w:lineRule="exact"/>
        <w:rPr>
          <w:rFonts w:ascii="Arial" w:cs="Arial" w:eastAsia="Arial" w:hAnsi="Arial"/>
          <w:sz w:val="17"/>
          <w:szCs w:val="17"/>
          <w:color w:val="auto"/>
        </w:rPr>
      </w:pPr>
    </w:p>
    <w:p>
      <w:pPr>
        <w:ind w:left="1260" w:right="240" w:hanging="415"/>
        <w:spacing w:after="0" w:line="284"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applicable regulatory authorities may require additional clinical trials of its current product candidates, which would increase its costs and prolong development;</w:t>
      </w:r>
    </w:p>
    <w:p>
      <w:pPr>
        <w:spacing w:after="0" w:line="68" w:lineRule="exact"/>
        <w:rPr>
          <w:rFonts w:ascii="Arial" w:cs="Arial" w:eastAsia="Arial" w:hAnsi="Arial"/>
          <w:sz w:val="17"/>
          <w:szCs w:val="17"/>
          <w:color w:val="auto"/>
        </w:rPr>
      </w:pPr>
    </w:p>
    <w:p>
      <w:pPr>
        <w:ind w:left="1260" w:right="20" w:hanging="415"/>
        <w:spacing w:after="0" w:line="284"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results of clinical trials of Mereo’s current product candidates may not meet the level of statistical or clinical significance required by the applicable regulatory authorities for marketing approval;</w:t>
      </w:r>
    </w:p>
    <w:p>
      <w:pPr>
        <w:spacing w:after="0" w:line="68" w:lineRule="exact"/>
        <w:rPr>
          <w:rFonts w:ascii="Arial" w:cs="Arial" w:eastAsia="Arial" w:hAnsi="Arial"/>
          <w:sz w:val="17"/>
          <w:szCs w:val="17"/>
          <w:color w:val="auto"/>
        </w:rPr>
      </w:pPr>
    </w:p>
    <w:p>
      <w:pPr>
        <w:ind w:left="1260" w:right="100" w:hanging="415"/>
        <w:spacing w:after="0" w:line="284"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applicable regulatory authorities may disagree with the number, design, size, conduct, or implementation of Mereo’s planned and future clinical trials for its current product candidates;</w:t>
      </w:r>
    </w:p>
    <w:p>
      <w:pPr>
        <w:spacing w:after="0" w:line="68" w:lineRule="exact"/>
        <w:rPr>
          <w:rFonts w:ascii="Arial" w:cs="Arial" w:eastAsia="Arial" w:hAnsi="Arial"/>
          <w:sz w:val="17"/>
          <w:szCs w:val="17"/>
          <w:color w:val="auto"/>
        </w:rPr>
      </w:pPr>
    </w:p>
    <w:p>
      <w:pPr>
        <w:ind w:left="1260" w:right="560" w:hanging="415"/>
        <w:spacing w:after="0" w:line="284"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contract research organizations (“CROs”), that Mereo retains to conduct clinical trials may take actions outside of its control that materially adversely impact clinical trials for its current product candidates;</w:t>
      </w:r>
    </w:p>
    <w:p>
      <w:pPr>
        <w:spacing w:after="0" w:line="68" w:lineRule="exact"/>
        <w:rPr>
          <w:rFonts w:ascii="Arial" w:cs="Arial" w:eastAsia="Arial" w:hAnsi="Arial"/>
          <w:sz w:val="17"/>
          <w:szCs w:val="17"/>
          <w:color w:val="auto"/>
        </w:rPr>
      </w:pPr>
    </w:p>
    <w:p>
      <w:pPr>
        <w:ind w:left="1260" w:right="80" w:hanging="415"/>
        <w:spacing w:after="0" w:line="284"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applicable regulatory authorities may not find the data from clinical trials sufficient to demonstrate that the clinical and other benefits of Mereo’s current product candidates outweigh its safety risks;</w:t>
      </w:r>
    </w:p>
    <w:p>
      <w:pPr>
        <w:spacing w:after="0" w:line="68" w:lineRule="exact"/>
        <w:rPr>
          <w:rFonts w:ascii="Arial" w:cs="Arial" w:eastAsia="Arial" w:hAnsi="Arial"/>
          <w:sz w:val="17"/>
          <w:szCs w:val="17"/>
          <w:color w:val="auto"/>
        </w:rPr>
      </w:pPr>
    </w:p>
    <w:p>
      <w:pPr>
        <w:ind w:left="1260" w:right="440" w:hanging="415"/>
        <w:spacing w:after="0" w:line="284" w:lineRule="auto"/>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applicable regulatory authorities may disagree with Mereo’s interpretation of data from its clinical trials or may require that Mereo conduct additional trials;</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applicable regulatory authorities may not accept data generated at Mereo’s clinical trial sites;</w:t>
      </w:r>
    </w:p>
    <w:p>
      <w:pPr>
        <w:spacing w:after="0" w:line="1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80"/>
          </w:cols>
          <w:pgMar w:left="240" w:top="445" w:right="6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80" w:hanging="415"/>
        <w:spacing w:after="0" w:line="264"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Mereo submits a BLA or NDA to the FDA, and it is reviewed by an advisory committee, the FDA may have difficulties scheduling an advisory committee meeting in a timely manner or the advisory committee may recommend against approval of Mereo’s application or may recommend that the FDA require, as a condition of approval, additional pre-clinical studies or clinical trials, limitations on approved labeling, or distribution and use restrictions;</w:t>
      </w:r>
    </w:p>
    <w:p>
      <w:pPr>
        <w:spacing w:after="0" w:line="85" w:lineRule="exact"/>
        <w:rPr>
          <w:rFonts w:ascii="Arial" w:cs="Arial" w:eastAsia="Arial" w:hAnsi="Arial"/>
          <w:sz w:val="17"/>
          <w:szCs w:val="17"/>
          <w:color w:val="auto"/>
        </w:rPr>
      </w:pPr>
    </w:p>
    <w:p>
      <w:pPr>
        <w:ind w:left="1260" w:right="360" w:hanging="415"/>
        <w:spacing w:after="0" w:line="284"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applicable regulatory authorities may require development of a risk evaluation and mitigation strategy (a “REMS”) as a condition of approval;</w:t>
      </w:r>
    </w:p>
    <w:p>
      <w:pPr>
        <w:spacing w:after="0" w:line="68" w:lineRule="exact"/>
        <w:rPr>
          <w:rFonts w:ascii="Arial" w:cs="Arial" w:eastAsia="Arial" w:hAnsi="Arial"/>
          <w:sz w:val="17"/>
          <w:szCs w:val="17"/>
          <w:color w:val="auto"/>
        </w:rPr>
      </w:pPr>
    </w:p>
    <w:p>
      <w:pPr>
        <w:ind w:left="1260" w:right="880" w:hanging="415"/>
        <w:spacing w:after="0" w:line="284"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applicable regulatory authorities may identify deficiencies in the manufacturing processes or facilities of Mereo’s third-party manufacturers;</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applicable regulatory authorities may change its approval policies or adopt new regulations;</w:t>
      </w:r>
    </w:p>
    <w:p>
      <w:pPr>
        <w:spacing w:after="0" w:line="128" w:lineRule="exact"/>
        <w:rPr>
          <w:rFonts w:ascii="Arial" w:cs="Arial" w:eastAsia="Arial" w:hAnsi="Arial"/>
          <w:sz w:val="17"/>
          <w:szCs w:val="17"/>
          <w:color w:val="auto"/>
        </w:rPr>
      </w:pPr>
    </w:p>
    <w:p>
      <w:pPr>
        <w:ind w:left="1260" w:right="120" w:hanging="415"/>
        <w:spacing w:after="0" w:line="284" w:lineRule="auto"/>
        <w:tabs>
          <w:tab w:leader="none" w:pos="1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through Mereo’s clinical trials, Mereo may discover factors that limit the commercial viability of its current product candidates or make the commercialization of any of its current product candidates unfeasible; and</w:t>
      </w:r>
    </w:p>
    <w:p>
      <w:pPr>
        <w:spacing w:after="0" w:line="68" w:lineRule="exact"/>
        <w:rPr>
          <w:rFonts w:ascii="Arial" w:cs="Arial" w:eastAsia="Arial" w:hAnsi="Arial"/>
          <w:sz w:val="17"/>
          <w:szCs w:val="17"/>
          <w:color w:val="auto"/>
        </w:rPr>
      </w:pPr>
    </w:p>
    <w:p>
      <w:pPr>
        <w:ind w:left="1260" w:right="180" w:hanging="415"/>
        <w:spacing w:after="0" w:line="285" w:lineRule="auto"/>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approved, acceptance of Mereo’s current product candidates by patients, the medical community, and third-party payors; Mereo’s ability to compete with other therapies to treat OI, AATD, acute exacerbations of chronic obstructive pulmonary disease (“AECOPD”), hypogonadotropic hypogonadism (“HH”) or ovarian cancer; continued acceptable safety profiles following approval of its current product candidates; and Mereo’s ability to qualify for, maintain, enforce, and defend Mereo’s intellectual property rights and claims.</w:t>
      </w:r>
    </w:p>
    <w:p>
      <w:pPr>
        <w:spacing w:after="0" w:line="162" w:lineRule="exact"/>
        <w:rPr>
          <w:sz w:val="20"/>
          <w:szCs w:val="20"/>
          <w:color w:val="auto"/>
        </w:rPr>
      </w:pPr>
    </w:p>
    <w:p>
      <w:pPr>
        <w:ind w:left="440" w:right="300" w:firstLine="423"/>
        <w:spacing w:after="0" w:line="284" w:lineRule="auto"/>
        <w:rPr>
          <w:sz w:val="20"/>
          <w:szCs w:val="20"/>
          <w:color w:val="auto"/>
        </w:rPr>
      </w:pPr>
      <w:r>
        <w:rPr>
          <w:rFonts w:ascii="Arial" w:cs="Arial" w:eastAsia="Arial" w:hAnsi="Arial"/>
          <w:sz w:val="17"/>
          <w:szCs w:val="17"/>
          <w:color w:val="auto"/>
        </w:rPr>
        <w:t>If Mereo does not achieve one or more of these factors in a timely manner or at all, it could experience significant delays or may not be able to successfully commercialize its current rare disease product candidates.</w:t>
      </w:r>
    </w:p>
    <w:p>
      <w:pPr>
        <w:spacing w:after="0" w:line="159" w:lineRule="exact"/>
        <w:rPr>
          <w:sz w:val="20"/>
          <w:szCs w:val="20"/>
          <w:color w:val="auto"/>
        </w:rPr>
      </w:pPr>
    </w:p>
    <w:p>
      <w:pPr>
        <w:ind w:left="440" w:right="220" w:firstLine="423"/>
        <w:spacing w:after="0" w:line="279" w:lineRule="auto"/>
        <w:rPr>
          <w:sz w:val="20"/>
          <w:szCs w:val="20"/>
          <w:color w:val="auto"/>
        </w:rPr>
      </w:pPr>
      <w:r>
        <w:rPr>
          <w:rFonts w:ascii="Arial" w:cs="Arial" w:eastAsia="Arial" w:hAnsi="Arial"/>
          <w:sz w:val="16"/>
          <w:szCs w:val="16"/>
          <w:color w:val="auto"/>
        </w:rPr>
        <w:t>Mereo cannot be certain that its current product candidates will be successful in clinical trials or receive regulatory approval. Further, Mereo’s current product candidates may not receive regulatory approval even if they are successful in clinical trials. If Mereo does not receive regulatory approvals for its current product candidates, it may not be able to continue its operations. Even if Mereo successfully obtains regulatory approvals to manufacture and market its current product candidates, its revenues will be dependent, in part, upon the size of the markets in the territories for which Mereo gains regulatory approval and has commercial rights. If the markets for patient subsets that Mereo is targeting are not as significant as it estimates, Mereo may not generate significant revenues from sales of such products, if approved.</w:t>
      </w:r>
    </w:p>
    <w:p>
      <w:pPr>
        <w:spacing w:after="0" w:line="167"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Mereo plans to seek regulatory approval to commercialize its current rare disease product candidates both in the United States and the European Union (“EU”), and potentially in additional foreign countries. While the scope of regulatory approval is similar in many countries, to obtain separate regulatory approval in multiple countries requires Mereo to comply with the numerous and varying regulatory requirements of such countries regarding safety and efficacy and governing, among other things, clinical trials and commercial sales, pricing and distribution, and Mereo cannot predict success in these jurisdictions.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Mereo’s business is subject to economic, political, regulatory and other risks associated with international operations.</w:t>
      </w:r>
    </w:p>
    <w:p>
      <w:pPr>
        <w:spacing w:after="0" w:line="219" w:lineRule="exact"/>
        <w:rPr>
          <w:sz w:val="20"/>
          <w:szCs w:val="20"/>
          <w:color w:val="auto"/>
        </w:rPr>
      </w:pPr>
    </w:p>
    <w:p>
      <w:pPr>
        <w:ind w:left="440" w:right="60" w:firstLine="423"/>
        <w:spacing w:after="0" w:line="264" w:lineRule="auto"/>
        <w:rPr>
          <w:sz w:val="20"/>
          <w:szCs w:val="20"/>
          <w:color w:val="auto"/>
        </w:rPr>
      </w:pPr>
      <w:r>
        <w:rPr>
          <w:rFonts w:ascii="Arial" w:cs="Arial" w:eastAsia="Arial" w:hAnsi="Arial"/>
          <w:sz w:val="17"/>
          <w:szCs w:val="17"/>
          <w:color w:val="auto"/>
        </w:rPr>
        <w:t>Mereo’s business is subject to risks associated with conducting business internationally. Mereo sources research and development, manufacturing, consulting, and other services from companies based throughout the United States, the EU, and Switzerland, and Mereo conducts its clinical trials in the United States, Canada, certain European countries, and other countries. Accordingly, Mereo’s future results could be harmed by a variety of factors, including:</w:t>
      </w:r>
    </w:p>
    <w:p>
      <w:pPr>
        <w:spacing w:after="0" w:line="85" w:lineRule="exact"/>
        <w:rPr>
          <w:sz w:val="20"/>
          <w:szCs w:val="20"/>
          <w:color w:val="auto"/>
        </w:rPr>
      </w:pPr>
    </w:p>
    <w:p>
      <w:pPr>
        <w:ind w:left="1260" w:hanging="415"/>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non-U.K. economies and markets;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differing regulatory requirements for drug approvals in non-U.K. countries;</w:t>
      </w:r>
    </w:p>
    <w:p>
      <w:pPr>
        <w:spacing w:after="0" w:line="128" w:lineRule="exact"/>
        <w:rPr>
          <w:rFonts w:ascii="Arial" w:cs="Arial" w:eastAsia="Arial" w:hAnsi="Arial"/>
          <w:sz w:val="17"/>
          <w:szCs w:val="17"/>
          <w:color w:val="auto"/>
        </w:rPr>
      </w:pPr>
    </w:p>
    <w:p>
      <w:pPr>
        <w:ind w:left="1260" w:right="460" w:hanging="415"/>
        <w:spacing w:after="0" w:line="284"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differing jurisdictions could present different issues for securing, maintaining, or obtaining freedom to operate for Mereo’s intellectual property in such jurisdictions;</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000"/>
          </w:cols>
          <w:pgMar w:left="240" w:top="445" w:right="6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hanging="4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potentially reduced protection for intellectual property rights;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compliance with non-U.K. laws and regulations;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non-U.K. regulations and customs, tariffs, and trade barriers;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non-U.K. currency exchange rates of the pound sterling and currency controls;</w:t>
      </w:r>
    </w:p>
    <w:p>
      <w:pPr>
        <w:spacing w:after="0" w:line="128" w:lineRule="exact"/>
        <w:rPr>
          <w:rFonts w:ascii="Arial" w:cs="Arial" w:eastAsia="Arial" w:hAnsi="Arial"/>
          <w:sz w:val="17"/>
          <w:szCs w:val="17"/>
          <w:color w:val="auto"/>
        </w:rPr>
      </w:pPr>
    </w:p>
    <w:p>
      <w:pPr>
        <w:ind w:left="1260" w:right="740" w:hanging="415"/>
        <w:spacing w:after="0" w:line="284"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environment, including the implications of the United Kingdom’s withdrawal from the EU;</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U.K. or non-U.K. governments;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differing reimbursement regimes and price controls in certain non-U.K. markets;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negative consequences from changes in tax laws;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outside of the United Kingdom;</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Kingdom;</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associated with staffing and managing international operations, including differing labor relations;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128" w:lineRule="exact"/>
        <w:rPr>
          <w:rFonts w:ascii="Arial" w:cs="Arial" w:eastAsia="Arial" w:hAnsi="Arial"/>
          <w:sz w:val="17"/>
          <w:szCs w:val="17"/>
          <w:color w:val="auto"/>
        </w:rPr>
      </w:pPr>
    </w:p>
    <w:p>
      <w:pPr>
        <w:ind w:left="1260" w:right="20" w:hanging="415"/>
        <w:spacing w:after="0" w:line="284" w:lineRule="auto"/>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or natural disasters including earthquakes, typhoons, hurricanes, floods, and fires.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Exchange rate fluctuations may materially affect Mereo’s results of operations and financial condition.</w:t>
      </w:r>
    </w:p>
    <w:p>
      <w:pPr>
        <w:spacing w:after="0" w:line="219" w:lineRule="exact"/>
        <w:rPr>
          <w:sz w:val="20"/>
          <w:szCs w:val="20"/>
          <w:color w:val="auto"/>
        </w:rPr>
      </w:pPr>
    </w:p>
    <w:p>
      <w:pPr>
        <w:ind w:left="440" w:firstLine="423"/>
        <w:spacing w:after="0" w:line="281" w:lineRule="auto"/>
        <w:rPr>
          <w:sz w:val="20"/>
          <w:szCs w:val="20"/>
          <w:color w:val="auto"/>
        </w:rPr>
      </w:pPr>
      <w:r>
        <w:rPr>
          <w:rFonts w:ascii="Arial" w:cs="Arial" w:eastAsia="Arial" w:hAnsi="Arial"/>
          <w:sz w:val="16"/>
          <w:szCs w:val="16"/>
          <w:color w:val="auto"/>
        </w:rPr>
        <w:t>Owing to the international scope of Mereo’s operations, fluctuations in exchange rates, particularly between the pound sterling and the U.S. dollar, the euro, or the Swiss Franc, may adversely affect Mereo. Further, potential future revenue may be derived from multiple jurisdictions and in multiple currencies. As a result, Mereo’s business and the price of our ADSs and ordinary shares may be affected by fluctuations in foreign exchange rates not only between the pound sterling and the U.S. dollar, but also the currencies of other countries, which may have a significant impact on its results of operations and cash flows from period to period. Currently, Mereo does not have any exchange rate hedging arrangements in place.</w:t>
      </w:r>
    </w:p>
    <w:p>
      <w:pPr>
        <w:spacing w:after="0" w:line="166" w:lineRule="exact"/>
        <w:rPr>
          <w:sz w:val="20"/>
          <w:szCs w:val="20"/>
          <w:color w:val="auto"/>
        </w:rPr>
      </w:pPr>
    </w:p>
    <w:p>
      <w:pPr>
        <w:ind w:left="640" w:right="560"/>
        <w:spacing w:after="0" w:line="284" w:lineRule="auto"/>
        <w:rPr>
          <w:sz w:val="20"/>
          <w:szCs w:val="20"/>
          <w:color w:val="auto"/>
        </w:rPr>
      </w:pPr>
      <w:r>
        <w:rPr>
          <w:rFonts w:ascii="Arial" w:cs="Arial" w:eastAsia="Arial" w:hAnsi="Arial"/>
          <w:sz w:val="17"/>
          <w:szCs w:val="17"/>
          <w:b w:val="1"/>
          <w:bCs w:val="1"/>
          <w:i w:val="1"/>
          <w:iCs w:val="1"/>
          <w:color w:val="auto"/>
        </w:rPr>
        <w:t>The United Kingdom’s withdrawal from the EU may have a negative effect on global economic conditions, financial markets and Mereo’s business, which could reduce the price of our ADSs.</w:t>
      </w:r>
    </w:p>
    <w:p>
      <w:pPr>
        <w:spacing w:after="0" w:line="159" w:lineRule="exact"/>
        <w:rPr>
          <w:sz w:val="20"/>
          <w:szCs w:val="20"/>
          <w:color w:val="auto"/>
        </w:rPr>
      </w:pPr>
    </w:p>
    <w:p>
      <w:pPr>
        <w:ind w:left="440" w:right="40" w:firstLine="423"/>
        <w:spacing w:after="0" w:line="276" w:lineRule="auto"/>
        <w:rPr>
          <w:sz w:val="20"/>
          <w:szCs w:val="20"/>
          <w:color w:val="auto"/>
        </w:rPr>
      </w:pPr>
      <w:r>
        <w:rPr>
          <w:rFonts w:ascii="Arial" w:cs="Arial" w:eastAsia="Arial" w:hAnsi="Arial"/>
          <w:sz w:val="16"/>
          <w:szCs w:val="16"/>
          <w:color w:val="auto"/>
        </w:rPr>
        <w:t>The United Kingdom’s planned exit from membership in the EU (“Brexit”) could have a negative effect on global economic conditions and financial markets. Economic and financial conditions, including currency exchange rates, in Europe and the United Kingdom have been affected, and may be further adversely affected, by Brexit. The process of negotiation expected to determine the future terms of the United Kingdom’s relationship with the EU, including whether the United Kingdom will be able to continue to benefit from the EU’s free trade and similar agreements, is still ongoing. A withdrawal agreement that was negotiated in 2018 between the EU and the United Kingdom’s government was rejected by the UK parliament on three occasions in early 2019. In April 2019, the EU and the UK government agreed, and the EU member states thereafter approved, to extend the United Kingdom’s departure date from the EU until October 31, 2019. Further uncertainty regarding the timing of the United Kingdom’s withdrawal from the EU could adversely impact Mereo’s business, which could reduce the price of our ADSs.</w:t>
      </w:r>
    </w:p>
    <w:p>
      <w:pPr>
        <w:spacing w:after="0" w:line="172" w:lineRule="exact"/>
        <w:rPr>
          <w:sz w:val="20"/>
          <w:szCs w:val="20"/>
          <w:color w:val="auto"/>
        </w:rPr>
      </w:pPr>
    </w:p>
    <w:p>
      <w:pPr>
        <w:ind w:left="440" w:right="460" w:firstLine="423"/>
        <w:spacing w:after="0" w:line="269" w:lineRule="auto"/>
        <w:rPr>
          <w:sz w:val="20"/>
          <w:szCs w:val="20"/>
          <w:color w:val="auto"/>
        </w:rPr>
      </w:pPr>
      <w:r>
        <w:rPr>
          <w:rFonts w:ascii="Arial" w:cs="Arial" w:eastAsia="Arial" w:hAnsi="Arial"/>
          <w:sz w:val="17"/>
          <w:szCs w:val="17"/>
          <w:color w:val="auto"/>
        </w:rPr>
        <w:t>Depending on the terms of Brexit, particularly after a possible transition period or as a result of a no-deal Brexit, economic conditions in the United Kingdom, the EU and global markets, including currency markets, may be adversely affected by reduced growth and increased volatility, especially if Brexit results in increased trade barriers in</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80"/>
          </w:cols>
          <w:pgMar w:left="240" w:top="445" w:right="6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360"/>
        <w:spacing w:after="0" w:line="269" w:lineRule="auto"/>
        <w:rPr>
          <w:sz w:val="20"/>
          <w:szCs w:val="20"/>
          <w:color w:val="auto"/>
        </w:rPr>
      </w:pPr>
      <w:r>
        <w:rPr>
          <w:rFonts w:ascii="Arial" w:cs="Arial" w:eastAsia="Arial" w:hAnsi="Arial"/>
          <w:sz w:val="17"/>
          <w:szCs w:val="17"/>
          <w:color w:val="auto"/>
        </w:rPr>
        <w:t>the European market. Further uncertainty during and after the Brexit negotiation period is also expected to have a negative economic impact, particularly on consumer spending and capital investments, and increase market volatility, particularly in Europe. Any of these factors could have a significant adverse effect on Mereo’s business, financial condition, results of operations, and prospects.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Development, Clinical Testing, Manufacturing and Regulatory Approval</w:t>
      </w:r>
    </w:p>
    <w:p>
      <w:pPr>
        <w:spacing w:after="0" w:line="225" w:lineRule="exact"/>
        <w:rPr>
          <w:sz w:val="20"/>
          <w:szCs w:val="20"/>
          <w:color w:val="auto"/>
        </w:rPr>
      </w:pPr>
    </w:p>
    <w:p>
      <w:pPr>
        <w:ind w:left="640" w:right="120"/>
        <w:spacing w:after="0" w:line="261" w:lineRule="auto"/>
        <w:rPr>
          <w:sz w:val="20"/>
          <w:szCs w:val="20"/>
          <w:color w:val="auto"/>
        </w:rPr>
      </w:pPr>
      <w:r>
        <w:rPr>
          <w:rFonts w:ascii="Arial" w:cs="Arial" w:eastAsia="Arial" w:hAnsi="Arial"/>
          <w:sz w:val="17"/>
          <w:szCs w:val="17"/>
          <w:b w:val="1"/>
          <w:bCs w:val="1"/>
          <w:i w:val="1"/>
          <w:iCs w:val="1"/>
          <w:color w:val="auto"/>
        </w:rPr>
        <w:t>BPS-804, MPH-966, BCT-197, BGS-649, OMP-305B83 and OMP-313M32 are in clinical development. Clinical drug development is a lengthy and expensive process with uncertain timelines and uncertain outcomes, and results of earlier studies and trials may not be predictive of future results. If clinical trials of Mereo’s product candidates are prolonged or delayed, or if Mereo’s product candidates fail to show the desired safety and efficacy in later stage clinical trials, Mereo may be unable to obtain required regulatory approvals and be unable to commercialize its product candidates on a timely basis, or at all.</w:t>
      </w:r>
    </w:p>
    <w:p>
      <w:pPr>
        <w:spacing w:after="0" w:line="180" w:lineRule="exact"/>
        <w:rPr>
          <w:sz w:val="20"/>
          <w:szCs w:val="20"/>
          <w:color w:val="auto"/>
        </w:rPr>
      </w:pPr>
    </w:p>
    <w:p>
      <w:pPr>
        <w:ind w:left="440" w:right="40" w:firstLine="423"/>
        <w:spacing w:after="0" w:line="278" w:lineRule="auto"/>
        <w:rPr>
          <w:sz w:val="20"/>
          <w:szCs w:val="20"/>
          <w:color w:val="auto"/>
        </w:rPr>
      </w:pPr>
      <w:r>
        <w:rPr>
          <w:rFonts w:ascii="Arial" w:cs="Arial" w:eastAsia="Arial" w:hAnsi="Arial"/>
          <w:sz w:val="16"/>
          <w:szCs w:val="16"/>
          <w:color w:val="auto"/>
        </w:rPr>
        <w:t>To obtain the requisite regulatory approvals to market and sell any of Mereo’s product candidates, Mereo must demonstrate through extensive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Mereo’s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Mereo’s future clinical trial results may not be successful.</w:t>
      </w:r>
    </w:p>
    <w:p>
      <w:pPr>
        <w:spacing w:after="0" w:line="166"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Mereo may experience delays in its ongoing clinical trials and does not know whether planned clinical trials will begin on time, need to be redesigned, enroll patients on time or be completed on schedule, if at all. Mereo’s clinical trials can be delayed, suspended, or terminated for a variety of reasons, including the following:</w:t>
      </w:r>
    </w:p>
    <w:p>
      <w:pPr>
        <w:spacing w:after="0" w:line="81" w:lineRule="exact"/>
        <w:rPr>
          <w:sz w:val="20"/>
          <w:szCs w:val="20"/>
          <w:color w:val="auto"/>
        </w:rPr>
      </w:pPr>
    </w:p>
    <w:p>
      <w:pPr>
        <w:ind w:left="1260" w:right="380" w:hanging="415"/>
        <w:spacing w:after="0" w:line="284" w:lineRule="auto"/>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or failure to obtain regulatory or ethics committee approval to commence a trial, for example, if Mereo is unable to submit its proposed protocol to the FDA for a pediatric clinical trial for BPS-804;</w:t>
      </w:r>
    </w:p>
    <w:p>
      <w:pPr>
        <w:spacing w:after="0" w:line="68" w:lineRule="exact"/>
        <w:rPr>
          <w:rFonts w:ascii="Arial" w:cs="Arial" w:eastAsia="Arial" w:hAnsi="Arial"/>
          <w:sz w:val="17"/>
          <w:szCs w:val="17"/>
          <w:color w:val="auto"/>
        </w:rPr>
      </w:pPr>
    </w:p>
    <w:p>
      <w:pPr>
        <w:ind w:left="1260" w:right="60" w:hanging="415"/>
        <w:spacing w:after="0" w:line="284" w:lineRule="auto"/>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68" w:lineRule="exact"/>
        <w:rPr>
          <w:rFonts w:ascii="Arial" w:cs="Arial" w:eastAsia="Arial" w:hAnsi="Arial"/>
          <w:sz w:val="17"/>
          <w:szCs w:val="17"/>
          <w:color w:val="auto"/>
        </w:rPr>
      </w:pPr>
    </w:p>
    <w:p>
      <w:pPr>
        <w:ind w:left="1260" w:right="400" w:hanging="415"/>
        <w:spacing w:after="0" w:line="284" w:lineRule="auto"/>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of Mereo’s CROs to execute its trials in accordance with the clinical trial protocol; good laboratory, clinical, and manufacturing practices (“GxP”); or other regulatory or contractual obligations;</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or failure to obtain institutional review board (“IRB”) approval, centrally or at each site;</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in or failure to recruit suitable patients to participate in a trial;</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to have patients complete a trial or return for post-treatment follow-up;</w:t>
      </w:r>
    </w:p>
    <w:p>
      <w:pPr>
        <w:spacing w:after="0" w:line="128" w:lineRule="exact"/>
        <w:rPr>
          <w:rFonts w:ascii="Arial" w:cs="Arial" w:eastAsia="Arial" w:hAnsi="Arial"/>
          <w:sz w:val="17"/>
          <w:szCs w:val="17"/>
          <w:color w:val="auto"/>
        </w:rPr>
      </w:pPr>
    </w:p>
    <w:p>
      <w:pPr>
        <w:ind w:left="1260" w:hanging="415"/>
        <w:spacing w:after="0" w:line="264" w:lineRule="auto"/>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Mereo’s rare disease product candidates, failure to enroll a sufficient number of patients with the rare disease and clinical trial design challenges such as, but not limited to, the off-label use of drugs to treat rare disease or where the most common treatment method has not been clinically tested or has been approved on the basis of a different endpoint and not directly tied to a clinical outcome study, for example, augmentation therapy for AATD;</w:t>
      </w:r>
    </w:p>
    <w:p>
      <w:pPr>
        <w:spacing w:after="0" w:line="85" w:lineRule="exact"/>
        <w:rPr>
          <w:rFonts w:ascii="Arial" w:cs="Arial" w:eastAsia="Arial" w:hAnsi="Arial"/>
          <w:sz w:val="17"/>
          <w:szCs w:val="17"/>
          <w:color w:val="auto"/>
        </w:rPr>
      </w:pPr>
    </w:p>
    <w:p>
      <w:pPr>
        <w:ind w:left="1260" w:hanging="415"/>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clinical sites deviating from trial protocol or dropping out of a trial or committing gross misconduct or fraud;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adding new clinical trial sites;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unexpected technical issues during manufacture, storage, or transport of Mereo’s product candidates and the corresponding drug product;</w:t>
      </w:r>
    </w:p>
    <w:p>
      <w:pPr>
        <w:spacing w:after="0" w:line="151" w:lineRule="exact"/>
        <w:rPr>
          <w:rFonts w:ascii="Arial" w:cs="Arial" w:eastAsia="Arial" w:hAnsi="Arial"/>
          <w:sz w:val="15"/>
          <w:szCs w:val="15"/>
          <w:color w:val="auto"/>
        </w:rPr>
      </w:pPr>
    </w:p>
    <w:p>
      <w:pPr>
        <w:ind w:left="1260" w:hanging="415"/>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inability to manufacture sufficient quantities of Mereo’s product candidates for use in clinical trials;</w:t>
      </w:r>
    </w:p>
    <w:p>
      <w:pPr>
        <w:spacing w:after="0" w:line="15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60"/>
          </w:cols>
          <w:pgMar w:left="240" w:top="445" w:right="69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hanging="415"/>
        <w:spacing w:after="0" w:line="284" w:lineRule="auto"/>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actions claiming infringement by Mereo’s product candidates in clinical trials inside or outside of the United States and obtaining injunctions interfering with Mereo’s progress;</w:t>
      </w:r>
    </w:p>
    <w:p>
      <w:pPr>
        <w:spacing w:after="0" w:line="68" w:lineRule="exact"/>
        <w:rPr>
          <w:rFonts w:ascii="Arial" w:cs="Arial" w:eastAsia="Arial" w:hAnsi="Arial"/>
          <w:sz w:val="17"/>
          <w:szCs w:val="17"/>
          <w:color w:val="auto"/>
        </w:rPr>
      </w:pPr>
    </w:p>
    <w:p>
      <w:pPr>
        <w:ind w:left="1260" w:right="20" w:hanging="415"/>
        <w:spacing w:after="0" w:line="284" w:lineRule="auto"/>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or natural disasters including earthquakes, typhoons, hurricanes, floods, and fires;</w:t>
      </w:r>
    </w:p>
    <w:p>
      <w:pPr>
        <w:spacing w:after="0" w:line="68" w:lineRule="exact"/>
        <w:rPr>
          <w:rFonts w:ascii="Arial" w:cs="Arial" w:eastAsia="Arial" w:hAnsi="Arial"/>
          <w:sz w:val="17"/>
          <w:szCs w:val="17"/>
          <w:color w:val="auto"/>
        </w:rPr>
      </w:pPr>
    </w:p>
    <w:p>
      <w:pPr>
        <w:ind w:left="1260" w:right="160" w:hanging="415"/>
        <w:spacing w:after="0" w:line="284" w:lineRule="auto"/>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safety or tolerability concerns causing Mereo or its collaborators, as applicable, to suspend or terminate a trial if Mereo or its collaborators find that the participants are being exposed to unacceptable health risks;</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regulatory requirements, policies, and guidelines;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lower than anticipated retention rates of patients and healthy volunteers in clinical trials;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unexpected technical issues with the equipment used to conduct clinical trials or analyze the results;</w:t>
      </w:r>
    </w:p>
    <w:p>
      <w:pPr>
        <w:spacing w:after="0" w:line="128" w:lineRule="exact"/>
        <w:rPr>
          <w:rFonts w:ascii="Arial" w:cs="Arial" w:eastAsia="Arial" w:hAnsi="Arial"/>
          <w:sz w:val="17"/>
          <w:szCs w:val="17"/>
          <w:color w:val="auto"/>
        </w:rPr>
      </w:pPr>
    </w:p>
    <w:p>
      <w:pPr>
        <w:ind w:left="1260" w:right="140" w:hanging="415"/>
        <w:spacing w:after="0" w:line="284" w:lineRule="auto"/>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Mereo’s third-party research contractors failing to comply with regulatory requirements or to meet its contractual obligations to Mereo in a timely manner, or at all;</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establishing the appropriate dosage levels or frequency of dosing or treatment in clinical trials;</w:t>
      </w:r>
    </w:p>
    <w:p>
      <w:pPr>
        <w:spacing w:after="0" w:line="128" w:lineRule="exact"/>
        <w:rPr>
          <w:rFonts w:ascii="Arial" w:cs="Arial" w:eastAsia="Arial" w:hAnsi="Arial"/>
          <w:sz w:val="17"/>
          <w:szCs w:val="17"/>
          <w:color w:val="auto"/>
        </w:rPr>
      </w:pPr>
    </w:p>
    <w:p>
      <w:pPr>
        <w:ind w:left="1260" w:right="160" w:hanging="415"/>
        <w:spacing w:after="0" w:line="284" w:lineRule="auto"/>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difficulty in identifying the populations that Mereo is trying to treat in a particular trial, which may delay enrollment and reduce the power of a clinical trial to detect statistically significant results;</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quality or stability of Mereo’s product candidates falling below acceptable standards for either safety or efficacy;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discoveries that may reduce the commercial viability of Mereo’s product candidates.</w:t>
      </w:r>
    </w:p>
    <w:p>
      <w:pPr>
        <w:spacing w:after="0" w:line="219"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Mereo could encounter delays if a clinical trial is suspended or terminated by it, by the IRBs, centrally or at the institutions in which such trials are being conducted, by the data monitoring committee or data safety monitoring board for such trial or by the FDA, the EMA, or other regulatory authorities. Such authorities may impose such a suspension or termination due to a number of factors, including failure to conduct the clinical trial in accordance with regulatory requirements or Mereo’s clinical protocols; inspection of the clinical trial operations or trial site by the FDA, the EMA, or other regulatory authorities resulting in the imposition of a clinical hold; unforeseen safety issues or adverse side effects; failure to demonstrate a benefit from using a drug; failure of Mereo’s clinical trials to demonstrate adequate efficacy and safety; changes in governmental regulations or administrative actions; or lack of adequate funding to continue the clinical trial.</w:t>
      </w:r>
    </w:p>
    <w:p>
      <w:pPr>
        <w:spacing w:after="0" w:line="181" w:lineRule="exact"/>
        <w:rPr>
          <w:sz w:val="20"/>
          <w:szCs w:val="20"/>
          <w:color w:val="auto"/>
        </w:rPr>
      </w:pPr>
    </w:p>
    <w:p>
      <w:pPr>
        <w:ind w:left="440" w:right="40" w:firstLine="423"/>
        <w:spacing w:after="0" w:line="258" w:lineRule="auto"/>
        <w:rPr>
          <w:sz w:val="20"/>
          <w:szCs w:val="20"/>
          <w:color w:val="auto"/>
        </w:rPr>
      </w:pPr>
      <w:r>
        <w:rPr>
          <w:rFonts w:ascii="Arial" w:cs="Arial" w:eastAsia="Arial" w:hAnsi="Arial"/>
          <w:sz w:val="17"/>
          <w:szCs w:val="17"/>
          <w:color w:val="auto"/>
        </w:rPr>
        <w:t>A number of academic institutions are currently conducting and sponsoring clinical trials relating to Mereo’s product candidate, MPH-966, including a clinical trial in patients with type 2 diabetes and a clinical trial in patients with bronchiolitis obliterans. Mereo does not control the design or administration of these investigator-sponsored trials, and such investigator-sponsored trials could identify significant concerns with respect to MPH-966 that could impact Mereo’s findings from its own clinical trials, and adversely affect Mereo’s ability to obtain marketing approval from the FDA or other applicable authorities. To the extent the results of these or other investigator-sponsored trials are inconsistent with, or different from, the results of Mereo’s company-sponsored trials or raise concerns regarding MPH-966, the FDA or a foreign regulatory authority may question the results of a company-sponsored trial, or subject such results to greater scrutiny than it otherwise would. In these circumstances, the FDA or such foreign regulatory authorities may require Mereo to conduct additional clinical studies or submit additional clinical data, which could delay clinical development or marketing approval of MPH-966.</w:t>
      </w:r>
    </w:p>
    <w:p>
      <w:pPr>
        <w:spacing w:after="0" w:line="181" w:lineRule="exact"/>
        <w:rPr>
          <w:sz w:val="20"/>
          <w:szCs w:val="20"/>
          <w:color w:val="auto"/>
        </w:rPr>
      </w:pPr>
    </w:p>
    <w:p>
      <w:pPr>
        <w:ind w:left="440" w:right="40" w:firstLine="423"/>
        <w:spacing w:after="0" w:line="299" w:lineRule="auto"/>
        <w:rPr>
          <w:sz w:val="20"/>
          <w:szCs w:val="20"/>
          <w:color w:val="auto"/>
        </w:rPr>
      </w:pPr>
      <w:r>
        <w:rPr>
          <w:rFonts w:ascii="Arial" w:cs="Arial" w:eastAsia="Arial" w:hAnsi="Arial"/>
          <w:sz w:val="15"/>
          <w:szCs w:val="15"/>
          <w:color w:val="auto"/>
        </w:rPr>
        <w:t>Moreover, principal investigators for Mereo’s clinical trials may serve as scientific advisors or consultants to Mereo from time to time and receive compensation in connection with such services. Under certain circumstances, Mereo may be required to report some of these relationships to the FDA, the EMA, or another regulatory authority. The FDA, the EMA, or such other regulatory authority may conclude that a financial relationship between Mereo and a principal investigator has created a conflict of interest or otherwise affected interpretation of the study. The FDA, the EMA, or such other regulatory authority may therefore question the integrity of the data generated at the applicable clinical trial site and the utility of the clinical trial itself may be jeopardized. This could result in a delay in approval, or rejection, of Mereo’s marketing applications by the FDA, the EMA, or the other regulatory authority, as the case may be, and may ultimately lead to the denial of marketing approval of Mereo’s product candidates.</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80"/>
          </w:cols>
          <w:pgMar w:left="240" w:top="445" w:right="6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firstLine="423"/>
        <w:spacing w:after="0" w:line="258" w:lineRule="auto"/>
        <w:rPr>
          <w:sz w:val="20"/>
          <w:szCs w:val="20"/>
          <w:color w:val="auto"/>
        </w:rPr>
      </w:pPr>
      <w:r>
        <w:rPr>
          <w:rFonts w:ascii="Arial" w:cs="Arial" w:eastAsia="Arial" w:hAnsi="Arial"/>
          <w:sz w:val="17"/>
          <w:szCs w:val="17"/>
          <w:color w:val="auto"/>
        </w:rPr>
        <w:t>If Mereo experiences delays in the completion of any clinical trial of its product candidates or any clinical trial of its product candidates is terminated, the commercial prospects of its product candidates may be harmed, and its ability to generate product revenues from its product candidates, if any, will be delayed. Moreover, any delays in completing Mereo’s clinical trials will increase its costs, slow down the development and approval process of its product candidates, and jeopardize its ability to commence product sales and generate revenue, if any. Significant clinical trial delays could also allow Mereo’s competitors to bring products to market before Mereo does or shorten any periods during which Mereo has the exclusive right to commercialize its product candidates and could impair Mereo’s ability to commercialize its product candidates. In addition, many of the factors that cause, or lead to, a delay in the commencement or completion of clinical trials may also ultimately lead to the denial of regulatory approval of Mereo’s product candidates.</w:t>
      </w:r>
    </w:p>
    <w:p>
      <w:pPr>
        <w:spacing w:after="0" w:line="184" w:lineRule="exact"/>
        <w:rPr>
          <w:sz w:val="20"/>
          <w:szCs w:val="20"/>
          <w:color w:val="auto"/>
        </w:rPr>
      </w:pPr>
    </w:p>
    <w:p>
      <w:pPr>
        <w:ind w:left="440" w:right="20" w:firstLine="423"/>
        <w:spacing w:after="0" w:line="274" w:lineRule="auto"/>
        <w:rPr>
          <w:sz w:val="20"/>
          <w:szCs w:val="20"/>
          <w:color w:val="auto"/>
        </w:rPr>
      </w:pPr>
      <w:r>
        <w:rPr>
          <w:rFonts w:ascii="Arial" w:cs="Arial" w:eastAsia="Arial" w:hAnsi="Arial"/>
          <w:sz w:val="16"/>
          <w:szCs w:val="16"/>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centrally or at the institutions where the clinical trials are conducted. In addition, clinical trials must be conducted with supplies of Mereo’s product candidates produced in compliance with the requirements of current good manufacturing practice (“cGMP”) and other regulations. Furthermore, Mereo relies on CROs and clinical trial sites to ensure the proper and timely conduct of its clinical trials and while Mereo has agreements governing the CROs’ committed activities, Mereo has limited influence over the CROs’ actual performance. Mereo depends on its collaborators and on medical institutions and CROs to conduct its clinical trials in compliance with good clinical practice (“GCP”) requirements. To the extent Mereo’s collaborators or the CROs fail to enroll participants for Mereo’s clinical trials, fail to conduct the study to GCP standards, or are delayed for a significant time in the execution of trials, including achieving full enrollment, Mereo may be affected by increased costs, program delays, or both. In addition, clinical trials that are conducted in countries outside the EU and the United States may subject Mereo to further delays and expenses as a result of increased shipment costs, additional regulatory requirements, and the engagement of non-EU and non-U.S. CROs, as well as expose Mereo to risks associated with clinical investigators who are unknown to the FDA or the EMA, and different standards of diagnosis, screening, and medical care.</w:t>
      </w:r>
    </w:p>
    <w:p>
      <w:pPr>
        <w:spacing w:after="0" w:line="173" w:lineRule="exact"/>
        <w:rPr>
          <w:sz w:val="20"/>
          <w:szCs w:val="20"/>
          <w:color w:val="auto"/>
        </w:rPr>
      </w:pPr>
    </w:p>
    <w:p>
      <w:pPr>
        <w:ind w:left="640" w:right="20"/>
        <w:spacing w:after="0" w:line="321" w:lineRule="auto"/>
        <w:rPr>
          <w:sz w:val="20"/>
          <w:szCs w:val="20"/>
          <w:color w:val="auto"/>
        </w:rPr>
      </w:pPr>
      <w:r>
        <w:rPr>
          <w:rFonts w:ascii="Arial" w:cs="Arial" w:eastAsia="Arial" w:hAnsi="Arial"/>
          <w:sz w:val="15"/>
          <w:szCs w:val="15"/>
          <w:b w:val="1"/>
          <w:bCs w:val="1"/>
          <w:i w:val="1"/>
          <w:iCs w:val="1"/>
          <w:color w:val="auto"/>
        </w:rPr>
        <w:t>Prior to Mereo’s acquisition of BPS-804, MPH-966, BCT-197, BGS-649, OMP-305B83 and OMP-313M32, Mereo was not involved in the development of these product candidates and, as a result, Mereo is dependent on Novartis, AstraZeneca and OncoMed having accurately reported the results and correctly collected and interpreted the data from all clinical trials conducted prior to Mereo’s acquisition.</w:t>
      </w:r>
    </w:p>
    <w:p>
      <w:pPr>
        <w:spacing w:after="0" w:line="137" w:lineRule="exact"/>
        <w:rPr>
          <w:sz w:val="20"/>
          <w:szCs w:val="20"/>
          <w:color w:val="auto"/>
        </w:rPr>
      </w:pPr>
    </w:p>
    <w:p>
      <w:pPr>
        <w:ind w:left="440" w:right="40" w:firstLine="423"/>
        <w:spacing w:after="0" w:line="278" w:lineRule="auto"/>
        <w:rPr>
          <w:sz w:val="20"/>
          <w:szCs w:val="20"/>
          <w:color w:val="auto"/>
        </w:rPr>
      </w:pPr>
      <w:r>
        <w:rPr>
          <w:rFonts w:ascii="Arial" w:cs="Arial" w:eastAsia="Arial" w:hAnsi="Arial"/>
          <w:sz w:val="16"/>
          <w:szCs w:val="16"/>
          <w:color w:val="auto"/>
        </w:rPr>
        <w:t>Mereo was not involved in the development of its current product candidates prior to its acquisition of such product candidates from Novartis Pharma AG (“Novartis”), AstraZeneca AB (“AstraZeneca”) and OncoMed, respectively. For all of Mereo’s current product candidates, Mereo has had no involvement with or control over their manufacturing or pre-clinical and clinical development prior to its acquisition of them. Mereo is dependent on Novartis, AstraZeneca and OncoMed having conducted its research and development in accordance with the applicable protocols and legal, regulatory, and scientific standards; having accurately reported the results of all clinical trials conducted prior to Mereo’s acquisition; and having correctly collected and interpreted the data from these trials. To the extent Novartis or AstraZeneca have not complied, the clinical development, regulatory approval, or commercialization of Mereo’s product candidates may be adversely affected.</w:t>
      </w:r>
    </w:p>
    <w:p>
      <w:pPr>
        <w:spacing w:after="0" w:line="166" w:lineRule="exact"/>
        <w:rPr>
          <w:sz w:val="20"/>
          <w:szCs w:val="20"/>
          <w:color w:val="auto"/>
        </w:rPr>
      </w:pPr>
    </w:p>
    <w:p>
      <w:pPr>
        <w:ind w:left="640" w:right="220"/>
        <w:spacing w:after="0" w:line="354" w:lineRule="auto"/>
        <w:rPr>
          <w:sz w:val="20"/>
          <w:szCs w:val="20"/>
          <w:color w:val="auto"/>
        </w:rPr>
      </w:pPr>
      <w:r>
        <w:rPr>
          <w:rFonts w:ascii="Arial" w:cs="Arial" w:eastAsia="Arial" w:hAnsi="Arial"/>
          <w:sz w:val="15"/>
          <w:szCs w:val="15"/>
          <w:b w:val="1"/>
          <w:bCs w:val="1"/>
          <w:i w:val="1"/>
          <w:iCs w:val="1"/>
          <w:color w:val="auto"/>
        </w:rPr>
        <w:t>Interim “top-line” and preliminary data from Mereo’s clinical trials that Mereo announces or publishes from time to time may change as more patient data become available and are subject to audit and verification procedures that could result in material changes in the final data.</w:t>
      </w:r>
    </w:p>
    <w:p>
      <w:pPr>
        <w:spacing w:after="0" w:line="113" w:lineRule="exact"/>
        <w:rPr>
          <w:sz w:val="20"/>
          <w:szCs w:val="20"/>
          <w:color w:val="auto"/>
        </w:rPr>
      </w:pPr>
    </w:p>
    <w:p>
      <w:pPr>
        <w:ind w:left="440" w:right="60" w:firstLine="423"/>
        <w:spacing w:after="0" w:line="304" w:lineRule="auto"/>
        <w:rPr>
          <w:sz w:val="20"/>
          <w:szCs w:val="20"/>
          <w:color w:val="auto"/>
        </w:rPr>
      </w:pPr>
      <w:r>
        <w:rPr>
          <w:rFonts w:ascii="Arial" w:cs="Arial" w:eastAsia="Arial" w:hAnsi="Arial"/>
          <w:sz w:val="15"/>
          <w:szCs w:val="15"/>
          <w:color w:val="auto"/>
        </w:rPr>
        <w:t>From time to time, Mereo may publish interim “top-line” or preliminary data from its clinical trials. Interim data from clinical trials that Mereo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Mereo previously published. As a result, interim and preliminary data should be viewed with caution until the final data are available. Adverse differences between preliminary or interim data and final data could significantly harm Mereo’s business prospects.</w:t>
      </w:r>
    </w:p>
    <w:p>
      <w:pPr>
        <w:spacing w:after="0" w:line="8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000"/>
          </w:cols>
          <w:pgMar w:left="240" w:top="445" w:right="6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right="100"/>
        <w:spacing w:after="0" w:line="338" w:lineRule="auto"/>
        <w:rPr>
          <w:sz w:val="20"/>
          <w:szCs w:val="20"/>
          <w:color w:val="auto"/>
        </w:rPr>
      </w:pPr>
      <w:r>
        <w:rPr>
          <w:rFonts w:ascii="Arial" w:cs="Arial" w:eastAsia="Arial" w:hAnsi="Arial"/>
          <w:sz w:val="14"/>
          <w:szCs w:val="14"/>
          <w:b w:val="1"/>
          <w:bCs w:val="1"/>
          <w:i w:val="1"/>
          <w:iCs w:val="1"/>
          <w:color w:val="auto"/>
        </w:rPr>
        <w:t>Mereo’s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Mereo may need to abandon its development of these product candidates, the commercial profile of any approved label may be limited, or Mereo may be subject to other significant negative consequences following marketing approval, if any.</w:t>
      </w:r>
    </w:p>
    <w:p>
      <w:pPr>
        <w:spacing w:after="0" w:line="129" w:lineRule="exact"/>
        <w:rPr>
          <w:sz w:val="20"/>
          <w:szCs w:val="20"/>
          <w:color w:val="auto"/>
        </w:rPr>
      </w:pPr>
    </w:p>
    <w:p>
      <w:pPr>
        <w:ind w:left="440" w:right="40" w:firstLine="423"/>
        <w:spacing w:after="0" w:line="310" w:lineRule="auto"/>
        <w:rPr>
          <w:sz w:val="20"/>
          <w:szCs w:val="20"/>
          <w:color w:val="auto"/>
        </w:rPr>
      </w:pPr>
      <w:r>
        <w:rPr>
          <w:rFonts w:ascii="Arial" w:cs="Arial" w:eastAsia="Arial" w:hAnsi="Arial"/>
          <w:sz w:val="15"/>
          <w:szCs w:val="15"/>
          <w:color w:val="auto"/>
        </w:rPr>
        <w:t>Undesirable side effects that may be caused by BPS-804, MPH-966, BCT-197, BGS-649, OMP-305B83 and OMP-313M32 could cause Mereo or regulatory authorities to interrupt, delay or halt clinical trials, and could result in a more restrictive label or the delay or denial of regulatory approval by the FDA, the EMA, or other comparable foreign authorities. Each of Mereo’s product candidates has completed one or more clinical trials. In the trials conducted prior to Mereo’s ownership and following Mereo’s ownership, the most common adverse events observed have been the following:</w:t>
      </w:r>
    </w:p>
    <w:p>
      <w:pPr>
        <w:spacing w:after="0" w:line="54" w:lineRule="exact"/>
        <w:rPr>
          <w:sz w:val="20"/>
          <w:szCs w:val="20"/>
          <w:color w:val="auto"/>
        </w:rPr>
      </w:pPr>
    </w:p>
    <w:p>
      <w:pPr>
        <w:ind w:left="1260" w:hanging="415"/>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BPS-804, headache, influenza, arthralgia, and fatigue;</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for MPH-966, headache, nasopharyngitis, and elevated levels of the liver enzymes aspartate aminotransferase and alanine aminotransferase;</w:t>
      </w:r>
    </w:p>
    <w:p>
      <w:pPr>
        <w:spacing w:after="0" w:line="151" w:lineRule="exact"/>
        <w:rPr>
          <w:rFonts w:ascii="Arial" w:cs="Arial" w:eastAsia="Arial" w:hAnsi="Arial"/>
          <w:sz w:val="15"/>
          <w:szCs w:val="15"/>
          <w:color w:val="auto"/>
        </w:rPr>
      </w:pPr>
    </w:p>
    <w:p>
      <w:pPr>
        <w:ind w:left="1260" w:hanging="415"/>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BCT-197, a mild acne-like rash, tachycardia, dizziness, and headache;</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BGS-649, headache, increased hematocrit, and small increases in blood pressure;</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OMP-305B83, hypertension, fatigue, diarrhea, headache and pulmonary hypertension;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OMP-313M32, rash, fatigue, nausea, pruritus, cough and autoimmune hepatitis.</w:t>
      </w:r>
    </w:p>
    <w:p>
      <w:pPr>
        <w:spacing w:after="0" w:line="219" w:lineRule="exact"/>
        <w:rPr>
          <w:sz w:val="20"/>
          <w:szCs w:val="20"/>
          <w:color w:val="auto"/>
        </w:rPr>
      </w:pPr>
    </w:p>
    <w:p>
      <w:pPr>
        <w:ind w:left="440" w:right="160" w:firstLine="423"/>
        <w:spacing w:after="0" w:line="285" w:lineRule="auto"/>
        <w:rPr>
          <w:sz w:val="20"/>
          <w:szCs w:val="20"/>
          <w:color w:val="auto"/>
        </w:rPr>
      </w:pPr>
      <w:r>
        <w:rPr>
          <w:rFonts w:ascii="Arial" w:cs="Arial" w:eastAsia="Arial" w:hAnsi="Arial"/>
          <w:sz w:val="16"/>
          <w:szCs w:val="16"/>
          <w:color w:val="auto"/>
        </w:rPr>
        <w:t>Clinical development for all of these product candidates is ongoing. Results of Mereo’s ongoing and future clinical trials, or results from clinical trials for other similar product candidates, could reveal a high and unacceptable severity and prevalence of adverse side effects. In such an event, Mereo’s trials could be suspended or terminated and the FDA, EMA, or other comparable foreign regulatory authorities could order Mereo to cease further development of or deny approval of Mereo’s product candidates for any or all targeted indications.</w:t>
      </w:r>
    </w:p>
    <w:p>
      <w:pPr>
        <w:spacing w:after="0" w:line="162" w:lineRule="exact"/>
        <w:rPr>
          <w:sz w:val="20"/>
          <w:szCs w:val="20"/>
          <w:color w:val="auto"/>
        </w:rPr>
      </w:pPr>
    </w:p>
    <w:p>
      <w:pPr>
        <w:ind w:left="440" w:firstLine="423"/>
        <w:spacing w:after="0" w:line="275" w:lineRule="auto"/>
        <w:rPr>
          <w:sz w:val="20"/>
          <w:szCs w:val="20"/>
          <w:color w:val="auto"/>
        </w:rPr>
      </w:pPr>
      <w:r>
        <w:rPr>
          <w:rFonts w:ascii="Arial" w:cs="Arial" w:eastAsia="Arial" w:hAnsi="Arial"/>
          <w:sz w:val="16"/>
          <w:szCs w:val="16"/>
          <w:color w:val="auto"/>
        </w:rPr>
        <w:t>For example, in the United States, the FDA in the first quarter of 2018 denied Mereo’s request for a Type C meeting to discuss the initiation of a pediatric Phase 3 study for BPS-804 for the treatment of patients with severe OI. The FDA cited a serious cardiovascular safety concern in adults treated with sclerostin inhibitors that had yet to be resolved and informed Mereo that a risk/benefit assessment for sclerostin inhibitors could not be completed at that time. The FDA further recommended that Mereo not submit its proposed pediatric protocol until the cardiovascular safety issue had been adequately addressed and favorably resolved. In January 2019 the FDA held an advisory committee meeting, which voted 18-1 to approve another sclerostin inhibitor and in April 2019, the FDA approved this drug. Mereo believes the FDA now has fuller data on the cardiovascular safety issue and plans to re-engage with the FDA in 2019 to discuss the expansion of the pediatric Phase 3 study for BPS-804 for the treatment of patients with severe OI to include sites in the United States. Mereo does not believe the FDA’s previous concern was related to BPS-804. In any case, the FDA’s position does not impact Mereo’s ability to conduct its clinical development activities of BPS-804 for children with severe OI or Mereo’s clinical development activities of BPS-804 in Europe, the United States and Canada for adults with OI.</w:t>
      </w:r>
    </w:p>
    <w:p>
      <w:pPr>
        <w:spacing w:after="0" w:line="171" w:lineRule="exact"/>
        <w:rPr>
          <w:sz w:val="20"/>
          <w:szCs w:val="20"/>
          <w:color w:val="auto"/>
        </w:rPr>
      </w:pPr>
    </w:p>
    <w:p>
      <w:pPr>
        <w:ind w:left="440" w:right="40" w:firstLine="423"/>
        <w:spacing w:after="0" w:line="293" w:lineRule="auto"/>
        <w:rPr>
          <w:sz w:val="20"/>
          <w:szCs w:val="20"/>
          <w:color w:val="auto"/>
        </w:rPr>
      </w:pPr>
      <w:r>
        <w:rPr>
          <w:rFonts w:ascii="Arial" w:cs="Arial" w:eastAsia="Arial" w:hAnsi="Arial"/>
          <w:sz w:val="16"/>
          <w:szCs w:val="16"/>
          <w:color w:val="auto"/>
        </w:rPr>
        <w:t>Drug-related side effects could affect patient recruitment or the ability of enrolled patients to complete a trial or result in potential product liability claims. Additionally, if any of Mereo’s product candidates receives marketing approval and Mereo or others later identify undesirable or unacceptable side effects caused by these product candidates, a number of potentially significant negative consequences could result, including:</w:t>
      </w:r>
    </w:p>
    <w:p>
      <w:pPr>
        <w:spacing w:after="0" w:line="64" w:lineRule="exact"/>
        <w:rPr>
          <w:sz w:val="20"/>
          <w:szCs w:val="20"/>
          <w:color w:val="auto"/>
        </w:rPr>
      </w:pPr>
    </w:p>
    <w:p>
      <w:pPr>
        <w:ind w:left="1260" w:hanging="415"/>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authorities may withdraw approvals of any such product and require Mereo to take it off the market;</w:t>
      </w:r>
    </w:p>
    <w:p>
      <w:pPr>
        <w:spacing w:after="0" w:line="128" w:lineRule="exact"/>
        <w:rPr>
          <w:rFonts w:ascii="Arial" w:cs="Arial" w:eastAsia="Arial" w:hAnsi="Arial"/>
          <w:sz w:val="17"/>
          <w:szCs w:val="17"/>
          <w:color w:val="auto"/>
        </w:rPr>
      </w:pPr>
    </w:p>
    <w:p>
      <w:pPr>
        <w:ind w:left="1260" w:right="80" w:hanging="415"/>
        <w:spacing w:after="0" w:line="284" w:lineRule="auto"/>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specific warnings, a contraindication, or field alerts to physicians and pharmacies;</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80"/>
          </w:cols>
          <w:pgMar w:left="240" w:top="445" w:right="6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500" w:hanging="415"/>
        <w:spacing w:after="0" w:line="284"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authorities may require a medication guide outlining the risks of such side effects for distribution to patients, or that Mereo implement a REMS plan to ensure that the benefits of the product outweigh its risks;</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Mereo may be required to change the way a product is administered, conduct additional clinical trials, or change the labeling of a product;</w:t>
      </w:r>
    </w:p>
    <w:p>
      <w:pPr>
        <w:spacing w:after="0" w:line="139" w:lineRule="exact"/>
        <w:rPr>
          <w:rFonts w:ascii="Arial" w:cs="Arial" w:eastAsia="Arial" w:hAnsi="Arial"/>
          <w:sz w:val="16"/>
          <w:szCs w:val="16"/>
          <w:color w:val="auto"/>
        </w:rPr>
      </w:pPr>
    </w:p>
    <w:p>
      <w:pPr>
        <w:ind w:left="1260" w:hanging="415"/>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Mereo may be subject to limitations on how it may promote the product;</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sales of the product may decrease significantly;</w:t>
      </w:r>
    </w:p>
    <w:p>
      <w:pPr>
        <w:spacing w:after="0" w:line="128" w:lineRule="exact"/>
        <w:rPr>
          <w:rFonts w:ascii="Arial" w:cs="Arial" w:eastAsia="Arial" w:hAnsi="Arial"/>
          <w:sz w:val="17"/>
          <w:szCs w:val="17"/>
          <w:color w:val="auto"/>
        </w:rPr>
      </w:pPr>
    </w:p>
    <w:p>
      <w:pPr>
        <w:ind w:left="1260" w:right="660" w:hanging="415"/>
        <w:spacing w:after="0" w:line="284" w:lineRule="auto"/>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third-party private or government payors may not offer, or may offer inadequate, reimbursement coverage for, Mereo’s products, or reimbursement payments may be delayed;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Mereo may be subject to litigation or product liability claims;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Mereo’s reputation may suffer.</w:t>
      </w:r>
    </w:p>
    <w:p>
      <w:pPr>
        <w:spacing w:after="0" w:line="219"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Any of these events could prevent Mereo or any collaborators from achieving or maintaining market acceptance of Mereo’s product candidates or could substantially increase commercialization costs and expenses, which in turn could delay or prevent Mereo from generating significant revenue from the sale of its product candidates.</w:t>
      </w:r>
    </w:p>
    <w:p>
      <w:pPr>
        <w:spacing w:after="0" w:line="171" w:lineRule="exact"/>
        <w:rPr>
          <w:sz w:val="20"/>
          <w:szCs w:val="20"/>
          <w:color w:val="auto"/>
        </w:rPr>
      </w:pPr>
    </w:p>
    <w:p>
      <w:pPr>
        <w:ind w:left="640" w:right="160"/>
        <w:spacing w:after="0" w:line="269" w:lineRule="auto"/>
        <w:rPr>
          <w:sz w:val="20"/>
          <w:szCs w:val="20"/>
          <w:color w:val="auto"/>
        </w:rPr>
      </w:pPr>
      <w:r>
        <w:rPr>
          <w:rFonts w:ascii="Arial" w:cs="Arial" w:eastAsia="Arial" w:hAnsi="Arial"/>
          <w:sz w:val="17"/>
          <w:szCs w:val="17"/>
          <w:b w:val="1"/>
          <w:bCs w:val="1"/>
          <w:i w:val="1"/>
          <w:iCs w:val="1"/>
          <w:color w:val="auto"/>
        </w:rPr>
        <w:t>Mereo depends on enrollment of patients in its clinical trials for its product candidates. If Mereo is unable to enroll patients in its clinical trials, or enrollment is slower than anticipated, in particular for its product candidates with rare disease indications, its research and development efforts could be adversely affected.</w:t>
      </w:r>
    </w:p>
    <w:p>
      <w:pPr>
        <w:spacing w:after="0" w:line="171" w:lineRule="exact"/>
        <w:rPr>
          <w:sz w:val="20"/>
          <w:szCs w:val="20"/>
          <w:color w:val="auto"/>
        </w:rPr>
      </w:pPr>
    </w:p>
    <w:p>
      <w:pPr>
        <w:ind w:left="440" w:right="20" w:firstLine="423"/>
        <w:spacing w:after="0" w:line="292" w:lineRule="auto"/>
        <w:rPr>
          <w:sz w:val="20"/>
          <w:szCs w:val="20"/>
          <w:color w:val="auto"/>
        </w:rPr>
      </w:pPr>
      <w:r>
        <w:rPr>
          <w:rFonts w:ascii="Arial" w:cs="Arial" w:eastAsia="Arial" w:hAnsi="Arial"/>
          <w:sz w:val="15"/>
          <w:szCs w:val="15"/>
          <w:color w:val="auto"/>
        </w:rPr>
        <w:t>Successful and timely completion of clinical trials for Mereo’s product candidates will require that Mereo enroll a sufficient number of patient candidates. Trials may be subject to delays as a result of the limited number of patients with the diseases that these product candidates target, patient enrollment taking longer than anticipated, or patient withdrawal. Due to the small number of patients for any rare disease, it may be difficult for Mereo to enroll a sufficient number of patients in its clinical trials for its product candidates with indications in rare diseases or enrollment for these product candidates may take significantly longer than Mereo anticipates. In addition, Mereo will compete with other companies in enrolling the same limited population of patients, which may further challenge Mereo’s ability to timely enroll patients in its clinical trials. It is estimated that OI, the target indication for BPS-804, affects a minimum of 20,000 people in the United States and approximately 32,000 people in Germany, Spain, France, Italy, and the United Kingdom, collectively. There are an estimated 50,000 and 60,000 persons in North America and Europe, respectively, with the genotypes that Mereo intends to enroll in its clinical trials for AATD, the target indication for MPH-966.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Mereo to enroll enough patients to complete its clinical trials in a timely and cost-effective manner. Delays in the completion of any clinical trial of Mereo’s product candidates will increase Mereo’s costs, slow down its development and approval of Mereo’s product candidates, and delay or potentially jeopardize Mereo’s ability to commence product sales and generate revenue. In addition, some of the factors that cause or lead to a delay in the commencement or completion of clinical trials may also ultimately lead to the denial of regulatory approval of Mereo’s product candidates.</w:t>
      </w:r>
    </w:p>
    <w:p>
      <w:pPr>
        <w:spacing w:after="0" w:line="164" w:lineRule="exact"/>
        <w:rPr>
          <w:sz w:val="20"/>
          <w:szCs w:val="20"/>
          <w:color w:val="auto"/>
        </w:rPr>
      </w:pPr>
    </w:p>
    <w:p>
      <w:pPr>
        <w:ind w:left="640" w:right="160"/>
        <w:spacing w:after="0" w:line="284" w:lineRule="auto"/>
        <w:rPr>
          <w:sz w:val="20"/>
          <w:szCs w:val="20"/>
          <w:color w:val="auto"/>
        </w:rPr>
      </w:pPr>
      <w:r>
        <w:rPr>
          <w:rFonts w:ascii="Arial" w:cs="Arial" w:eastAsia="Arial" w:hAnsi="Arial"/>
          <w:sz w:val="17"/>
          <w:szCs w:val="17"/>
          <w:b w:val="1"/>
          <w:bCs w:val="1"/>
          <w:i w:val="1"/>
          <w:iCs w:val="1"/>
          <w:color w:val="auto"/>
        </w:rPr>
        <w:t>Mereo may become exposed to costly and damaging liability claims, either when testing its product candidates in the clinic or at the commercial stage, and its product liability insurance may not cover all damages from such claims.</w:t>
      </w:r>
    </w:p>
    <w:p>
      <w:pPr>
        <w:spacing w:after="0" w:line="159" w:lineRule="exact"/>
        <w:rPr>
          <w:sz w:val="20"/>
          <w:szCs w:val="20"/>
          <w:color w:val="auto"/>
        </w:rPr>
      </w:pPr>
    </w:p>
    <w:p>
      <w:pPr>
        <w:ind w:left="440" w:right="60" w:firstLine="423"/>
        <w:spacing w:after="0" w:line="281" w:lineRule="auto"/>
        <w:rPr>
          <w:sz w:val="20"/>
          <w:szCs w:val="20"/>
          <w:color w:val="auto"/>
        </w:rPr>
      </w:pPr>
      <w:r>
        <w:rPr>
          <w:rFonts w:ascii="Arial" w:cs="Arial" w:eastAsia="Arial" w:hAnsi="Arial"/>
          <w:sz w:val="16"/>
          <w:szCs w:val="16"/>
          <w:color w:val="auto"/>
        </w:rPr>
        <w:t>Mereo is exposed to potential product liability and professional indemnity risks that are inherent in the development, manufacturing, marketing, and use of pharmaceutical products. Currently, Mereo has no products that have been approved for commercial sale; however, the current and future use of its product candidates by it and any collaborators, in clinical trials, and the sale of these product candidates, if approved, in the future, may expose Mereo to liability claims. These claims might be made by patients that use the product, healthcare providers, pharmaceutical companies, Mereo’s collaborators, or others selling these product candidates. Any claims against Mereo, regardless of</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000"/>
          </w:cols>
          <w:pgMar w:left="240" w:top="445" w:right="6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00"/>
        <w:spacing w:after="0" w:line="284" w:lineRule="auto"/>
        <w:rPr>
          <w:sz w:val="20"/>
          <w:szCs w:val="20"/>
          <w:color w:val="auto"/>
        </w:rPr>
      </w:pPr>
      <w:r>
        <w:rPr>
          <w:rFonts w:ascii="Arial" w:cs="Arial" w:eastAsia="Arial" w:hAnsi="Arial"/>
          <w:sz w:val="17"/>
          <w:szCs w:val="17"/>
          <w:color w:val="auto"/>
        </w:rPr>
        <w:t>its merit, could be difficult and costly to defend and could adversely affect the market for its product candidates or any prospects for commercialization of Mereo’s product candidates. In addition, regardless of the merits or eventual outcome, liability claims may result in:</w:t>
      </w:r>
    </w:p>
    <w:p>
      <w:pPr>
        <w:spacing w:after="0" w:line="68" w:lineRule="exact"/>
        <w:rPr>
          <w:sz w:val="20"/>
          <w:szCs w:val="20"/>
          <w:color w:val="auto"/>
        </w:rPr>
      </w:pPr>
    </w:p>
    <w:p>
      <w:pPr>
        <w:ind w:left="1260" w:hanging="415"/>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decreased demand for Mereo’s product candidates;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injury to Mereo’s reputation;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to defend related litigation;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diversion of management’s time and Mereo’s resources;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investigation, product recalls or withdrawals, or labeling, marketing or promotional restrictions;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to commercialize or promote Mereo’s product candidates.</w:t>
      </w:r>
    </w:p>
    <w:p>
      <w:pPr>
        <w:spacing w:after="0" w:line="219"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Mereo’s product candidates were to cause adverse side effects during clinical trials or after approval, Mereo may be exposed to substantial liabilities. Physicians and patients may not comply with any warnings that identify known potential adverse effects and patients who should not use Mereo’s product candidates.</w:t>
      </w:r>
    </w:p>
    <w:p>
      <w:pPr>
        <w:spacing w:after="0" w:line="176" w:lineRule="exact"/>
        <w:rPr>
          <w:sz w:val="20"/>
          <w:szCs w:val="20"/>
          <w:color w:val="auto"/>
        </w:rPr>
      </w:pPr>
    </w:p>
    <w:p>
      <w:pPr>
        <w:ind w:left="440" w:firstLine="423"/>
        <w:spacing w:after="0" w:line="281" w:lineRule="auto"/>
        <w:rPr>
          <w:sz w:val="20"/>
          <w:szCs w:val="20"/>
          <w:color w:val="auto"/>
        </w:rPr>
      </w:pPr>
      <w:r>
        <w:rPr>
          <w:rFonts w:ascii="Arial" w:cs="Arial" w:eastAsia="Arial" w:hAnsi="Arial"/>
          <w:sz w:val="16"/>
          <w:szCs w:val="16"/>
          <w:color w:val="auto"/>
        </w:rPr>
        <w:t>Although Mereo maintains product liability insurance for its product candidates, it is possible that its liabilities could exceed its insurance coverage. Mereo intends to expand its insurance coverage to include the sale of commercial products if it obtains marketing approval for any of its product candidates. However, Mereo may not be able to maintain insurance coverage at a reasonable cost or obtain insurance coverage that will be adequate to satisfy any liability that may arise. If a successful product liability claim or series of claims is brought against Mereo for uninsured liabilities or in excess of insured liabilities, Mereo’s assets may not be sufficient to cover such claims and its business operations could be impaired.</w:t>
      </w:r>
    </w:p>
    <w:p>
      <w:pPr>
        <w:spacing w:after="0" w:line="166" w:lineRule="exact"/>
        <w:rPr>
          <w:sz w:val="20"/>
          <w:szCs w:val="20"/>
          <w:color w:val="auto"/>
        </w:rPr>
      </w:pPr>
    </w:p>
    <w:p>
      <w:pPr>
        <w:jc w:val="both"/>
        <w:ind w:left="640" w:right="520"/>
        <w:spacing w:after="0" w:line="269" w:lineRule="auto"/>
        <w:rPr>
          <w:sz w:val="20"/>
          <w:szCs w:val="20"/>
          <w:color w:val="auto"/>
        </w:rPr>
      </w:pPr>
      <w:r>
        <w:rPr>
          <w:rFonts w:ascii="Arial" w:cs="Arial" w:eastAsia="Arial" w:hAnsi="Arial"/>
          <w:sz w:val="17"/>
          <w:szCs w:val="17"/>
          <w:b w:val="1"/>
          <w:bCs w:val="1"/>
          <w:i w:val="1"/>
          <w:iCs w:val="1"/>
          <w:color w:val="auto"/>
        </w:rPr>
        <w:t>The regulatory approval processes of the FDA, the EMA, and comparable foreign authorities are lengthy, time consuming, and inherently unpredictable, and if Mereo is ultimately unable to obtain regulatory approval for its product candidates, its business will be substantially harmed.</w:t>
      </w:r>
    </w:p>
    <w:p>
      <w:pPr>
        <w:spacing w:after="0" w:line="171" w:lineRule="exact"/>
        <w:rPr>
          <w:sz w:val="20"/>
          <w:szCs w:val="20"/>
          <w:color w:val="auto"/>
        </w:rPr>
      </w:pPr>
    </w:p>
    <w:p>
      <w:pPr>
        <w:ind w:left="440" w:right="80" w:firstLine="423"/>
        <w:spacing w:after="0" w:line="261" w:lineRule="auto"/>
        <w:rPr>
          <w:sz w:val="20"/>
          <w:szCs w:val="20"/>
          <w:color w:val="auto"/>
        </w:rPr>
      </w:pPr>
      <w:r>
        <w:rPr>
          <w:rFonts w:ascii="Arial" w:cs="Arial" w:eastAsia="Arial" w:hAnsi="Arial"/>
          <w:sz w:val="17"/>
          <w:szCs w:val="17"/>
          <w:color w:val="auto"/>
        </w:rPr>
        <w:t>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Mereo has not obtained regulatory approval for any of its product candidates and it is possible that none of its product candidates will obtain regulatory approval.</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Mereo’s product candidates could fail to receive regulatory approval for many reasons, including the following:</w:t>
      </w:r>
    </w:p>
    <w:p>
      <w:pPr>
        <w:spacing w:after="0" w:line="128" w:lineRule="exact"/>
        <w:rPr>
          <w:sz w:val="20"/>
          <w:szCs w:val="20"/>
          <w:color w:val="auto"/>
        </w:rPr>
      </w:pPr>
    </w:p>
    <w:p>
      <w:pPr>
        <w:ind w:left="1260" w:hanging="415"/>
        <w:spacing w:after="0"/>
        <w:tabs>
          <w:tab w:leader="none" w:pos="1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the EMA, or comparable foreign regulatory authorities may disagree with the design or implementation of Mereo’s clinical trials;</w:t>
      </w:r>
    </w:p>
    <w:p>
      <w:pPr>
        <w:spacing w:after="0" w:line="139" w:lineRule="exact"/>
        <w:rPr>
          <w:rFonts w:ascii="Arial" w:cs="Arial" w:eastAsia="Arial" w:hAnsi="Arial"/>
          <w:sz w:val="16"/>
          <w:szCs w:val="16"/>
          <w:color w:val="auto"/>
        </w:rPr>
      </w:pPr>
    </w:p>
    <w:p>
      <w:pPr>
        <w:ind w:left="1260" w:right="200" w:hanging="415"/>
        <w:spacing w:after="0" w:line="284" w:lineRule="auto"/>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Mereo may be unable to demonstrate to the satisfaction of the FDA, the EMA, or comparable foreign regulatory authorities that a product candidate is safe and effective for its proposed indication;</w:t>
      </w:r>
    </w:p>
    <w:p>
      <w:pPr>
        <w:spacing w:after="0" w:line="68" w:lineRule="exact"/>
        <w:rPr>
          <w:rFonts w:ascii="Arial" w:cs="Arial" w:eastAsia="Arial" w:hAnsi="Arial"/>
          <w:sz w:val="17"/>
          <w:szCs w:val="17"/>
          <w:color w:val="auto"/>
        </w:rPr>
      </w:pPr>
    </w:p>
    <w:p>
      <w:pPr>
        <w:ind w:left="1260" w:right="700" w:hanging="415"/>
        <w:spacing w:after="0" w:line="284" w:lineRule="auto"/>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the EMA, or comparable foreign regulatory authorities for approval;</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80"/>
          </w:cols>
          <w:pgMar w:left="240" w:top="445" w:right="67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hanging="415"/>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Mereo may be unable to demonstrate that a product candidate’s clinical and other benefits outweigh its safety risks;</w:t>
      </w:r>
    </w:p>
    <w:p>
      <w:pPr>
        <w:spacing w:after="0" w:line="128" w:lineRule="exact"/>
        <w:rPr>
          <w:rFonts w:ascii="Arial" w:cs="Arial" w:eastAsia="Arial" w:hAnsi="Arial"/>
          <w:sz w:val="17"/>
          <w:szCs w:val="17"/>
          <w:color w:val="auto"/>
        </w:rPr>
      </w:pPr>
    </w:p>
    <w:p>
      <w:pPr>
        <w:ind w:left="1260" w:right="100" w:hanging="415"/>
        <w:spacing w:after="0" w:line="284"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Mereo’s interpretation of data from pre-clinical studies or clinical trials or may find the data to be unacceptable;</w:t>
      </w:r>
    </w:p>
    <w:p>
      <w:pPr>
        <w:spacing w:after="0" w:line="68" w:lineRule="exact"/>
        <w:rPr>
          <w:rFonts w:ascii="Arial" w:cs="Arial" w:eastAsia="Arial" w:hAnsi="Arial"/>
          <w:sz w:val="17"/>
          <w:szCs w:val="17"/>
          <w:color w:val="auto"/>
        </w:rPr>
      </w:pPr>
    </w:p>
    <w:p>
      <w:pPr>
        <w:ind w:left="1260" w:right="40" w:hanging="415"/>
        <w:spacing w:after="0" w:line="284"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data collected from clinical trials may not be sufficient to support the submission of a BLA or NDA in the United States, an MAA in the EU, or other comparable submission to obtain regulatory approval in other countries;</w:t>
      </w:r>
    </w:p>
    <w:p>
      <w:pPr>
        <w:spacing w:after="0" w:line="68" w:lineRule="exact"/>
        <w:rPr>
          <w:rFonts w:ascii="Arial" w:cs="Arial" w:eastAsia="Arial" w:hAnsi="Arial"/>
          <w:sz w:val="17"/>
          <w:szCs w:val="17"/>
          <w:color w:val="auto"/>
        </w:rPr>
      </w:pPr>
    </w:p>
    <w:p>
      <w:pPr>
        <w:ind w:left="1260" w:right="40" w:hanging="415"/>
        <w:spacing w:after="0" w:line="284"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fail to approve the manufacturing processes or facilities of third-party manufacturers with which Mereo contract for clinical and commercial supplies; and</w:t>
      </w:r>
    </w:p>
    <w:p>
      <w:pPr>
        <w:spacing w:after="0" w:line="68" w:lineRule="exact"/>
        <w:rPr>
          <w:rFonts w:ascii="Arial" w:cs="Arial" w:eastAsia="Arial" w:hAnsi="Arial"/>
          <w:sz w:val="17"/>
          <w:szCs w:val="17"/>
          <w:color w:val="auto"/>
        </w:rPr>
      </w:pPr>
    </w:p>
    <w:p>
      <w:pPr>
        <w:ind w:left="1260" w:right="500" w:hanging="415"/>
        <w:spacing w:after="0" w:line="284"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approval policies or regulations of the FDA, the EMA, or comparable foreign regulatory authorities may significantly change in a manner rendering Mereo’s clinical data insufficient for approval.</w:t>
      </w:r>
    </w:p>
    <w:p>
      <w:pPr>
        <w:spacing w:after="0" w:line="159" w:lineRule="exact"/>
        <w:rPr>
          <w:sz w:val="20"/>
          <w:szCs w:val="20"/>
          <w:color w:val="auto"/>
        </w:rPr>
      </w:pPr>
    </w:p>
    <w:p>
      <w:pPr>
        <w:ind w:left="440" w:right="20" w:firstLine="423"/>
        <w:spacing w:after="0" w:line="285" w:lineRule="auto"/>
        <w:rPr>
          <w:sz w:val="20"/>
          <w:szCs w:val="20"/>
          <w:color w:val="auto"/>
        </w:rPr>
      </w:pPr>
      <w:r>
        <w:rPr>
          <w:rFonts w:ascii="Arial" w:cs="Arial" w:eastAsia="Arial" w:hAnsi="Arial"/>
          <w:sz w:val="16"/>
          <w:szCs w:val="16"/>
          <w:color w:val="auto"/>
        </w:rPr>
        <w:t>This lengthy approval process as well as the unpredictability of future clinical trial results may result in Mereo’s failing to obtain regulatory approval to market any product candidates. The FDA, the EMA, and other regulatory authorities have substantial discretion in the approval process, and determining when or whether regulatory approval will be obtained for a product candidate. Even if Mereo believes the data collected from clinical trials are promising, such data may not be sufficient to support approval by the FDA, the EMA, or any other regulatory authority.</w:t>
      </w:r>
    </w:p>
    <w:p>
      <w:pPr>
        <w:spacing w:after="0" w:line="162"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In addition, even if Mereo were to obtain approval for any jurisdiction, regulatory authorities may approve Mereo’s product candidates for fewer or more limited indications than Mereo request, may not approve the price Mereo intends to charge for its product candidates, may grant approval contingent on the performance of costly post-marketing clinical trials, or may approve a product candidate with a label that does not include the labeling claims necessary or desirable for the successful commercialization of such product candidate. Any of the foregoing scenarios could materially harm Mereo’s commercial prospects and business.</w:t>
      </w:r>
    </w:p>
    <w:p>
      <w:pPr>
        <w:spacing w:after="0" w:line="180" w:lineRule="exact"/>
        <w:rPr>
          <w:sz w:val="20"/>
          <w:szCs w:val="20"/>
          <w:color w:val="auto"/>
        </w:rPr>
      </w:pPr>
    </w:p>
    <w:p>
      <w:pPr>
        <w:ind w:left="640" w:right="220"/>
        <w:spacing w:after="0" w:line="285" w:lineRule="auto"/>
        <w:rPr>
          <w:sz w:val="20"/>
          <w:szCs w:val="20"/>
          <w:color w:val="auto"/>
        </w:rPr>
      </w:pPr>
      <w:r>
        <w:rPr>
          <w:rFonts w:ascii="Arial" w:cs="Arial" w:eastAsia="Arial" w:hAnsi="Arial"/>
          <w:sz w:val="16"/>
          <w:szCs w:val="16"/>
          <w:b w:val="1"/>
          <w:bCs w:val="1"/>
          <w:i w:val="1"/>
          <w:iCs w:val="1"/>
          <w:color w:val="auto"/>
        </w:rPr>
        <w:t>Even if any of Mereo’s product candidates obtains regulatory approval, Mereo will be subject to ongoing obligations and continued regulatory review, which may result in significant additional expense. Additionally, any of Mereo’s product candidates, if approved, could be subject to labeling and other restrictions and market withdrawal and Mereo may be subject to penalties if Mereo fails to comply with regulatory requirements or experience unanticipated problems with such product candidate.</w:t>
      </w:r>
    </w:p>
    <w:p>
      <w:pPr>
        <w:spacing w:after="0" w:line="162" w:lineRule="exact"/>
        <w:rPr>
          <w:sz w:val="20"/>
          <w:szCs w:val="20"/>
          <w:color w:val="auto"/>
        </w:rPr>
      </w:pPr>
    </w:p>
    <w:p>
      <w:pPr>
        <w:ind w:left="440" w:firstLine="423"/>
        <w:spacing w:after="0" w:line="295" w:lineRule="auto"/>
        <w:rPr>
          <w:sz w:val="20"/>
          <w:szCs w:val="20"/>
          <w:color w:val="auto"/>
        </w:rPr>
      </w:pPr>
      <w:r>
        <w:rPr>
          <w:rFonts w:ascii="Arial" w:cs="Arial" w:eastAsia="Arial" w:hAnsi="Arial"/>
          <w:sz w:val="15"/>
          <w:szCs w:val="15"/>
          <w:color w:val="auto"/>
        </w:rPr>
        <w:t>If the FDA, the EMA, or a comparable foreign regulatory authority approves any of Mereo’s product candidates, the manufacturing processes, labeling, packaging, distribution, adverse event reporting, storage, advertising, promotion, and recordkeeping for such product candidate will be subject to extensive and ongoing regulatory requirements. These requirements include submissions of safety and other post-marketing information and reports, facility registration, and drug listing, as well as continued compliance with cGMP requirements for manufacturing, good distribution practice (“GDP”), requirements for product distribution, and GCP requirements for any clinical trials that Mereo conducts post-approval, all of which may result in significant expense and limit Mereo’s ability to commercialize a product candidate. Mereo and its contract manufacturers will also be subject to user fees and periodic inspection by the FDA, the EMA, and other regulatory authorities to monitor compliance with these requirements and the terms of any product approval Mereo may obtain. In addition, any regulatory approvals that Mereo receive for a product candidate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159" w:lineRule="exact"/>
        <w:rPr>
          <w:sz w:val="20"/>
          <w:szCs w:val="20"/>
          <w:color w:val="auto"/>
        </w:rPr>
      </w:pPr>
    </w:p>
    <w:p>
      <w:pPr>
        <w:ind w:left="440" w:firstLine="423"/>
        <w:spacing w:after="0" w:line="279" w:lineRule="auto"/>
        <w:rPr>
          <w:sz w:val="20"/>
          <w:szCs w:val="20"/>
          <w:color w:val="auto"/>
        </w:rPr>
      </w:pPr>
      <w:r>
        <w:rPr>
          <w:rFonts w:ascii="Arial" w:cs="Arial" w:eastAsia="Arial" w:hAnsi="Arial"/>
          <w:sz w:val="16"/>
          <w:szCs w:val="16"/>
          <w:color w:val="auto"/>
        </w:rPr>
        <w:t>If there are changes in the application of legislation or regulatory policies, or if problems are discovered with a product or the manufacture of a product, or if Mereo or one of its distributors, licensees, or co-marketers fails to comply with regulatory requirements, the regulatory authorities could take various actions. These include imposing fines on Mereo, imposing restrictions on Mereo’s product or its manufacture, and requiring Mereo to recall or remove a product from the market. The regulatory authorities could also suspend or withdraw Mereo’s marketing authorizations, or require it to conduct additional clinical trials, change its product labeling, or submit additional MAAs. If any of these events occurs, Mereo’s ability to sell its product may be impaired, and it may incur substantial additional expense to comply with regulatory requirements.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60"/>
          </w:cols>
          <w:pgMar w:left="240" w:top="445" w:right="69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firstLine="423"/>
        <w:spacing w:after="0" w:line="272" w:lineRule="auto"/>
        <w:rPr>
          <w:sz w:val="20"/>
          <w:szCs w:val="20"/>
          <w:color w:val="auto"/>
        </w:rPr>
      </w:pPr>
      <w:r>
        <w:rPr>
          <w:rFonts w:ascii="Arial" w:cs="Arial" w:eastAsia="Arial" w:hAnsi="Arial"/>
          <w:sz w:val="16"/>
          <w:szCs w:val="16"/>
          <w:color w:val="auto"/>
        </w:rPr>
        <w:t>The policies of the FDA, the EMA, and other regulatory authorities may change and additional government regulations may be enacted that could prevent, limit, or delay regulatory approval of Mereo’s product candidates. Mereo cannot predict the likelihood, nature, or extent of government regulation that may arise from future legislation or administrative or executive action, either in the United States, the United Kingdom, Europe, or other jurisdictions. 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Notably, in January 2017, an Executive Order was issued directing all executive agencies, including the FDA, that, for each notice of proposed rulemaking or final regulation to be issued in fiscal year 2017, the agency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in February 2017, the administration indicated that the “two-for-one” provisions may apply not only to agency regulations, but also to significant agency guidance documents, and in September 2017, the FDA published notices in the Federal Register soliciting broad public comment to identify regulations that could be modified in compliance with these Executive Orders. It is difficult to predict how these requirements be implemented, and the extent to which they will impact the FDA’s ability to exercise its regulatory authority. If these executive actions impose restrictions on the FDA’s ability to engage in oversight and implementation activities in the normal course, Mereo’s business may be negatively impacted. In addition, if Mereo is slow or unable to adapt to changes in existing requirements or the adoption of new requirements or policies, or if it is not able to maintain regulatory compliance, Mereo may lose any marketing approval that it may have obtained and may not achieve or sustain profitability.</w:t>
      </w:r>
    </w:p>
    <w:p>
      <w:pPr>
        <w:spacing w:after="0" w:line="182" w:lineRule="exact"/>
        <w:rPr>
          <w:sz w:val="20"/>
          <w:szCs w:val="20"/>
          <w:color w:val="auto"/>
        </w:rPr>
      </w:pPr>
    </w:p>
    <w:p>
      <w:pPr>
        <w:ind w:left="640" w:right="60"/>
        <w:spacing w:after="0" w:line="269" w:lineRule="auto"/>
        <w:rPr>
          <w:sz w:val="20"/>
          <w:szCs w:val="20"/>
          <w:color w:val="auto"/>
        </w:rPr>
      </w:pPr>
      <w:r>
        <w:rPr>
          <w:rFonts w:ascii="Arial" w:cs="Arial" w:eastAsia="Arial" w:hAnsi="Arial"/>
          <w:sz w:val="17"/>
          <w:szCs w:val="17"/>
          <w:b w:val="1"/>
          <w:bCs w:val="1"/>
          <w:i w:val="1"/>
          <w:iCs w:val="1"/>
          <w:color w:val="auto"/>
        </w:rPr>
        <w:t>Even if Mereo obtains marketing approval of any of its product candidates in a major pharmaceutical market such as the United States or the EU, it may not be able to obtain approval or commercialize that product candidate in other markets, which would limit its ability to realize its full market potential.</w:t>
      </w:r>
    </w:p>
    <w:p>
      <w:pPr>
        <w:spacing w:after="0" w:line="171" w:lineRule="exact"/>
        <w:rPr>
          <w:sz w:val="20"/>
          <w:szCs w:val="20"/>
          <w:color w:val="auto"/>
        </w:rPr>
      </w:pPr>
    </w:p>
    <w:p>
      <w:pPr>
        <w:ind w:left="440" w:right="60" w:firstLine="423"/>
        <w:spacing w:after="0" w:line="274" w:lineRule="auto"/>
        <w:rPr>
          <w:sz w:val="20"/>
          <w:szCs w:val="20"/>
          <w:color w:val="auto"/>
        </w:rPr>
      </w:pPr>
      <w:r>
        <w:rPr>
          <w:rFonts w:ascii="Arial" w:cs="Arial" w:eastAsia="Arial" w:hAnsi="Arial"/>
          <w:sz w:val="16"/>
          <w:szCs w:val="16"/>
          <w:color w:val="auto"/>
        </w:rPr>
        <w:t>In order to market any products in a country or territory, Mereo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Mereo’s product candidates in those countries. Satisfying these and other regulatory requirements is costly, time consuming, uncertain, and subject to unanticipated delays. In addition, Mereo’s failure to obtain regulatory approval in any country may delay or have negative effects on the process for regulatory approval in other countries. Mereo currently does not have any product candidates approved for sale in the United States, the EU, or any other markets, and Mereo’s management team does not have experience in obtaining regulatory approval in markets outside of the United States and the EU. If Mereo seeks regulatory approval in other markets and fail to obtain marketing approval in those markets or, if Mereo’s product candidates are approved in such markets but Mereo fails to maintain such approvals, its ability to realize the full market potential of its product candidates will be compromised.</w:t>
      </w:r>
    </w:p>
    <w:p>
      <w:pPr>
        <w:spacing w:after="0" w:line="173" w:lineRule="exact"/>
        <w:rPr>
          <w:sz w:val="20"/>
          <w:szCs w:val="20"/>
          <w:color w:val="auto"/>
        </w:rPr>
      </w:pPr>
    </w:p>
    <w:p>
      <w:pPr>
        <w:ind w:left="640" w:right="140"/>
        <w:spacing w:after="0" w:line="352" w:lineRule="auto"/>
        <w:rPr>
          <w:sz w:val="20"/>
          <w:szCs w:val="20"/>
          <w:color w:val="auto"/>
        </w:rPr>
      </w:pPr>
      <w:r>
        <w:rPr>
          <w:rFonts w:ascii="Arial" w:cs="Arial" w:eastAsia="Arial" w:hAnsi="Arial"/>
          <w:sz w:val="14"/>
          <w:szCs w:val="14"/>
          <w:b w:val="1"/>
          <w:bCs w:val="1"/>
          <w:i w:val="1"/>
          <w:iCs w:val="1"/>
          <w:color w:val="auto"/>
        </w:rPr>
        <w:t>Mereo’s employees and independent contractors, including principal investigators, CROs, CMOs, consultants, vendors, and any other third parties Mereo may engage in connection with the development and commercialization of its product candidates may engage in misconduct or other improper activities, including noncompliance with regulatory standards and requirements, which could adversely affect Mereo’s business.</w:t>
      </w:r>
    </w:p>
    <w:p>
      <w:pPr>
        <w:spacing w:after="0" w:line="120"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Misconduct by Mereo’s employees and independent contractors, including principal investigators, CROs, CMOs, consultants, vendors, and any other third parties Mereo may engage in connection with the development and commercialization of Mereo’s product candidates, could include intentional, reckless, or negligent conduct or unauthorized activities that violate: (i) the laws and regulations of the FDA, the EMA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w:t>
      </w:r>
    </w:p>
    <w:p>
      <w:pPr>
        <w:spacing w:after="0" w:line="1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80"/>
          </w:cols>
          <w:pgMar w:left="240" w:top="445" w:right="67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spacing w:after="0" w:line="292" w:lineRule="auto"/>
        <w:rPr>
          <w:sz w:val="20"/>
          <w:szCs w:val="20"/>
          <w:color w:val="auto"/>
        </w:rPr>
      </w:pPr>
      <w:r>
        <w:rPr>
          <w:rFonts w:ascii="Arial" w:cs="Arial" w:eastAsia="Arial" w:hAnsi="Arial"/>
          <w:sz w:val="15"/>
          <w:szCs w:val="15"/>
          <w:color w:val="auto"/>
        </w:rPr>
        <w:t>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Mereo’s reputation. It is not always possible to identify and deter misconduct by employees and other third parties, and the precautions Mereo take to detect and prevent this activity may not be effective in controlling unknown or unmanaged risks or losses or in protecting Mereo from governmental investigations or other actions or lawsuits stemming from a failure to comply with such laws or regulations. Additionally, Mereo is subject to the risk that a person or government could allege such fraud or other misconduct, even if none occurred. If any such actions are instituted against Mereo, and it is not successful in defending itself or asserting its rights, those actions could have a significant impact on its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Mereo’s operations. Mereo is also subject to the data privacy regime in the EU, which imposes obligations and restrictions on the collection and use of personal data relating to individuals located in the EU and includes the General Data Protection Regulation (the “GDPR”) and any national laws implementing or supplementing the GDPR. If Mereo does not comply with its obligations under the EU privacy regime, it could be exposed to significant fines and may be the subject of litigation and/or adverse publicity, which could have a material adverse effect on its reputation and business.</w:t>
      </w:r>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Healthcare Laws and Other Legal Compliance Matters</w:t>
      </w:r>
    </w:p>
    <w:p>
      <w:pPr>
        <w:spacing w:after="0" w:line="121" w:lineRule="exact"/>
        <w:rPr>
          <w:sz w:val="20"/>
          <w:szCs w:val="20"/>
          <w:color w:val="auto"/>
        </w:rPr>
      </w:pPr>
    </w:p>
    <w:p>
      <w:pPr>
        <w:ind w:left="640" w:right="180"/>
        <w:spacing w:after="0" w:line="284" w:lineRule="auto"/>
        <w:rPr>
          <w:sz w:val="20"/>
          <w:szCs w:val="20"/>
          <w:color w:val="auto"/>
        </w:rPr>
      </w:pPr>
      <w:r>
        <w:rPr>
          <w:rFonts w:ascii="Arial" w:cs="Arial" w:eastAsia="Arial" w:hAnsi="Arial"/>
          <w:sz w:val="17"/>
          <w:szCs w:val="17"/>
          <w:b w:val="1"/>
          <w:bCs w:val="1"/>
          <w:i w:val="1"/>
          <w:iCs w:val="1"/>
          <w:color w:val="auto"/>
        </w:rPr>
        <w:t>Enacted and future healthcare legislation may increase the difficulty and cost for Mereo to obtain marketing approval of and commercialize its product candidates and may affect the prices it may set.</w:t>
      </w:r>
    </w:p>
    <w:p>
      <w:pPr>
        <w:spacing w:after="0" w:line="159" w:lineRule="exact"/>
        <w:rPr>
          <w:sz w:val="20"/>
          <w:szCs w:val="20"/>
          <w:color w:val="auto"/>
        </w:rPr>
      </w:pPr>
    </w:p>
    <w:p>
      <w:pPr>
        <w:ind w:left="440" w:right="140" w:firstLine="423"/>
        <w:spacing w:after="0" w:line="301" w:lineRule="auto"/>
        <w:rPr>
          <w:sz w:val="20"/>
          <w:szCs w:val="20"/>
          <w:color w:val="auto"/>
        </w:rPr>
      </w:pPr>
      <w:r>
        <w:rPr>
          <w:rFonts w:ascii="Arial" w:cs="Arial" w:eastAsia="Arial" w:hAnsi="Arial"/>
          <w:sz w:val="15"/>
          <w:szCs w:val="15"/>
          <w:color w:val="auto"/>
        </w:rPr>
        <w:t>In the United States, EU and other jurisdictions, there have been, and Mereo expects there will continue to be, a number of legislative and regulatory changes and proposed changes to the healthcare system that could affect Mereo’s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62" w:lineRule="exact"/>
        <w:rPr>
          <w:sz w:val="20"/>
          <w:szCs w:val="20"/>
          <w:color w:val="auto"/>
        </w:rPr>
      </w:pPr>
    </w:p>
    <w:p>
      <w:pPr>
        <w:ind w:left="1260" w:hanging="415"/>
        <w:spacing w:after="0" w:line="269"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annual, non-deductible fee payable by any entity that manufactures or imports certain branded prescription drugs and biologic agents (other than those designated as orphan drugs), which is apportioned among these entities according to its market share in certain government healthcare programs;</w:t>
      </w:r>
    </w:p>
    <w:p>
      <w:pPr>
        <w:spacing w:after="0" w:line="80" w:lineRule="exact"/>
        <w:rPr>
          <w:rFonts w:ascii="Arial" w:cs="Arial" w:eastAsia="Arial" w:hAnsi="Arial"/>
          <w:sz w:val="17"/>
          <w:szCs w:val="17"/>
          <w:color w:val="auto"/>
        </w:rPr>
      </w:pPr>
    </w:p>
    <w:p>
      <w:pPr>
        <w:ind w:left="1260" w:right="320" w:hanging="415"/>
        <w:spacing w:after="0" w:line="269"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drugs to eligible beneficiaries during its coverage gap period, as a condition for the manufacturer’s outpatient drugs to be covered under Medicare Part D;</w:t>
      </w:r>
    </w:p>
    <w:p>
      <w:pPr>
        <w:spacing w:after="0" w:line="80" w:lineRule="exact"/>
        <w:rPr>
          <w:rFonts w:ascii="Arial" w:cs="Arial" w:eastAsia="Arial" w:hAnsi="Arial"/>
          <w:sz w:val="17"/>
          <w:szCs w:val="17"/>
          <w:color w:val="auto"/>
        </w:rPr>
      </w:pPr>
    </w:p>
    <w:p>
      <w:pPr>
        <w:ind w:left="1260" w:right="220" w:hanging="415"/>
        <w:spacing w:after="0" w:line="269"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its immediate family members;</w:t>
      </w:r>
    </w:p>
    <w:p>
      <w:pPr>
        <w:spacing w:after="0" w:line="80" w:lineRule="exact"/>
        <w:rPr>
          <w:rFonts w:ascii="Arial" w:cs="Arial" w:eastAsia="Arial" w:hAnsi="Arial"/>
          <w:sz w:val="17"/>
          <w:szCs w:val="17"/>
          <w:color w:val="auto"/>
        </w:rPr>
      </w:pPr>
    </w:p>
    <w:p>
      <w:pPr>
        <w:jc w:val="both"/>
        <w:ind w:left="1260" w:right="40" w:hanging="415"/>
        <w:spacing w:after="0" w:line="269"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to 23.1% and 13.0% of the average manufacturer price (“AMP”) for branded and generic drugs, respectively, and capped the total rebate amount for innovator drugs at 100% of the AMP;</w:t>
      </w:r>
    </w:p>
    <w:p>
      <w:pPr>
        <w:spacing w:after="0" w:line="80" w:lineRule="exact"/>
        <w:rPr>
          <w:rFonts w:ascii="Arial" w:cs="Arial" w:eastAsia="Arial" w:hAnsi="Arial"/>
          <w:sz w:val="17"/>
          <w:szCs w:val="17"/>
          <w:color w:val="auto"/>
        </w:rPr>
      </w:pPr>
    </w:p>
    <w:p>
      <w:pPr>
        <w:ind w:left="1260" w:right="580" w:hanging="415"/>
        <w:spacing w:after="0" w:line="284"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and biologics, including Mereo’s product candidates, that are inhaled, infused, instilled, implanted, or injected;</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80"/>
          </w:cols>
          <w:pgMar w:left="240" w:top="445" w:right="67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300" w:hanging="415"/>
        <w:spacing w:after="0" w:line="284" w:lineRule="auto"/>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extension of a manufacturer’s Medicaid rebate liability to covered drugs dispensed to individuals who are enrolled in Medicaid managed care organizations;</w:t>
      </w:r>
    </w:p>
    <w:p>
      <w:pPr>
        <w:spacing w:after="0" w:line="68" w:lineRule="exact"/>
        <w:rPr>
          <w:rFonts w:ascii="Arial" w:cs="Arial" w:eastAsia="Arial" w:hAnsi="Arial"/>
          <w:sz w:val="17"/>
          <w:szCs w:val="17"/>
          <w:color w:val="auto"/>
        </w:rPr>
      </w:pPr>
    </w:p>
    <w:p>
      <w:pPr>
        <w:ind w:left="1260" w:right="400" w:hanging="415"/>
        <w:spacing w:after="0" w:line="269" w:lineRule="auto"/>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0" w:lineRule="exact"/>
        <w:rPr>
          <w:rFonts w:ascii="Arial" w:cs="Arial" w:eastAsia="Arial" w:hAnsi="Arial"/>
          <w:sz w:val="17"/>
          <w:szCs w:val="17"/>
          <w:color w:val="auto"/>
        </w:rPr>
      </w:pPr>
    </w:p>
    <w:p>
      <w:pPr>
        <w:ind w:left="1260" w:right="580" w:hanging="415"/>
        <w:spacing w:after="0" w:line="284" w:lineRule="auto"/>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68" w:lineRule="exact"/>
        <w:rPr>
          <w:rFonts w:ascii="Arial" w:cs="Arial" w:eastAsia="Arial" w:hAnsi="Arial"/>
          <w:sz w:val="17"/>
          <w:szCs w:val="17"/>
          <w:color w:val="auto"/>
        </w:rPr>
      </w:pPr>
    </w:p>
    <w:p>
      <w:pPr>
        <w:ind w:left="1260" w:right="120" w:hanging="415"/>
        <w:spacing w:after="0" w:line="269" w:lineRule="auto"/>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creation of the Independent Payment Advisory Board, which, once empaneled, will have the authority to recommend certain changes to the Medicare program that could result in reduced payments for prescription drugs and those recommendations could have the effect of law unless overruled by a supermajority vote of the U.S. Congress (“Congress”);</w:t>
      </w:r>
    </w:p>
    <w:p>
      <w:pPr>
        <w:spacing w:after="0" w:line="80" w:lineRule="exact"/>
        <w:rPr>
          <w:rFonts w:ascii="Arial" w:cs="Arial" w:eastAsia="Arial" w:hAnsi="Arial"/>
          <w:sz w:val="17"/>
          <w:szCs w:val="17"/>
          <w:color w:val="auto"/>
        </w:rPr>
      </w:pPr>
    </w:p>
    <w:p>
      <w:pPr>
        <w:ind w:left="1260" w:right="240" w:hanging="415"/>
        <w:spacing w:after="0" w:line="316" w:lineRule="auto"/>
        <w:tabs>
          <w:tab w:leader="none" w:pos="1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46" w:lineRule="exact"/>
        <w:rPr>
          <w:rFonts w:ascii="Arial" w:cs="Arial" w:eastAsia="Arial" w:hAnsi="Arial"/>
          <w:sz w:val="16"/>
          <w:szCs w:val="16"/>
          <w:color w:val="auto"/>
        </w:rPr>
      </w:pPr>
    </w:p>
    <w:p>
      <w:pPr>
        <w:ind w:left="1260" w:hanging="415"/>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program;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licensure framework for follow on biologic products.</w:t>
      </w:r>
    </w:p>
    <w:p>
      <w:pPr>
        <w:spacing w:after="0" w:line="219" w:lineRule="exact"/>
        <w:rPr>
          <w:sz w:val="20"/>
          <w:szCs w:val="20"/>
          <w:color w:val="auto"/>
        </w:rPr>
      </w:pPr>
    </w:p>
    <w:p>
      <w:pPr>
        <w:ind w:left="440" w:right="60" w:firstLine="423"/>
        <w:spacing w:after="0" w:line="274"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any certain provisions of the ACA or otherwise circumvent some of the requirements for health insurance mandated by the ACA. The Trump administration has also announced that it will discontinue the payment of cost-sharing reduction (“CSR”) payments to insurance companies until Congress approves the appropriation of funds for the CSR payments. The loss of the CSR payments is expected to increase premiums on certain policies issued by qualified health plans under the ACA. A bipartisan bill to appropriate funds for CSR payments has been introduced in the Senate, but the future of that bill is uncertain.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have put forth multiple bills this year designed to repeal or repeal and replace portions of the ACA. Although none of these measures have been enacted by Congress to date, Congress may consider other legislation to repeal and replace elements of the ACA. Congress will likely consider other legislation to replace elements of the ACA. Mereo continues to evaluate the effect that the ACA and its possible repeal and replacement has on its business. It is uncertain the extent to which any such changes may impact Mereo’s business or financial condition.</w:t>
      </w:r>
    </w:p>
    <w:p>
      <w:pPr>
        <w:spacing w:after="0" w:line="170" w:lineRule="exact"/>
        <w:rPr>
          <w:sz w:val="20"/>
          <w:szCs w:val="20"/>
          <w:color w:val="auto"/>
        </w:rPr>
      </w:pPr>
    </w:p>
    <w:p>
      <w:pPr>
        <w:ind w:left="440" w:right="60" w:firstLine="423"/>
        <w:spacing w:after="0" w:line="275"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 amendments to the statute, will remain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Mereo’s customers and accordingly, Mereo’s financial operations.</w:t>
      </w:r>
    </w:p>
    <w:p>
      <w:pPr>
        <w:spacing w:after="0" w:line="171"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000"/>
          </w:cols>
          <w:pgMar w:left="240" w:top="445" w:right="6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40"/>
        <w:spacing w:after="0" w:line="264" w:lineRule="auto"/>
        <w:rPr>
          <w:sz w:val="20"/>
          <w:szCs w:val="20"/>
          <w:color w:val="auto"/>
        </w:rPr>
      </w:pPr>
      <w:r>
        <w:rPr>
          <w:rFonts w:ascii="Arial" w:cs="Arial" w:eastAsia="Arial" w:hAnsi="Arial"/>
          <w:sz w:val="17"/>
          <w:szCs w:val="17"/>
          <w:color w:val="auto"/>
        </w:rPr>
        <w:t>programs, and reform government program reimbursement methodologies for drugs. Moreover, payment methodologies may be subject to changes in healthcare legislation and regulatory initiatives. Mereo expects that additional U.S. federal healthcare reform measures will be adopted in the future, any of which could limit the amounts that the U.S. federal government will pay for healthcare products and services, which could result in reduced demand for Mereo’s product candidates or additional pricing pressures.</w:t>
      </w:r>
    </w:p>
    <w:p>
      <w:pPr>
        <w:spacing w:after="0" w:line="176" w:lineRule="exact"/>
        <w:rPr>
          <w:sz w:val="20"/>
          <w:szCs w:val="20"/>
          <w:color w:val="auto"/>
        </w:rPr>
      </w:pPr>
    </w:p>
    <w:p>
      <w:pPr>
        <w:ind w:left="440" w:right="60" w:firstLine="423"/>
        <w:spacing w:after="0" w:line="278" w:lineRule="auto"/>
        <w:rPr>
          <w:sz w:val="20"/>
          <w:szCs w:val="20"/>
          <w:color w:val="auto"/>
        </w:rPr>
      </w:pPr>
      <w:r>
        <w:rPr>
          <w:rFonts w:ascii="Arial" w:cs="Arial" w:eastAsia="Arial" w:hAnsi="Arial"/>
          <w:sz w:val="16"/>
          <w:szCs w:val="16"/>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Mereo’s business, results of operations, financial condition, and prospects. In addition, regional healthcare authorities and individual hospitals are increasingly using bidding procedures to determine what pharmaceutical products and which suppliers will be included in its prescription drug and other healthcare programs. This could reduce the ultimate demand for Mereo’s product candidates or put pressure on Mereo’s product pricing.</w:t>
      </w:r>
    </w:p>
    <w:p>
      <w:pPr>
        <w:spacing w:after="0" w:line="166" w:lineRule="exact"/>
        <w:rPr>
          <w:sz w:val="20"/>
          <w:szCs w:val="20"/>
          <w:color w:val="auto"/>
        </w:rPr>
      </w:pPr>
    </w:p>
    <w:p>
      <w:pPr>
        <w:ind w:left="440" w:firstLine="423"/>
        <w:spacing w:after="0" w:line="296" w:lineRule="auto"/>
        <w:rPr>
          <w:sz w:val="20"/>
          <w:szCs w:val="20"/>
          <w:color w:val="auto"/>
        </w:rPr>
      </w:pPr>
      <w:r>
        <w:rPr>
          <w:rFonts w:ascii="Arial" w:cs="Arial" w:eastAsia="Arial" w:hAnsi="Arial"/>
          <w:sz w:val="15"/>
          <w:szCs w:val="15"/>
          <w:color w:val="auto"/>
        </w:rPr>
        <w:t>In the EU, similar political, economic and regulatory developments may affect Mereo’s ability to profitably commercialize its product candidates, if approved. In addition to continuing pressure on prices and cost containment measures, legislative developments at the EU or member state level may result in significant additional requirements or obstacles that may increase Mereo’s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Mereo’s product candidates, restrict or regulate post-approval activities and affect Mereo’s ability to commercialize its product candidates, if approved.</w:t>
      </w:r>
    </w:p>
    <w:p>
      <w:pPr>
        <w:spacing w:after="0" w:line="157" w:lineRule="exact"/>
        <w:rPr>
          <w:sz w:val="20"/>
          <w:szCs w:val="20"/>
          <w:color w:val="auto"/>
        </w:rPr>
      </w:pPr>
    </w:p>
    <w:p>
      <w:pPr>
        <w:ind w:left="440" w:right="40" w:firstLine="423"/>
        <w:spacing w:after="0" w:line="284" w:lineRule="auto"/>
        <w:rPr>
          <w:sz w:val="20"/>
          <w:szCs w:val="20"/>
          <w:color w:val="auto"/>
        </w:rPr>
      </w:pPr>
      <w:r>
        <w:rPr>
          <w:rFonts w:ascii="Arial" w:cs="Arial" w:eastAsia="Arial" w:hAnsi="Arial"/>
          <w:sz w:val="17"/>
          <w:szCs w:val="17"/>
          <w:color w:val="auto"/>
        </w:rPr>
        <w:t>In markets outside of the United States and EU, reimbursement and healthcare payment systems vary significantly by country, and many countries have instituted price ceilings on specific products and therapies.</w:t>
      </w:r>
    </w:p>
    <w:p>
      <w:pPr>
        <w:spacing w:after="0" w:line="159" w:lineRule="exact"/>
        <w:rPr>
          <w:sz w:val="20"/>
          <w:szCs w:val="20"/>
          <w:color w:val="auto"/>
        </w:rPr>
      </w:pPr>
    </w:p>
    <w:p>
      <w:pPr>
        <w:ind w:left="440" w:right="140" w:firstLine="423"/>
        <w:spacing w:after="0" w:line="285" w:lineRule="auto"/>
        <w:rPr>
          <w:sz w:val="20"/>
          <w:szCs w:val="20"/>
          <w:color w:val="auto"/>
        </w:rPr>
      </w:pPr>
      <w:r>
        <w:rPr>
          <w:rFonts w:ascii="Arial" w:cs="Arial" w:eastAsia="Arial" w:hAnsi="Arial"/>
          <w:sz w:val="16"/>
          <w:szCs w:val="16"/>
          <w:color w:val="auto"/>
        </w:rPr>
        <w:t>Mereo cannot predict the likelihood, nature, or extent of government regulation that may arise from future legislation or administrative action in the United States, the EU, or any other jurisdiction. If Mereo or any third parties it may engage are slow or unable to adapt to changes in existing requirements or the adoption of new requirements or policies, or if Mereo or such third parties are not able to maintain regulatory compliance, Mereo’s product candidates may lose any regulatory approval that may have been obtained and Mereo may not achieve or sustain profitability.</w:t>
      </w:r>
    </w:p>
    <w:p>
      <w:pPr>
        <w:spacing w:after="0" w:line="162" w:lineRule="exact"/>
        <w:rPr>
          <w:sz w:val="20"/>
          <w:szCs w:val="20"/>
          <w:color w:val="auto"/>
        </w:rPr>
      </w:pPr>
    </w:p>
    <w:p>
      <w:pPr>
        <w:ind w:left="640" w:right="280"/>
        <w:spacing w:after="0" w:line="396" w:lineRule="auto"/>
        <w:rPr>
          <w:sz w:val="20"/>
          <w:szCs w:val="20"/>
          <w:color w:val="auto"/>
        </w:rPr>
      </w:pPr>
      <w:r>
        <w:rPr>
          <w:rFonts w:ascii="Arial" w:cs="Arial" w:eastAsia="Arial" w:hAnsi="Arial"/>
          <w:sz w:val="14"/>
          <w:szCs w:val="14"/>
          <w:b w:val="1"/>
          <w:bCs w:val="1"/>
          <w:i w:val="1"/>
          <w:iCs w:val="1"/>
          <w:color w:val="auto"/>
        </w:rPr>
        <w:t>Mereo’s business operations and current and future relationships with investigators, healthcare professionals, consultants, third-party payors, patient organizations, and customers will be subject to applicable healthcare regulatory laws, which could expose Mereo to penalties.</w:t>
      </w:r>
    </w:p>
    <w:p>
      <w:pPr>
        <w:spacing w:after="0" w:line="90" w:lineRule="exact"/>
        <w:rPr>
          <w:sz w:val="20"/>
          <w:szCs w:val="20"/>
          <w:color w:val="auto"/>
        </w:rPr>
      </w:pPr>
    </w:p>
    <w:p>
      <w:pPr>
        <w:ind w:left="440" w:right="260" w:firstLine="423"/>
        <w:spacing w:after="0" w:line="264" w:lineRule="auto"/>
        <w:rPr>
          <w:sz w:val="20"/>
          <w:szCs w:val="20"/>
          <w:color w:val="auto"/>
        </w:rPr>
      </w:pPr>
      <w:r>
        <w:rPr>
          <w:rFonts w:ascii="Arial" w:cs="Arial" w:eastAsia="Arial" w:hAnsi="Arial"/>
          <w:sz w:val="17"/>
          <w:szCs w:val="17"/>
          <w:color w:val="auto"/>
        </w:rPr>
        <w:t>Mereo business operations and current and future arrangements with investigators, healthcare professionals, consultants, third-party payors, patient organizations, and customers, may expose Mereo to broadly applicable fraud and abuse and other healthcare laws and regulations. These laws may constrain the business or financial arrangements and relationships through which Mereo conduct its operations, including how it researches, markets, sells, and distributes its product candidates, if approved. Such laws include:</w:t>
      </w:r>
    </w:p>
    <w:p>
      <w:pPr>
        <w:spacing w:after="0" w:line="85" w:lineRule="exact"/>
        <w:rPr>
          <w:sz w:val="20"/>
          <w:szCs w:val="20"/>
          <w:color w:val="auto"/>
        </w:rPr>
      </w:pPr>
    </w:p>
    <w:p>
      <w:pPr>
        <w:ind w:left="1260" w:right="240" w:hanging="415"/>
        <w:spacing w:after="0" w:line="258" w:lineRule="auto"/>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000"/>
          </w:cols>
          <w:pgMar w:left="240" w:top="445" w:right="6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80" w:hanging="415"/>
        <w:spacing w:after="0" w:line="257" w:lineRule="auto"/>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U.S. federal false claims and civil monetary penalties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95" w:lineRule="exact"/>
        <w:rPr>
          <w:rFonts w:ascii="Arial" w:cs="Arial" w:eastAsia="Arial" w:hAnsi="Arial"/>
          <w:sz w:val="17"/>
          <w:szCs w:val="17"/>
          <w:color w:val="auto"/>
        </w:rPr>
      </w:pPr>
    </w:p>
    <w:p>
      <w:pPr>
        <w:ind w:left="1260" w:right="20" w:hanging="415"/>
        <w:spacing w:after="0" w:line="278" w:lineRule="auto"/>
        <w:tabs>
          <w:tab w:leader="none" w:pos="1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4" w:lineRule="exact"/>
        <w:rPr>
          <w:rFonts w:ascii="Arial" w:cs="Arial" w:eastAsia="Arial" w:hAnsi="Arial"/>
          <w:sz w:val="16"/>
          <w:szCs w:val="16"/>
          <w:color w:val="auto"/>
        </w:rPr>
      </w:pPr>
    </w:p>
    <w:p>
      <w:pPr>
        <w:ind w:left="1260" w:right="200" w:hanging="415"/>
        <w:spacing w:after="0" w:line="258" w:lineRule="auto"/>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(“HITECH”) and its respective implementing regulations, which impose, among other things, specified requirements relating to the privacy, security and transmission of individually identifiable health information without appropriate authorization by covered entities subject to the rule, such as health plans, healthcare clearinghouses and healthcare providers as well as its business associates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2" w:lineRule="exact"/>
        <w:rPr>
          <w:rFonts w:ascii="Arial" w:cs="Arial" w:eastAsia="Arial" w:hAnsi="Arial"/>
          <w:sz w:val="17"/>
          <w:szCs w:val="17"/>
          <w:color w:val="auto"/>
        </w:rPr>
      </w:pPr>
    </w:p>
    <w:p>
      <w:pPr>
        <w:ind w:left="1260" w:right="240" w:hanging="415"/>
        <w:spacing w:after="0" w:line="284" w:lineRule="auto"/>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U.S. federal Food, Drug and Cosmetic Act (“FDCA”), which prohibits, among other things, the adulteration or misbranding of drugs, biologics, and medical devices;</w:t>
      </w:r>
    </w:p>
    <w:p>
      <w:pPr>
        <w:spacing w:after="0" w:line="68" w:lineRule="exact"/>
        <w:rPr>
          <w:rFonts w:ascii="Arial" w:cs="Arial" w:eastAsia="Arial" w:hAnsi="Arial"/>
          <w:sz w:val="17"/>
          <w:szCs w:val="17"/>
          <w:color w:val="auto"/>
        </w:rPr>
      </w:pPr>
    </w:p>
    <w:p>
      <w:pPr>
        <w:ind w:left="1260" w:hanging="415"/>
        <w:spacing w:after="0" w:line="284" w:lineRule="auto"/>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U.S. Public Health Service Act (“PHSA”), which prohibits, among other things, the introduction into interstate commerce of a biological product unless a biologics license is in effect for that product;</w:t>
      </w:r>
    </w:p>
    <w:p>
      <w:pPr>
        <w:spacing w:after="0" w:line="68" w:lineRule="exact"/>
        <w:rPr>
          <w:rFonts w:ascii="Arial" w:cs="Arial" w:eastAsia="Arial" w:hAnsi="Arial"/>
          <w:sz w:val="17"/>
          <w:szCs w:val="17"/>
          <w:color w:val="auto"/>
        </w:rPr>
      </w:pPr>
    </w:p>
    <w:p>
      <w:pPr>
        <w:ind w:left="1260" w:right="160" w:hanging="415"/>
        <w:spacing w:after="0" w:line="261" w:lineRule="auto"/>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its immediate family members;</w:t>
      </w:r>
    </w:p>
    <w:p>
      <w:pPr>
        <w:spacing w:after="0" w:line="89" w:lineRule="exact"/>
        <w:rPr>
          <w:rFonts w:ascii="Arial" w:cs="Arial" w:eastAsia="Arial" w:hAnsi="Arial"/>
          <w:sz w:val="17"/>
          <w:szCs w:val="17"/>
          <w:color w:val="auto"/>
        </w:rPr>
      </w:pPr>
    </w:p>
    <w:p>
      <w:pPr>
        <w:ind w:left="1260" w:right="40" w:hanging="415"/>
        <w:spacing w:after="0" w:line="276" w:lineRule="auto"/>
        <w:tabs>
          <w:tab w:leader="none" w:pos="1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analogous U.S. state laws and regulations, including: state anti-kickback and false claims laws, which may apply to Mereo’s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980"/>
          </w:cols>
          <w:pgMar w:left="240" w:top="445" w:right="6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240" w:hanging="415"/>
        <w:spacing w:after="0" w:line="284" w:lineRule="auto"/>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similar healthcare laws and regulations in the EU and other jurisdictions, including reporting requirements detailing interactions with and payments to healthcare providers.</w:t>
      </w:r>
    </w:p>
    <w:p>
      <w:pPr>
        <w:spacing w:after="0" w:line="159"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Mereo’s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Mereo’s current and future internal operations and business arrangements with third parties comply with applicable healthcare laws and regulations will involve substantial costs. It is possible that governmental authorities will conclude that Mereo’s business practices do not comply with current or future statutes, regulations, agency guidance or case law involving applicable fraud and abuse or other healthcare laws and regulations.</w:t>
      </w:r>
    </w:p>
    <w:p>
      <w:pPr>
        <w:spacing w:after="0" w:line="181" w:lineRule="exact"/>
        <w:rPr>
          <w:sz w:val="20"/>
          <w:szCs w:val="20"/>
          <w:color w:val="auto"/>
        </w:rPr>
      </w:pPr>
    </w:p>
    <w:p>
      <w:pPr>
        <w:ind w:left="440" w:right="40" w:firstLine="423"/>
        <w:spacing w:after="0" w:line="295" w:lineRule="auto"/>
        <w:rPr>
          <w:sz w:val="20"/>
          <w:szCs w:val="20"/>
          <w:color w:val="auto"/>
        </w:rPr>
      </w:pPr>
      <w:r>
        <w:rPr>
          <w:rFonts w:ascii="Arial" w:cs="Arial" w:eastAsia="Arial" w:hAnsi="Arial"/>
          <w:sz w:val="15"/>
          <w:szCs w:val="15"/>
          <w:color w:val="auto"/>
        </w:rPr>
        <w:t>If Mereo’s operations are found to be in violation of any of the laws described above or any other governmental laws and regulations that may apply to it, Mereo may be subject to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and/or oversight if Mereo becomes subject to a corporate integrity agreement or similar agreement to resolve allegations of non-compliance with these laws, and curtailment or restructuring of Mereo’s operations, any of which could adversely affect Mereo’s ability to operate its business and its results of operations. If any of the physicians or other providers or entities with whom Mereo expects to do business are found to not be in compliance with applicable laws, Mereo may be subject to criminal, civil or administrative sanctions, including exclusions from government funded healthcare programs and imprisonment, which could affect Mereo’s ability to operate its business. Further, defending against any such actions can be costly, time-consuming and may require significant personnel resources. Therefore, even if Mereo is successful in defending against any such actions that may be brought against it, its business may be impaired.</w:t>
      </w:r>
    </w:p>
    <w:p>
      <w:pPr>
        <w:spacing w:after="0" w:line="159" w:lineRule="exact"/>
        <w:rPr>
          <w:sz w:val="20"/>
          <w:szCs w:val="20"/>
          <w:color w:val="auto"/>
        </w:rPr>
      </w:pPr>
    </w:p>
    <w:p>
      <w:pPr>
        <w:ind w:left="640" w:right="240"/>
        <w:spacing w:after="0" w:line="284" w:lineRule="auto"/>
        <w:rPr>
          <w:sz w:val="20"/>
          <w:szCs w:val="20"/>
          <w:color w:val="auto"/>
        </w:rPr>
      </w:pPr>
      <w:r>
        <w:rPr>
          <w:rFonts w:ascii="Arial" w:cs="Arial" w:eastAsia="Arial" w:hAnsi="Arial"/>
          <w:sz w:val="17"/>
          <w:szCs w:val="17"/>
          <w:b w:val="1"/>
          <w:bCs w:val="1"/>
          <w:i w:val="1"/>
          <w:iCs w:val="1"/>
          <w:color w:val="auto"/>
        </w:rPr>
        <w:t>Mereo is subject to governmental regulation and other legal obligations related to privacy, data protection and data security. Mereo’s actual or perceived failure to comply with such obligations could harm its business.</w:t>
      </w:r>
    </w:p>
    <w:p>
      <w:pPr>
        <w:spacing w:after="0" w:line="159" w:lineRule="exact"/>
        <w:rPr>
          <w:sz w:val="20"/>
          <w:szCs w:val="20"/>
          <w:color w:val="auto"/>
        </w:rPr>
      </w:pPr>
    </w:p>
    <w:p>
      <w:pPr>
        <w:jc w:val="both"/>
        <w:ind w:left="440" w:right="20" w:firstLine="423"/>
        <w:spacing w:after="0" w:line="269" w:lineRule="auto"/>
        <w:rPr>
          <w:sz w:val="20"/>
          <w:szCs w:val="20"/>
          <w:color w:val="auto"/>
        </w:rPr>
      </w:pPr>
      <w:r>
        <w:rPr>
          <w:rFonts w:ascii="Arial" w:cs="Arial" w:eastAsia="Arial" w:hAnsi="Arial"/>
          <w:sz w:val="17"/>
          <w:szCs w:val="17"/>
          <w:color w:val="auto"/>
        </w:rPr>
        <w:t>Mereo is subject to diverse laws and regulations relating to data privacy and security in the EU, and in the future in the European Economic Area, including the GDPR. New global privacy rules are being enacted and existing ones are being updated and strengthened. Mereo is likely to be required to expend capital and other resources to ensure ongoing compliance with these laws and regulations.</w:t>
      </w:r>
    </w:p>
    <w:p>
      <w:pPr>
        <w:spacing w:after="0" w:line="171" w:lineRule="exact"/>
        <w:rPr>
          <w:sz w:val="20"/>
          <w:szCs w:val="20"/>
          <w:color w:val="auto"/>
        </w:rPr>
      </w:pPr>
    </w:p>
    <w:p>
      <w:pPr>
        <w:ind w:left="440" w:right="380" w:firstLine="423"/>
        <w:spacing w:after="0" w:line="297" w:lineRule="auto"/>
        <w:rPr>
          <w:sz w:val="20"/>
          <w:szCs w:val="20"/>
          <w:color w:val="auto"/>
        </w:rPr>
      </w:pPr>
      <w:r>
        <w:rPr>
          <w:rFonts w:ascii="Arial" w:cs="Arial" w:eastAsia="Arial" w:hAnsi="Arial"/>
          <w:sz w:val="15"/>
          <w:szCs w:val="15"/>
          <w:color w:val="auto"/>
        </w:rPr>
        <w:t>The GDPR applies extraterritorially and implements stringent operational requirements for controllers and processors of personal data. For example, the GDPR: (i) requires detailed disclosures to data subjects; (ii) requires disclosure of the legal basis on which personal data is processed;</w:t>
      </w:r>
    </w:p>
    <w:p>
      <w:pPr>
        <w:ind w:left="440" w:hanging="9"/>
        <w:spacing w:after="0" w:line="293" w:lineRule="auto"/>
        <w:tabs>
          <w:tab w:leader="none" w:pos="742" w:val="left"/>
        </w:tabs>
        <w:numPr>
          <w:ilvl w:val="0"/>
          <w:numId w:val="30"/>
        </w:numPr>
        <w:rPr>
          <w:rFonts w:ascii="Arial" w:cs="Arial" w:eastAsia="Arial" w:hAnsi="Arial"/>
          <w:sz w:val="15"/>
          <w:szCs w:val="15"/>
          <w:color w:val="auto"/>
        </w:rPr>
      </w:pPr>
      <w:r>
        <w:rPr>
          <w:rFonts w:ascii="Arial" w:cs="Arial" w:eastAsia="Arial" w:hAnsi="Arial"/>
          <w:sz w:val="15"/>
          <w:szCs w:val="15"/>
          <w:color w:val="auto"/>
        </w:rPr>
        <w:t>makes it harder to obtain valid consent for processing; (iv) requires the appointment of a data protection officers where sensitive personal data (i.e. health data) is processed on a large scale; (v) provides more robust rights for data subjects; (vi) introduces mandatory data breach notification through the EU; (vii) imposes additional obligations when contracting with service providers; and (viii) requires an appropriate privacy governance framework to be implemented including policies, procedures, training and data audit. The GDPR permits member state derogations for certain issues and, accordingly, Mereo is also subject to EU national laws relating to the processing of certain data such as genetic data, biometric data and data concerning health. Complying with these numerous, complex and often changing regulations is expensive and difficult. Failure by Mereo, or its partners or service providers, to comply with the GDPR could result in regulatory investigations, enforcement notices and/or fines of up to the higher of 20,000,000 Euros or up to 4% of Mereo’s total worldwide annual turnover. In addition to the foregoing, any breach of privacy laws or data security laws, particularly those resulting in any security incident or breach involving the misappropriation, loss or other unauthorized use or disclosure of sensitive or confidential patient or consumer information, could have a material adverse effect on Mereo’s business, reputation and financial condition.</w:t>
      </w:r>
    </w:p>
    <w:p>
      <w:pPr>
        <w:spacing w:after="0" w:line="161" w:lineRule="exact"/>
        <w:rPr>
          <w:sz w:val="20"/>
          <w:szCs w:val="20"/>
          <w:color w:val="auto"/>
        </w:rPr>
      </w:pPr>
    </w:p>
    <w:p>
      <w:pPr>
        <w:ind w:left="440" w:right="100" w:firstLine="423"/>
        <w:spacing w:after="0" w:line="278" w:lineRule="auto"/>
        <w:rPr>
          <w:sz w:val="20"/>
          <w:szCs w:val="20"/>
          <w:color w:val="auto"/>
        </w:rPr>
      </w:pPr>
      <w:r>
        <w:rPr>
          <w:rFonts w:ascii="Arial" w:cs="Arial" w:eastAsia="Arial" w:hAnsi="Arial"/>
          <w:sz w:val="16"/>
          <w:szCs w:val="16"/>
          <w:color w:val="auto"/>
        </w:rPr>
        <w:t>As a data controller, Mereo is accountable for any third-party data service providers it engages to process personal data on its behalf. Mereo attempts to address the associated risks by performing security assessments, detailed due diligence and regularly performing privacy and security reviews of its vendors and requiring all such third-party providers with data access to sign agreements, including business associate agreements, and where required under EU law, obligating them to only process data according to Mereo’s instructions and to take sufficient security measures to protect such data. There is no assurance that these contractual measures and Mereo’s own privacy and security-related safeguards will protect it from the risks associated with the third-party processing, storage and transmission of such information. Any violation of data or security laws by Mereo’s third-party processors could have a material adverse effect on Mereo’s business and result in the fines and penalties outlined above.</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80"/>
          </w:cols>
          <w:pgMar w:left="240" w:top="445" w:right="6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40" w:firstLine="423"/>
        <w:spacing w:after="0" w:line="278" w:lineRule="auto"/>
        <w:rPr>
          <w:sz w:val="20"/>
          <w:szCs w:val="20"/>
          <w:color w:val="auto"/>
        </w:rPr>
      </w:pPr>
      <w:r>
        <w:rPr>
          <w:rFonts w:ascii="Arial" w:cs="Arial" w:eastAsia="Arial" w:hAnsi="Arial"/>
          <w:sz w:val="16"/>
          <w:szCs w:val="16"/>
          <w:color w:val="auto"/>
        </w:rPr>
        <w:t>Mereo is also subject to evolving European privacy laws on electronic marketing and cookies. The EU is in the process of replacing the e-Privacy Directive (2002/58/EC) (the “e-Privacy Directive”) with a new set of rules taking the form of a regulation, which will be directly implemented in the laws of each European member state. The draft e-Privacy Regulation (the “e-Privacy Regulation”) imposes strict opt-in marketing rules with limited exceptions for business-to-business communications, alters rules on third-party cookies, web beacons and similar technology and significantly increases fining powers to the same levels as GDPR (i.e. the greater of 20,000,000 Euros or 4% of total global annual revenue). While the e-Privacy Regulation was originally intended to be adopted on May 25, 2018 (alongside the GDPR), it is still going through the European legislative process and commentators now expect it to be adopted during the second half of 2020 or during 2021 following a transition period.</w:t>
      </w:r>
    </w:p>
    <w:p>
      <w:pPr>
        <w:spacing w:after="0" w:line="166" w:lineRule="exact"/>
        <w:rPr>
          <w:sz w:val="20"/>
          <w:szCs w:val="20"/>
          <w:color w:val="auto"/>
        </w:rPr>
      </w:pPr>
    </w:p>
    <w:p>
      <w:pPr>
        <w:ind w:left="640" w:right="300"/>
        <w:spacing w:after="0" w:line="269" w:lineRule="auto"/>
        <w:rPr>
          <w:sz w:val="20"/>
          <w:szCs w:val="20"/>
          <w:color w:val="auto"/>
        </w:rPr>
      </w:pPr>
      <w:r>
        <w:rPr>
          <w:rFonts w:ascii="Arial" w:cs="Arial" w:eastAsia="Arial" w:hAnsi="Arial"/>
          <w:sz w:val="17"/>
          <w:szCs w:val="17"/>
          <w:b w:val="1"/>
          <w:bCs w:val="1"/>
          <w:i w:val="1"/>
          <w:iCs w:val="1"/>
          <w:color w:val="auto"/>
        </w:rPr>
        <w:t>Due to Mereo’s international operations, it is subject to anti-corruption laws, as well as export control laws, customs laws, sanctions laws and other laws governing its operations. If Mereo fails to comply with these laws, it could be subject to civil or criminal penalties, other remedial measures and legal expenses.</w:t>
      </w:r>
    </w:p>
    <w:p>
      <w:pPr>
        <w:spacing w:after="0" w:line="171" w:lineRule="exact"/>
        <w:rPr>
          <w:sz w:val="20"/>
          <w:szCs w:val="20"/>
          <w:color w:val="auto"/>
        </w:rPr>
      </w:pPr>
    </w:p>
    <w:p>
      <w:pPr>
        <w:ind w:left="440" w:firstLine="423"/>
        <w:spacing w:after="0" w:line="276" w:lineRule="auto"/>
        <w:rPr>
          <w:sz w:val="20"/>
          <w:szCs w:val="20"/>
          <w:color w:val="auto"/>
        </w:rPr>
      </w:pPr>
      <w:r>
        <w:rPr>
          <w:rFonts w:ascii="Arial" w:cs="Arial" w:eastAsia="Arial" w:hAnsi="Arial"/>
          <w:sz w:val="16"/>
          <w:szCs w:val="16"/>
          <w:color w:val="auto"/>
        </w:rPr>
        <w:t>Mereo’s operations are subject to anti-corruption laws, including the U.K. Bribery Act 2010 (the “Bribery Act”); the U.S. Foreign Corrupt Practices Act (the “FCPA”); and other anti-corruption laws that apply in countries where Mereo does business and may do business in the future. The Bribery Act, FCPA, and these other laws generally prohibit Mereo, its officers and its employees and intermediaries from bribing, being bribed by, or providing prohibited payments or anything else of value to government officials or other persons to obtain or retain business or gain some other business advantage. Mereo may in the future operate in jurisdictions that pose a high risk of potential Bribery Act or FCPA violations, and it may participate in collaborations and relationships with third parties whose actions could potentially subject it to liability under the Bribery Act, FCPA, or local anti-corruption laws. In addition, Mereo cannot predict the nature, scope, or effect of future regulatory requirements to which any of its international operations might be subject or the manner in which existing laws might be administered or interpreted.</w:t>
      </w:r>
    </w:p>
    <w:p>
      <w:pPr>
        <w:spacing w:after="0" w:line="172" w:lineRule="exact"/>
        <w:rPr>
          <w:sz w:val="20"/>
          <w:szCs w:val="20"/>
          <w:color w:val="auto"/>
        </w:rPr>
      </w:pPr>
    </w:p>
    <w:p>
      <w:pPr>
        <w:ind w:left="440" w:right="20" w:firstLine="423"/>
        <w:spacing w:after="0" w:line="293" w:lineRule="auto"/>
        <w:rPr>
          <w:sz w:val="20"/>
          <w:szCs w:val="20"/>
          <w:color w:val="auto"/>
        </w:rPr>
      </w:pPr>
      <w:r>
        <w:rPr>
          <w:rFonts w:ascii="Arial" w:cs="Arial" w:eastAsia="Arial" w:hAnsi="Arial"/>
          <w:sz w:val="16"/>
          <w:szCs w:val="16"/>
          <w:color w:val="auto"/>
        </w:rPr>
        <w:t>Mereo is also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(collectively, the “Trade Control Laws”).</w:t>
      </w:r>
    </w:p>
    <w:p>
      <w:pPr>
        <w:spacing w:after="0" w:line="155" w:lineRule="exact"/>
        <w:rPr>
          <w:sz w:val="20"/>
          <w:szCs w:val="20"/>
          <w:color w:val="auto"/>
        </w:rPr>
      </w:pPr>
    </w:p>
    <w:p>
      <w:pPr>
        <w:ind w:left="440" w:right="160" w:firstLine="423"/>
        <w:spacing w:after="0" w:line="279" w:lineRule="auto"/>
        <w:rPr>
          <w:sz w:val="20"/>
          <w:szCs w:val="20"/>
          <w:color w:val="auto"/>
        </w:rPr>
      </w:pPr>
      <w:r>
        <w:rPr>
          <w:rFonts w:ascii="Arial" w:cs="Arial" w:eastAsia="Arial" w:hAnsi="Arial"/>
          <w:sz w:val="16"/>
          <w:szCs w:val="16"/>
          <w:color w:val="auto"/>
        </w:rPr>
        <w:t>There is no assurance that Mereo will be completely effective in ensuring its compliance with all applicable anti-corruption laws, including the Bribery Act, the FCPA, or other legal requirements, including Trade Control Laws. If Mereo is not in compliance with the Bribery Act, the FCPA, and other anti-corruption laws or Trade Control Laws, it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Mereo did not violate such laws, could be costly and time-consuming, require significant personnel resources, and harm Mereo’s reputation.</w:t>
      </w:r>
    </w:p>
    <w:p>
      <w:pPr>
        <w:spacing w:after="0" w:line="167" w:lineRule="exact"/>
        <w:rPr>
          <w:sz w:val="20"/>
          <w:szCs w:val="20"/>
          <w:color w:val="auto"/>
        </w:rPr>
      </w:pPr>
    </w:p>
    <w:p>
      <w:pPr>
        <w:ind w:left="440" w:right="200" w:firstLine="423"/>
        <w:spacing w:after="0" w:line="321" w:lineRule="auto"/>
        <w:rPr>
          <w:sz w:val="20"/>
          <w:szCs w:val="20"/>
          <w:color w:val="auto"/>
        </w:rPr>
      </w:pPr>
      <w:r>
        <w:rPr>
          <w:rFonts w:ascii="Arial" w:cs="Arial" w:eastAsia="Arial" w:hAnsi="Arial"/>
          <w:sz w:val="15"/>
          <w:szCs w:val="15"/>
          <w:color w:val="auto"/>
        </w:rPr>
        <w:t>Mereo will seek to build and continuously improve its systems of internal controls and to remedy any weaknesses identified. There can be no assurance, however, that the policies and procedures will be followed at all times or effectively detect and prevent violations of the applicable laws by one or more of Mereo’s employees, consultants, agents, or collaborators and, as a result, Mereo could be subject to fines, penalties, or prosecution.</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Commercialization</w:t>
      </w:r>
    </w:p>
    <w:p>
      <w:pPr>
        <w:spacing w:after="0" w:line="121" w:lineRule="exact"/>
        <w:rPr>
          <w:sz w:val="20"/>
          <w:szCs w:val="20"/>
          <w:color w:val="auto"/>
        </w:rPr>
      </w:pPr>
    </w:p>
    <w:p>
      <w:pPr>
        <w:ind w:left="640" w:right="360"/>
        <w:spacing w:after="0" w:line="284" w:lineRule="auto"/>
        <w:rPr>
          <w:sz w:val="20"/>
          <w:szCs w:val="20"/>
          <w:color w:val="auto"/>
        </w:rPr>
      </w:pPr>
      <w:r>
        <w:rPr>
          <w:rFonts w:ascii="Arial" w:cs="Arial" w:eastAsia="Arial" w:hAnsi="Arial"/>
          <w:sz w:val="17"/>
          <w:szCs w:val="17"/>
          <w:b w:val="1"/>
          <w:bCs w:val="1"/>
          <w:i w:val="1"/>
          <w:iCs w:val="1"/>
          <w:color w:val="auto"/>
        </w:rPr>
        <w:t>Mereo operates in a highly competitive and rapidly changing industry, which may result in others acquiring, developing, or commercializing competing products before or more successfully than Mereo does.</w:t>
      </w:r>
    </w:p>
    <w:p>
      <w:pPr>
        <w:spacing w:after="0" w:line="159"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The biopharmaceutical and pharmaceutical industries are highly competitive and subject to significant and rapid technological change. Mereo’s success is highly dependent on its ability to acquire, develop, and obtain marketing approval for new products on a cost-effective basis and to market them successfully. If BPS-804, MPH-966, BCT-197, BGS-649, OMP-305B83 or OMP-313M32 is approved, Mereo will face intense competition from a variety of businesses, including large, fully integrated pharmaceutical companies, specialty pharmaceutical companies, and biopharmaceutical companies in the United States, Europe, and other jurisdictions. These organizations may have significantly greater resources than Mereo has and conduct similar research; seek patent protection; and establish collaborative arrangements for research, development, manufacturing, and marketing of products that may compete with Mereo’s product candidates.</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80"/>
          </w:cols>
          <w:pgMar w:left="240" w:top="445" w:right="6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Mereo expects to face competition for each of its current product candidates, including specifically:</w:t>
      </w:r>
    </w:p>
    <w:p>
      <w:pPr>
        <w:spacing w:after="0" w:line="128" w:lineRule="exact"/>
        <w:rPr>
          <w:sz w:val="20"/>
          <w:szCs w:val="20"/>
          <w:color w:val="auto"/>
        </w:rPr>
      </w:pPr>
    </w:p>
    <w:p>
      <w:pPr>
        <w:ind w:left="1260" w:right="60" w:hanging="415"/>
        <w:spacing w:after="0" w:line="279" w:lineRule="auto"/>
        <w:tabs>
          <w:tab w:leader="none" w:pos="1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Mereo considers BPS-804’s current closest potential competitors in development for the treatment of OI to be denosumab (Prolia) from Amgen Inc. (“Amgen”), an anti-resorptive agent, and UCB S.A. (“UCB”), and Amgen’s anti-sclerostin antibody, romosozumab. Blosozumab, an anti-sclerostin antibody, was in Phase 1 development for osteoporosis by Eli Lilly and Company (“Eli Lilly”); however, Mereo is not aware of any ongoing clinical trials for this product candidate and does not believe this product candidate remains under active development. Additionally, Bone Therapeutics SA (“Bone Therapeutics”), is developing osteoblastic cell therapy products. Baylor College of Medicine is also conducting a Phase 1 open label trial of fresolimumab, a TGF-B inhibitor, in adult OI patients.</w:t>
      </w:r>
    </w:p>
    <w:p>
      <w:pPr>
        <w:spacing w:after="0" w:line="76" w:lineRule="exact"/>
        <w:rPr>
          <w:rFonts w:ascii="Arial" w:cs="Arial" w:eastAsia="Arial" w:hAnsi="Arial"/>
          <w:sz w:val="16"/>
          <w:szCs w:val="16"/>
          <w:color w:val="auto"/>
        </w:rPr>
      </w:pPr>
    </w:p>
    <w:p>
      <w:pPr>
        <w:ind w:left="1260" w:right="40" w:hanging="415"/>
        <w:spacing w:after="0" w:line="258" w:lineRule="auto"/>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Mereo considers MPH-966’s current closest potential competitors for the treatment of severe AATD to be alpha1-proteinase inhibitors that are administered intravenously in AAT augmentation therapy. Currently, there are four inhibitors on the market in the United States: Prolastin-C from Grifols, S.A. (“Grifols”), Aralast from Shire plc, now a subsidiary of Takeda Pharmaceutical Company Ltd (“Shire”), Zemaira from CSL Limited (“CSL”), and Glassia from Kamada Ltd. (“Kamada”). Kamada is also investigating an inhaled version of augmentation therapy, Apic Bio, Inc. (“Apic Bio”) is in the early stages of developing gene-therapy approaches for AATD and Vertex Pharmaceuticals Inc. (“Vertex”) has an early-stage small molecule corrector program for AATD. Santhera Pharmaceuticals (“Santhera”), has in-licensed an inhaled neutrophil elastase inhibitor and is planning a multiple ascending dose study, with the initial indication targeted being cystic fibrosis.</w:t>
      </w:r>
    </w:p>
    <w:p>
      <w:pPr>
        <w:spacing w:after="0" w:line="92" w:lineRule="exact"/>
        <w:rPr>
          <w:rFonts w:ascii="Arial" w:cs="Arial" w:eastAsia="Arial" w:hAnsi="Arial"/>
          <w:sz w:val="17"/>
          <w:szCs w:val="17"/>
          <w:color w:val="auto"/>
        </w:rPr>
      </w:pPr>
    </w:p>
    <w:p>
      <w:pPr>
        <w:ind w:left="1260" w:right="200" w:hanging="415"/>
        <w:spacing w:after="0" w:line="321" w:lineRule="auto"/>
        <w:tabs>
          <w:tab w:leader="none" w:pos="12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For BCT-197, although Mereo is not aware of any approved therapies for the treatment of AECOPD, there are a wide range of established therapies available for COPD as well as a number of products in development, with Verona Pharma plc (“Verona Pharma”), GlaxoSmithKline plc. (“GlaxoSmithKline”), and AstraZeneca each conducting Phase 2 trials on drugs for the treatment of COPD.</w:t>
      </w:r>
    </w:p>
    <w:p>
      <w:pPr>
        <w:spacing w:after="0" w:line="45" w:lineRule="exact"/>
        <w:rPr>
          <w:rFonts w:ascii="Arial" w:cs="Arial" w:eastAsia="Arial" w:hAnsi="Arial"/>
          <w:sz w:val="15"/>
          <w:szCs w:val="15"/>
          <w:color w:val="auto"/>
        </w:rPr>
      </w:pPr>
    </w:p>
    <w:p>
      <w:pPr>
        <w:ind w:left="1260" w:hanging="415"/>
        <w:spacing w:after="0" w:line="258" w:lineRule="auto"/>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Mereo considers BGS-649’s current closest potential competitors for the treatment of HH to be testosterone replacement therapies (“TRT”). These include Androgel from AbbVie Inc. (“Abbvie”), and Eli Lilly’s Axiron, both administered transdermally by applying a gel formulation, which are approved in the United States and Europe, Andriol from Merck &amp; Co., Inc. (“Merck”), an oral testosterone therapy, which is approved in Europe but not in the United States and JATENZO from Clarus Therapeutics, Inc (“Clarus”) approved in the United States in March 2019. There are also other approved TRT products that are administered via injection and other oral TRTs that are still in the development or registration stages, such as TLANDO from Lipocine, Inc. (“Lipocine”). The FDA held advisory committee meetings in January 2018 for TLANDO. On May 9, 2018, Lipocine announced that it had received a complete response letter from the FDA and is in the process of addressing the issues identified in the letter.</w:t>
      </w:r>
    </w:p>
    <w:p>
      <w:pPr>
        <w:spacing w:after="0" w:line="92" w:lineRule="exact"/>
        <w:rPr>
          <w:rFonts w:ascii="Arial" w:cs="Arial" w:eastAsia="Arial" w:hAnsi="Arial"/>
          <w:sz w:val="17"/>
          <w:szCs w:val="17"/>
          <w:color w:val="auto"/>
        </w:rPr>
      </w:pPr>
    </w:p>
    <w:p>
      <w:pPr>
        <w:ind w:left="1260" w:right="20" w:hanging="415"/>
        <w:spacing w:after="0" w:line="262" w:lineRule="auto"/>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Mereo considers OMP-305B83’s competitors in ovarian cancer to be existing cancer treatments such as chemotherapeutic agents, Avastin</w:t>
      </w:r>
      <w:r>
        <w:rPr>
          <w:rFonts w:ascii="Arial" w:cs="Arial" w:eastAsia="Arial" w:hAnsi="Arial"/>
          <w:sz w:val="14"/>
          <w:szCs w:val="14"/>
          <w:color w:val="auto"/>
        </w:rPr>
        <w:t>®</w:t>
      </w:r>
      <w:r>
        <w:rPr>
          <w:rFonts w:ascii="Arial" w:cs="Arial" w:eastAsia="Arial" w:hAnsi="Arial"/>
          <w:sz w:val="17"/>
          <w:szCs w:val="17"/>
          <w:color w:val="auto"/>
        </w:rPr>
        <w:t>, the PARP inhibitors (Rubraca, Zejula and Lynparza) and potentially other drug candidates that are in clinical development such as anti-PD1 and antibody drug conjugates. In addition, there are two other anti-DLL4/VEGF dual variable domain immunoglobulins (Abbvie’s ABT-165 and ABL Bio’s ABL001) in clinical development. Finally, there are established pharmaceutical and biotechnology companies that are known to be involved in oncology research.</w:t>
      </w:r>
    </w:p>
    <w:p>
      <w:pPr>
        <w:spacing w:after="0" w:line="202" w:lineRule="exact"/>
        <w:rPr>
          <w:rFonts w:ascii="Arial" w:cs="Arial" w:eastAsia="Arial" w:hAnsi="Arial"/>
          <w:sz w:val="17"/>
          <w:szCs w:val="17"/>
          <w:color w:val="auto"/>
        </w:rPr>
      </w:pPr>
    </w:p>
    <w:p>
      <w:pPr>
        <w:ind w:left="1260" w:right="40" w:hanging="415"/>
        <w:spacing w:after="0" w:line="281" w:lineRule="auto"/>
        <w:tabs>
          <w:tab w:leader="none" w:pos="1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Mereo considers OMP-313M32’s competitors to be existing cancer treatments such as the commercially available immuno-oncology agents (e.g., Yervoy™, Keytruda</w:t>
      </w:r>
      <w:r>
        <w:rPr>
          <w:rFonts w:ascii="Arial" w:cs="Arial" w:eastAsia="Arial" w:hAnsi="Arial"/>
          <w:sz w:val="13"/>
          <w:szCs w:val="13"/>
          <w:color w:val="auto"/>
        </w:rPr>
        <w:t>®</w:t>
      </w:r>
      <w:r>
        <w:rPr>
          <w:rFonts w:ascii="Arial" w:cs="Arial" w:eastAsia="Arial" w:hAnsi="Arial"/>
          <w:sz w:val="16"/>
          <w:szCs w:val="16"/>
          <w:color w:val="auto"/>
        </w:rPr>
        <w:t>, and Opdivo</w:t>
      </w:r>
      <w:r>
        <w:rPr>
          <w:rFonts w:ascii="Arial" w:cs="Arial" w:eastAsia="Arial" w:hAnsi="Arial"/>
          <w:sz w:val="13"/>
          <w:szCs w:val="13"/>
          <w:color w:val="auto"/>
        </w:rPr>
        <w:t>®</w:t>
      </w:r>
      <w:r>
        <w:rPr>
          <w:rFonts w:ascii="Arial" w:cs="Arial" w:eastAsia="Arial" w:hAnsi="Arial"/>
          <w:sz w:val="16"/>
          <w:szCs w:val="16"/>
          <w:color w:val="auto"/>
        </w:rPr>
        <w:t>, etc.), chemotherapeutic agents, and antibody based therapeutics such as Avastin and Erbitux. In addition, other potential competitors include several other anti-TIGIT agents (e.g., those currently being developed by Genentech (Roche), Merck, Bristol-Myers Squibb or BMS, and Arcus Biosciences) and investigational immuno-oncologic, agents against other targets, there are established pharmaceutical and biotechnology companies that are known to be involved in oncology research.</w:t>
      </w:r>
    </w:p>
    <w:p>
      <w:pPr>
        <w:spacing w:after="0" w:line="166" w:lineRule="exact"/>
        <w:rPr>
          <w:sz w:val="20"/>
          <w:szCs w:val="20"/>
          <w:color w:val="auto"/>
        </w:rPr>
      </w:pPr>
    </w:p>
    <w:p>
      <w:pPr>
        <w:ind w:left="440" w:right="480" w:firstLine="423"/>
        <w:spacing w:after="0" w:line="284" w:lineRule="auto"/>
        <w:rPr>
          <w:sz w:val="20"/>
          <w:szCs w:val="20"/>
          <w:color w:val="auto"/>
        </w:rPr>
      </w:pPr>
      <w:r>
        <w:rPr>
          <w:rFonts w:ascii="Arial" w:cs="Arial" w:eastAsia="Arial" w:hAnsi="Arial"/>
          <w:sz w:val="17"/>
          <w:szCs w:val="17"/>
          <w:color w:val="auto"/>
        </w:rPr>
        <w:t>Mereo also anticipates that new companies will enter these markets in the future. If Mereo successfully develops and commercializes any of BPS-804, MPH-966, BCT-197, BGS-649, OMP-313M32 or OMP-305B83, they will</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000"/>
          </w:cols>
          <w:pgMar w:left="240" w:top="445" w:right="6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0"/>
        <w:spacing w:after="0" w:line="269" w:lineRule="auto"/>
        <w:rPr>
          <w:sz w:val="20"/>
          <w:szCs w:val="20"/>
          <w:color w:val="auto"/>
        </w:rPr>
      </w:pPr>
      <w:r>
        <w:rPr>
          <w:rFonts w:ascii="Arial" w:cs="Arial" w:eastAsia="Arial" w:hAnsi="Arial"/>
          <w:sz w:val="17"/>
          <w:szCs w:val="17"/>
          <w:color w:val="auto"/>
        </w:rPr>
        <w:t>compete with existing therapies and new therapies that may become available in the future. The highly competitive nature of and rapid technological changes in the biopharmaceutical and pharmaceutical industries could render Mereo’s product candidates obsolete, less competitive, or uneconomical. Mereo’s competitors may, among other things:</w:t>
      </w:r>
    </w:p>
    <w:p>
      <w:pPr>
        <w:spacing w:after="0" w:line="81" w:lineRule="exact"/>
        <w:rPr>
          <w:sz w:val="20"/>
          <w:szCs w:val="20"/>
          <w:color w:val="auto"/>
        </w:rPr>
      </w:pPr>
    </w:p>
    <w:p>
      <w:pPr>
        <w:ind w:left="1260" w:right="120" w:hanging="415"/>
        <w:spacing w:after="0" w:line="269" w:lineRule="auto"/>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have significantly greater name recognition, financial, manufacturing, marketing, drug development, technical, and human resources than Mereo does, and future mergers and acquisitions in the biopharmaceutical and pharmaceutical industries may result in even more resources being concentrated in Mereo’s competitors;</w:t>
      </w:r>
    </w:p>
    <w:p>
      <w:pPr>
        <w:spacing w:after="0" w:line="80" w:lineRule="exact"/>
        <w:rPr>
          <w:rFonts w:ascii="Arial" w:cs="Arial" w:eastAsia="Arial" w:hAnsi="Arial"/>
          <w:sz w:val="17"/>
          <w:szCs w:val="17"/>
          <w:color w:val="auto"/>
        </w:rPr>
      </w:pPr>
    </w:p>
    <w:p>
      <w:pPr>
        <w:ind w:left="1260" w:right="40" w:hanging="415"/>
        <w:spacing w:after="0" w:line="284" w:lineRule="auto"/>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 and commercialize products that are safer, more effective, less expensive, more convenient, or easier to administer, or have fewer or less severe effects, or in certain cases could be curative for the condition;</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obtain quicker regulatory approval;</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establish superior proprietary positions covering Mereo’s products and technologies;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implement more effective approaches to sales and marketing; or</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form more advantageous strategic alliances.</w:t>
      </w:r>
    </w:p>
    <w:p>
      <w:pPr>
        <w:spacing w:after="0" w:line="219" w:lineRule="exact"/>
        <w:rPr>
          <w:sz w:val="20"/>
          <w:szCs w:val="20"/>
          <w:color w:val="auto"/>
        </w:rPr>
      </w:pPr>
    </w:p>
    <w:p>
      <w:pPr>
        <w:ind w:left="440" w:firstLine="423"/>
        <w:spacing w:after="0" w:line="278" w:lineRule="auto"/>
        <w:rPr>
          <w:sz w:val="20"/>
          <w:szCs w:val="20"/>
          <w:color w:val="auto"/>
        </w:rPr>
      </w:pPr>
      <w:r>
        <w:rPr>
          <w:rFonts w:ascii="Arial" w:cs="Arial" w:eastAsia="Arial" w:hAnsi="Arial"/>
          <w:sz w:val="16"/>
          <w:szCs w:val="16"/>
          <w:color w:val="auto"/>
        </w:rPr>
        <w:t>Smaller and other early-stage companies may also prove to be significant competitors, particularly through collaborative arrangements with large and established companies. These third parties compete with Mereo in recruiting and retaining qualified scientific and management personnel; establishing clinical trial sites and patient registration; and in acquiring technologies complementary to, or necessary for, Mereo’s programs. Mereo’s commercial opportunity could be reduced or eliminated if its competitors develop and commercialize products that are more effective, have fewer or less severe side effects, are more convenient or are less expensive than Mereo’s product candidates. Mereo’s competitors may also obtain FDA, EMA, or other regulatory approval for its product candidates more rapidly than Mereo may obtain approval for its own product candidates, which could result in Mereo’s competitors establishing or strengthening its market position before Mereo is able to enter the market.</w:t>
      </w:r>
    </w:p>
    <w:p>
      <w:pPr>
        <w:spacing w:after="0" w:line="166" w:lineRule="exact"/>
        <w:rPr>
          <w:sz w:val="20"/>
          <w:szCs w:val="20"/>
          <w:color w:val="auto"/>
        </w:rPr>
      </w:pPr>
    </w:p>
    <w:p>
      <w:pPr>
        <w:jc w:val="both"/>
        <w:ind w:left="640" w:right="320"/>
        <w:spacing w:after="0" w:line="264" w:lineRule="auto"/>
        <w:rPr>
          <w:sz w:val="20"/>
          <w:szCs w:val="20"/>
          <w:color w:val="auto"/>
        </w:rPr>
      </w:pPr>
      <w:r>
        <w:rPr>
          <w:rFonts w:ascii="Arial" w:cs="Arial" w:eastAsia="Arial" w:hAnsi="Arial"/>
          <w:sz w:val="17"/>
          <w:szCs w:val="17"/>
          <w:b w:val="1"/>
          <w:bCs w:val="1"/>
          <w:i w:val="1"/>
          <w:iCs w:val="1"/>
          <w:color w:val="auto"/>
        </w:rPr>
        <w:t>Mereo has obtained orphan drug designation for BPS-804 for the treatment of OI in the United States and EU, but Mereo may be unable to obtain orphan drug designation for MPH-966 or any future product candidates, and Mereo may be unable to obtain or maintain the benefits associated with orphan drug designation, including the potential for orphan drug exclusivity, for BPS-804 or any other product candidate for which Mereo obtains orphan drug designation.</w:t>
      </w:r>
    </w:p>
    <w:p>
      <w:pPr>
        <w:spacing w:after="0" w:line="176" w:lineRule="exact"/>
        <w:rPr>
          <w:sz w:val="20"/>
          <w:szCs w:val="20"/>
          <w:color w:val="auto"/>
        </w:rPr>
      </w:pPr>
    </w:p>
    <w:p>
      <w:pPr>
        <w:ind w:left="440" w:right="140" w:firstLine="423"/>
        <w:spacing w:after="0" w:line="276" w:lineRule="auto"/>
        <w:rPr>
          <w:sz w:val="20"/>
          <w:szCs w:val="20"/>
          <w:color w:val="auto"/>
        </w:rPr>
      </w:pPr>
      <w:r>
        <w:rPr>
          <w:rFonts w:ascii="Arial" w:cs="Arial" w:eastAsia="Arial" w:hAnsi="Arial"/>
          <w:sz w:val="16"/>
          <w:szCs w:val="16"/>
          <w:color w:val="auto"/>
        </w:rPr>
        <w:t>Under the Orphan Drug Act of 1983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68" w:lineRule="exact"/>
        <w:rPr>
          <w:sz w:val="20"/>
          <w:szCs w:val="20"/>
          <w:color w:val="auto"/>
        </w:rPr>
      </w:pPr>
    </w:p>
    <w:p>
      <w:pPr>
        <w:ind w:left="440" w:right="160" w:firstLine="423"/>
        <w:spacing w:after="0" w:line="259"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000"/>
          </w:cols>
          <w:pgMar w:left="240" w:top="445" w:right="6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80"/>
        <w:spacing w:after="0" w:line="258" w:lineRule="auto"/>
        <w:rPr>
          <w:sz w:val="20"/>
          <w:szCs w:val="20"/>
          <w:color w:val="auto"/>
        </w:rPr>
      </w:pPr>
      <w:r>
        <w:rPr>
          <w:rFonts w:ascii="Arial" w:cs="Arial" w:eastAsia="Arial" w:hAnsi="Arial"/>
          <w:sz w:val="17"/>
          <w:szCs w:val="17"/>
          <w:color w:val="auto"/>
        </w:rPr>
        <w:t>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drug is sufficiently profitable not to justify maintenance of market exclusivity. In the EU, a marketing authorization for an orphan designated product will not be granted if a similar drug has been approved 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181" w:lineRule="exact"/>
        <w:rPr>
          <w:sz w:val="20"/>
          <w:szCs w:val="20"/>
          <w:color w:val="auto"/>
        </w:rPr>
      </w:pPr>
    </w:p>
    <w:p>
      <w:pPr>
        <w:ind w:left="440" w:firstLine="423"/>
        <w:spacing w:after="0" w:line="274" w:lineRule="auto"/>
        <w:rPr>
          <w:sz w:val="20"/>
          <w:szCs w:val="20"/>
          <w:color w:val="auto"/>
        </w:rPr>
      </w:pPr>
      <w:r>
        <w:rPr>
          <w:rFonts w:ascii="Arial" w:cs="Arial" w:eastAsia="Arial" w:hAnsi="Arial"/>
          <w:sz w:val="16"/>
          <w:szCs w:val="16"/>
          <w:color w:val="auto"/>
        </w:rPr>
        <w:t>Mereo has obtained orphan drug designation from the FDA and EMA for BPS-804 for the treatment of OI, and plans to seek orphan drug designation for MPH-966 and future product candidates. Even with orphan drug designation, Mereo may not be the first to obtain marketing approval for any particular orphan indication due to the uncertainties associated with developing pharmaceutical products, which could prevent Mereo from marketing its product candidates if another company is able to obtain orphan drug exclusivity before Mereo does. In addition, exclusive marketing rights in the United States may be unavailable if Mereo seeks approval for an indication broader than the orphan-designated indication or may be lost in the United States if the FDA later determines that the request for designation was materially defective or if Mereo is unable to assure sufficient quantities of the drug to meet the needs of patients with the rare disease or condition following approval. Further, even if Mereo obtains orphan drug exclusivity, that exclusivity may not effectively protect Mereo’s product candidates from competition because different drugs with different active moieties can be approved for the same condition. In addition, the FDA and the EMA can subsequently approve products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Mereo intends to seek orphan drug designation for other existing and future product candidates, including MPH-966, Mereo may never receive such designations.</w:t>
      </w:r>
    </w:p>
    <w:p>
      <w:pPr>
        <w:spacing w:after="0" w:line="170" w:lineRule="exact"/>
        <w:rPr>
          <w:sz w:val="20"/>
          <w:szCs w:val="20"/>
          <w:color w:val="auto"/>
        </w:rPr>
      </w:pPr>
    </w:p>
    <w:p>
      <w:pPr>
        <w:ind w:left="440" w:right="20" w:firstLine="423"/>
        <w:spacing w:after="0" w:line="274" w:lineRule="auto"/>
        <w:rPr>
          <w:sz w:val="20"/>
          <w:szCs w:val="20"/>
          <w:color w:val="auto"/>
        </w:rPr>
      </w:pPr>
      <w:r>
        <w:rPr>
          <w:rFonts w:ascii="Arial" w:cs="Arial" w:eastAsia="Arial" w:hAnsi="Arial"/>
          <w:sz w:val="16"/>
          <w:szCs w:val="16"/>
          <w:color w:val="auto"/>
        </w:rPr>
        <w:t>There have been legal challenges to aspects of the FDA’s regulations and policies concerning the exclusivity provisions of the Orphan Drug Act, and future challenges could lead to changes that affect the protections afforded Mereo’s product candidates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 indication. In the future, there is the potential for additional legal challenges to the FDA’s orphan drug regulations and policies, and it is uncertain how ongoing and future challenges might affect Mereo’s business.</w:t>
      </w:r>
    </w:p>
    <w:p>
      <w:pPr>
        <w:spacing w:after="0" w:line="176" w:lineRule="exact"/>
        <w:rPr>
          <w:sz w:val="20"/>
          <w:szCs w:val="20"/>
          <w:color w:val="auto"/>
        </w:rPr>
      </w:pPr>
    </w:p>
    <w:p>
      <w:pPr>
        <w:ind w:left="640" w:right="100"/>
        <w:spacing w:after="0" w:line="264" w:lineRule="auto"/>
        <w:rPr>
          <w:sz w:val="20"/>
          <w:szCs w:val="20"/>
          <w:color w:val="auto"/>
        </w:rPr>
      </w:pPr>
      <w:r>
        <w:rPr>
          <w:rFonts w:ascii="Arial" w:cs="Arial" w:eastAsia="Arial" w:hAnsi="Arial"/>
          <w:sz w:val="17"/>
          <w:szCs w:val="17"/>
          <w:b w:val="1"/>
          <w:bCs w:val="1"/>
          <w:i w:val="1"/>
          <w:iCs w:val="1"/>
          <w:color w:val="auto"/>
        </w:rPr>
        <w:t>Mereo may seek and fail to obtain breakthrough therapy designation by the FDA for BPS-804 or MPH-966, or any future product candidates or access to the PRIME scheme by the EMA for MPH-966 or any future product candidates. Even if Mereo obtains such designation or access, the designation or access may not lead to faster development or regulatory review or approval, and it does not increase the likelihood that Mereo’s product candidates will receive marketing approval.</w:t>
      </w:r>
    </w:p>
    <w:p>
      <w:pPr>
        <w:spacing w:after="0" w:line="176" w:lineRule="exact"/>
        <w:rPr>
          <w:sz w:val="20"/>
          <w:szCs w:val="20"/>
          <w:color w:val="auto"/>
        </w:rPr>
      </w:pPr>
    </w:p>
    <w:p>
      <w:pPr>
        <w:ind w:left="440" w:right="20" w:firstLine="423"/>
        <w:spacing w:after="0" w:line="260" w:lineRule="auto"/>
        <w:rPr>
          <w:sz w:val="20"/>
          <w:szCs w:val="20"/>
          <w:color w:val="auto"/>
        </w:rPr>
      </w:pPr>
      <w:r>
        <w:rPr>
          <w:rFonts w:ascii="Arial" w:cs="Arial" w:eastAsia="Arial" w:hAnsi="Arial"/>
          <w:sz w:val="17"/>
          <w:szCs w:val="17"/>
          <w:color w:val="auto"/>
        </w:rPr>
        <w:t>In 2012, the FDA established a breakthrough therapy designation which is intended to expedite the development and review of product candidates that treat serious or life-threatening diseases where preliminary clinical evidence indicates that the product candidate may demonstrate substantial improvement over existing therapies on one or more clinically-significant endpoints, such as substantial treatment effects observed early in clinical development. The designation of a product candidate as a breakthrough therapy provides potential benefits that include but are not limited to more frequent meetings with the FDA to discuss the development plan for the product candidate and ensure collection of appropriate data needed to support approval; more frequent written correspondence from the FDA about</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980"/>
          </w:cols>
          <w:pgMar w:left="240" w:top="445" w:right="67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80"/>
        <w:spacing w:after="0" w:line="281" w:lineRule="auto"/>
        <w:rPr>
          <w:sz w:val="20"/>
          <w:szCs w:val="20"/>
          <w:color w:val="auto"/>
        </w:rPr>
      </w:pPr>
      <w:r>
        <w:rPr>
          <w:rFonts w:ascii="Arial" w:cs="Arial" w:eastAsia="Arial" w:hAnsi="Arial"/>
          <w:sz w:val="16"/>
          <w:szCs w:val="16"/>
          <w:color w:val="auto"/>
        </w:rPr>
        <w:t>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 In November 2017, BPS-804 was admitted to the PRIME scheme of the EMA.</w:t>
      </w:r>
    </w:p>
    <w:p>
      <w:pPr>
        <w:spacing w:after="0" w:line="166" w:lineRule="exact"/>
        <w:rPr>
          <w:sz w:val="20"/>
          <w:szCs w:val="20"/>
          <w:color w:val="auto"/>
        </w:rPr>
      </w:pPr>
    </w:p>
    <w:p>
      <w:pPr>
        <w:ind w:left="440" w:right="60" w:firstLine="423"/>
        <w:spacing w:after="0" w:line="275" w:lineRule="auto"/>
        <w:rPr>
          <w:sz w:val="20"/>
          <w:szCs w:val="20"/>
          <w:color w:val="auto"/>
        </w:rPr>
      </w:pPr>
      <w:r>
        <w:rPr>
          <w:rFonts w:ascii="Arial" w:cs="Arial" w:eastAsia="Arial" w:hAnsi="Arial"/>
          <w:sz w:val="16"/>
          <w:szCs w:val="16"/>
          <w:color w:val="auto"/>
        </w:rPr>
        <w:t>Designation as a breakthrough therapy is within the discretion of the FDA. Accordingly, even if Mereo believes one of its product candidates meets the criteria for designation as a breakthrough therapy, the FDA may disagree and instead determine not to make such designation. Mereo cannot be sure that its evaluation of its product candidates as qualifying for breakthrough therapy designation will meet the FDA’s expectations. In any event, the receipt of a breakthrough therapy designation for a product candidate may not result in a faster development process, review, or approval compared to product candidates considered for approval under conventional FDA procedures and does not assure ultimate approval by the FDA. In addition, even if one or more of Mereo’s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Mereo cannot be sure that MPH-966 or any future product candidates will be granted access to the scheme; that participation in the scheme will result in expedited regulatory review or approval of Mereo’s product candidates; or that access to the scheme, once granted, will not be revoked.</w:t>
      </w:r>
    </w:p>
    <w:p>
      <w:pPr>
        <w:spacing w:after="0" w:line="171" w:lineRule="exact"/>
        <w:rPr>
          <w:sz w:val="20"/>
          <w:szCs w:val="20"/>
          <w:color w:val="auto"/>
        </w:rPr>
      </w:pPr>
    </w:p>
    <w:p>
      <w:pPr>
        <w:ind w:left="640" w:right="120"/>
        <w:spacing w:after="0" w:line="264" w:lineRule="auto"/>
        <w:rPr>
          <w:sz w:val="20"/>
          <w:szCs w:val="20"/>
          <w:color w:val="auto"/>
        </w:rPr>
      </w:pPr>
      <w:r>
        <w:rPr>
          <w:rFonts w:ascii="Arial" w:cs="Arial" w:eastAsia="Arial" w:hAnsi="Arial"/>
          <w:sz w:val="17"/>
          <w:szCs w:val="17"/>
          <w:b w:val="1"/>
          <w:bCs w:val="1"/>
          <w:i w:val="1"/>
          <w:iCs w:val="1"/>
          <w:color w:val="auto"/>
        </w:rPr>
        <w:t>The successful commercialization of Mereo’s product candidates will depend in part on the extent to which governmental authorities and health insurers establish adequate coverage, reimbursement levels, and pricing policies. Failure to obtain or maintain coverage and adequate reimbursement for Mereo’s product candidates, if approved, could limit its ability to market those products and decrease its ability to generate revenue.</w:t>
      </w:r>
    </w:p>
    <w:p>
      <w:pPr>
        <w:spacing w:after="0" w:line="176" w:lineRule="exact"/>
        <w:rPr>
          <w:sz w:val="20"/>
          <w:szCs w:val="20"/>
          <w:color w:val="auto"/>
        </w:rPr>
      </w:pPr>
    </w:p>
    <w:p>
      <w:pPr>
        <w:ind w:left="440" w:firstLine="423"/>
        <w:spacing w:after="0" w:line="258"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Mereo’s product candidates, assuming approval. Mereo’s ability to achieve acceptable levels of coverage and reimbursement for products by governmental authorities, private health insurers, and other organizations will have an effect on Mereo’s ability to successfully commercialize its product candidates. Assuming Mereo obtains coverage for its product candidates by a third-party payor, the resulting reimbursement payment rates may not be adequate or may require co-payments that patients find unacceptably high. Mereo cannot be sure that coverage and reimbursement in the United States, the EU, or elsewhere will be available for its product candidates or any product that Mereo may develop, and any reimbursement that may become available may be decreased or eliminated in the future.</w:t>
      </w:r>
    </w:p>
    <w:p>
      <w:pPr>
        <w:spacing w:after="0" w:line="184" w:lineRule="exact"/>
        <w:rPr>
          <w:sz w:val="20"/>
          <w:szCs w:val="20"/>
          <w:color w:val="auto"/>
        </w:rPr>
      </w:pPr>
    </w:p>
    <w:p>
      <w:pPr>
        <w:ind w:left="440" w:firstLine="423"/>
        <w:spacing w:after="0" w:line="297" w:lineRule="auto"/>
        <w:rPr>
          <w:sz w:val="20"/>
          <w:szCs w:val="20"/>
          <w:color w:val="auto"/>
        </w:rPr>
      </w:pPr>
      <w:r>
        <w:rPr>
          <w:rFonts w:ascii="Arial" w:cs="Arial" w:eastAsia="Arial" w:hAnsi="Arial"/>
          <w:sz w:val="15"/>
          <w:szCs w:val="15"/>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Mereo’s product candidates as substitutable and only offer to reimburse patients for the less expensive product. Even if Mereo shows improved efficacy or improved convenience of administration with its product candidates, pricing of existing drugs may limit the amount Mereo will be able to charge for its product candidates. These payors may deny or revoke the reimbursement status of a given product or establish prices for new or existing marketed products at levels that are too low to enable Mereo to realize an appropriate return on its investment in its product candidates. If reimbursement is not available or is available only at limited levels, Mereo may not be able to successfully commercialize its product candidates, and may not be able to obtain a satisfactory financial return on Mereo’s product candidates.</w:t>
      </w:r>
    </w:p>
    <w:p>
      <w:pPr>
        <w:spacing w:after="0" w:line="157" w:lineRule="exact"/>
        <w:rPr>
          <w:sz w:val="20"/>
          <w:szCs w:val="20"/>
          <w:color w:val="auto"/>
        </w:rPr>
      </w:pPr>
    </w:p>
    <w:p>
      <w:pPr>
        <w:ind w:left="440" w:right="40" w:firstLine="423"/>
        <w:spacing w:after="0" w:line="259"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its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Mereo’s product candidates.</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980"/>
          </w:cols>
          <w:pgMar w:left="240" w:top="445" w:right="6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80" w:firstLine="423"/>
        <w:spacing w:after="0" w:line="304" w:lineRule="auto"/>
        <w:rPr>
          <w:sz w:val="20"/>
          <w:szCs w:val="20"/>
          <w:color w:val="auto"/>
        </w:rPr>
      </w:pPr>
      <w:r>
        <w:rPr>
          <w:rFonts w:ascii="Arial" w:cs="Arial" w:eastAsia="Arial" w:hAnsi="Arial"/>
          <w:sz w:val="15"/>
          <w:szCs w:val="15"/>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Mereo to provide scientific and clinical support for the use of its product candidates to each payor separately, with no assurance that coverage and adequate reimbursement will be applied consistently or obtained in the first instance. Furthermore, rules and regulations regarding reimbursement change frequently, in some cases at short notice, and Mereo believes that changes in these rules and regulations are likely.</w:t>
      </w:r>
    </w:p>
    <w:p>
      <w:pPr>
        <w:spacing w:after="0" w:line="151" w:lineRule="exact"/>
        <w:rPr>
          <w:sz w:val="20"/>
          <w:szCs w:val="20"/>
          <w:color w:val="auto"/>
        </w:rPr>
      </w:pPr>
    </w:p>
    <w:p>
      <w:pPr>
        <w:ind w:left="440" w:firstLine="423"/>
        <w:spacing w:after="0" w:line="299" w:lineRule="auto"/>
        <w:rPr>
          <w:sz w:val="20"/>
          <w:szCs w:val="20"/>
          <w:color w:val="auto"/>
        </w:rPr>
      </w:pPr>
      <w:r>
        <w:rPr>
          <w:rFonts w:ascii="Arial" w:cs="Arial" w:eastAsia="Arial" w:hAnsi="Arial"/>
          <w:sz w:val="15"/>
          <w:szCs w:val="15"/>
          <w:color w:val="auto"/>
        </w:rPr>
        <w:t>Mereo’s operations are also subject to extensive governmental price controls and other market regulations in the United Kingdom and other countries outside of the United States, and Mereo believes the increasing emphasis on cost-containment initiatives in European and other countries have and will continue to put pressure on the pricing and usage of its product candidates. In many countries, the prices of medical products are subject to varying price control mechanisms as part of national health systems. Other countries allow companies to fix its own prices for medical products, but monitor and control company profits. Additional foreign price controls or other changes in pricing regulation could restrict the amount that Mereo is able to charge for Mereo’s product candidates. Accordingly, in markets outside the United States, the reimbursement for Mereo’s product candidates may be reduced compared with the United States and may be insufficient to generate commercially reasonable revenue and profits.</w:t>
      </w:r>
    </w:p>
    <w:p>
      <w:pPr>
        <w:spacing w:after="0" w:line="153" w:lineRule="exact"/>
        <w:rPr>
          <w:sz w:val="20"/>
          <w:szCs w:val="20"/>
          <w:color w:val="auto"/>
        </w:rPr>
      </w:pPr>
    </w:p>
    <w:p>
      <w:pPr>
        <w:ind w:left="440" w:right="80" w:firstLine="423"/>
        <w:spacing w:after="0" w:line="27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Mereo’s product candidates. Mereo expects to experience pricing pressures in connection with the sale of its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67" w:lineRule="exact"/>
        <w:rPr>
          <w:sz w:val="20"/>
          <w:szCs w:val="20"/>
          <w:color w:val="auto"/>
        </w:rPr>
      </w:pPr>
    </w:p>
    <w:p>
      <w:pPr>
        <w:ind w:left="640" w:right="40"/>
        <w:spacing w:after="0" w:line="284" w:lineRule="auto"/>
        <w:rPr>
          <w:sz w:val="20"/>
          <w:szCs w:val="20"/>
          <w:color w:val="auto"/>
        </w:rPr>
      </w:pPr>
      <w:r>
        <w:rPr>
          <w:rFonts w:ascii="Arial" w:cs="Arial" w:eastAsia="Arial" w:hAnsi="Arial"/>
          <w:sz w:val="17"/>
          <w:szCs w:val="17"/>
          <w:b w:val="1"/>
          <w:bCs w:val="1"/>
          <w:i w:val="1"/>
          <w:iCs w:val="1"/>
          <w:color w:val="auto"/>
        </w:rPr>
        <w:t>Mereo’s existing and future product candidates may not gain market acceptance, in which case Mereo’s ability to generate product revenues will be compromised.</w:t>
      </w:r>
    </w:p>
    <w:p>
      <w:pPr>
        <w:spacing w:after="0" w:line="159" w:lineRule="exact"/>
        <w:rPr>
          <w:sz w:val="20"/>
          <w:szCs w:val="20"/>
          <w:color w:val="auto"/>
        </w:rPr>
      </w:pPr>
    </w:p>
    <w:p>
      <w:pPr>
        <w:ind w:left="440" w:right="40" w:firstLine="423"/>
        <w:spacing w:after="0" w:line="285" w:lineRule="auto"/>
        <w:rPr>
          <w:sz w:val="20"/>
          <w:szCs w:val="20"/>
          <w:color w:val="auto"/>
        </w:rPr>
      </w:pPr>
      <w:r>
        <w:rPr>
          <w:rFonts w:ascii="Arial" w:cs="Arial" w:eastAsia="Arial" w:hAnsi="Arial"/>
          <w:sz w:val="16"/>
          <w:szCs w:val="16"/>
          <w:color w:val="auto"/>
        </w:rPr>
        <w:t>Even if the FDA, the EMA, or any other regulatory authority approves the marketing of Mereo’s product candidates, whether developed on Mereo’s own or with a collaborator, physicians, healthcare providers, patients, or the medical community may not accept or use Mereo’s product candidates. If Mereo’s product candidates do not achieve an adequate level of acceptance, it may not generate significant product revenue or any profits from operations. The degree of market acceptance of Mereo’s product candidates will depend on a variety of factors, including:</w:t>
      </w:r>
    </w:p>
    <w:p>
      <w:pPr>
        <w:spacing w:after="0" w:line="71" w:lineRule="exact"/>
        <w:rPr>
          <w:sz w:val="20"/>
          <w:szCs w:val="20"/>
          <w:color w:val="auto"/>
        </w:rPr>
      </w:pPr>
    </w:p>
    <w:p>
      <w:pPr>
        <w:ind w:left="1260" w:hanging="415"/>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timing of market introduction;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number and clinical profile of competing products;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clinical indications for which Mereo’s product candidates are approved;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Mereo’s ability to provide acceptable evidence of safety and efficacy;</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cost-effectiveness;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marketing and distribution support;</w:t>
      </w:r>
    </w:p>
    <w:p>
      <w:pPr>
        <w:spacing w:after="0" w:line="128" w:lineRule="exact"/>
        <w:rPr>
          <w:rFonts w:ascii="Arial" w:cs="Arial" w:eastAsia="Arial" w:hAnsi="Arial"/>
          <w:sz w:val="17"/>
          <w:szCs w:val="17"/>
          <w:color w:val="auto"/>
        </w:rPr>
      </w:pPr>
    </w:p>
    <w:p>
      <w:pPr>
        <w:ind w:left="1260" w:right="240" w:hanging="415"/>
        <w:spacing w:after="0" w:line="284"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availability of adequate coverage, reimbursement, and adequate payment from health maintenance organizations and other insurers, both public and private; and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potential advantages over alternative treatment methods.</w:t>
      </w:r>
    </w:p>
    <w:p>
      <w:pPr>
        <w:spacing w:after="0" w:line="15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940"/>
          </w:cols>
          <w:pgMar w:left="240" w:top="445" w:right="71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360" w:firstLine="423"/>
        <w:spacing w:after="0" w:line="354" w:lineRule="auto"/>
        <w:rPr>
          <w:sz w:val="20"/>
          <w:szCs w:val="20"/>
          <w:color w:val="auto"/>
        </w:rPr>
      </w:pPr>
      <w:r>
        <w:rPr>
          <w:rFonts w:ascii="Arial" w:cs="Arial" w:eastAsia="Arial" w:hAnsi="Arial"/>
          <w:sz w:val="15"/>
          <w:szCs w:val="15"/>
          <w:color w:val="auto"/>
        </w:rPr>
        <w:t>If Mereo’s product candidates fail to gain market acceptance, Mereo’s ability to generate revenues will be adversely affected. Even if Mereo’s product candidates achieve market acceptance, the market may prove not to be large enough to allow Mereo to generate significant revenues.</w:t>
      </w:r>
    </w:p>
    <w:p>
      <w:pPr>
        <w:spacing w:after="0" w:line="113" w:lineRule="exact"/>
        <w:rPr>
          <w:sz w:val="20"/>
          <w:szCs w:val="20"/>
          <w:color w:val="auto"/>
        </w:rPr>
      </w:pPr>
    </w:p>
    <w:p>
      <w:pPr>
        <w:ind w:left="640" w:right="180"/>
        <w:spacing w:after="0" w:line="321" w:lineRule="auto"/>
        <w:rPr>
          <w:sz w:val="20"/>
          <w:szCs w:val="20"/>
          <w:color w:val="auto"/>
        </w:rPr>
      </w:pPr>
      <w:r>
        <w:rPr>
          <w:rFonts w:ascii="Arial" w:cs="Arial" w:eastAsia="Arial" w:hAnsi="Arial"/>
          <w:sz w:val="15"/>
          <w:szCs w:val="15"/>
          <w:b w:val="1"/>
          <w:bCs w:val="1"/>
          <w:i w:val="1"/>
          <w:iCs w:val="1"/>
          <w:color w:val="auto"/>
        </w:rPr>
        <w:t>Mereo intends to directly commercialize its product candidates for rare diseases and to seek strategic relationships with third parties for the commercialization of Mereo’s product candidates for specialty diseases. If Mereo is unable to develop its own sales, marketing, and distribution capabilities or enter into business arrangements, it may not be successful in commercializing its product candidates.</w:t>
      </w:r>
    </w:p>
    <w:p>
      <w:pPr>
        <w:spacing w:after="0" w:line="137"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Mereo has no marketing, sales, or distribution capabilities and it currently has no experience with marketing, selling or distributing pharmaceutical products. Mereo also has no strategic relationships in place for the commercialization of its product candidates. For BPS-804 and MPH-966, if approved, and for any future product candidates for rare diseases, Mereo intends either to establish a sales and marketing organization with technical expertise and supporting distribution capabilities to commercialize these product candidates in major markets or potentially to outsource aspects of these functions to third parties. Mereo may not be able to hire a sales force that is sufficient in size or has adequate expertise in OI, AATD, or other relevant rare diseases. Any failure or delay in the development of Mereo’s internal sales, marketing, and distribution capabilities would adversely impact the commercialization of these product candidates.</w:t>
      </w:r>
    </w:p>
    <w:p>
      <w:pPr>
        <w:spacing w:after="0" w:line="181" w:lineRule="exact"/>
        <w:rPr>
          <w:sz w:val="20"/>
          <w:szCs w:val="20"/>
          <w:color w:val="auto"/>
        </w:rPr>
      </w:pPr>
    </w:p>
    <w:p>
      <w:pPr>
        <w:ind w:left="440" w:right="40" w:firstLine="423"/>
        <w:spacing w:after="0" w:line="279" w:lineRule="auto"/>
        <w:rPr>
          <w:sz w:val="20"/>
          <w:szCs w:val="20"/>
          <w:color w:val="auto"/>
        </w:rPr>
      </w:pPr>
      <w:r>
        <w:rPr>
          <w:rFonts w:ascii="Arial" w:cs="Arial" w:eastAsia="Arial" w:hAnsi="Arial"/>
          <w:sz w:val="16"/>
          <w:szCs w:val="16"/>
          <w:color w:val="auto"/>
        </w:rPr>
        <w:t>For BCT-197, BGS-649, OMP-313M32 and OMP-305B83, and for any future product candidates for specialty diseases, Mereo intends to enter into strategic relationships for the commercialization of these product candidates. These arrangements may also include the late-stage clinical development of a product candidate. As a result, Mereo’s revenue from product sales may be lower than if Mereo directly marketed or sold these product candidates. In addition, any revenue Mereo receive will depend upon the terms of such arrangement, which may not be as favorable to Mereo as possible, and the efforts of the other party, which may not be adequate or successful and are likely to be beyond Mereo’s control. If Mereo is unable to enter into these arrangements on acceptable terms or at all, it may not be able to successfully commercialize these product candidates.</w:t>
      </w:r>
    </w:p>
    <w:p>
      <w:pPr>
        <w:spacing w:after="0" w:line="167" w:lineRule="exact"/>
        <w:rPr>
          <w:sz w:val="20"/>
          <w:szCs w:val="20"/>
          <w:color w:val="auto"/>
        </w:rPr>
      </w:pPr>
    </w:p>
    <w:p>
      <w:pPr>
        <w:ind w:left="440" w:right="60" w:firstLine="423"/>
        <w:spacing w:after="0" w:line="293" w:lineRule="auto"/>
        <w:rPr>
          <w:sz w:val="20"/>
          <w:szCs w:val="20"/>
          <w:color w:val="auto"/>
        </w:rPr>
      </w:pPr>
      <w:r>
        <w:rPr>
          <w:rFonts w:ascii="Arial" w:cs="Arial" w:eastAsia="Arial" w:hAnsi="Arial"/>
          <w:sz w:val="16"/>
          <w:szCs w:val="16"/>
          <w:color w:val="auto"/>
        </w:rPr>
        <w:t>These commercialization approaches are expensive and time consuming, and some or all of the costs associated with such efforts may be incurred in advance of any approval of Mereo’s product candidates. If Mereo is not successful in commercializing its product candidates, either on its own or through strategic relationships with third parties, Mereo’s future product revenue will suffer and it may incur significant losses.</w:t>
      </w:r>
    </w:p>
    <w:p>
      <w:pPr>
        <w:spacing w:after="0" w:line="155" w:lineRule="exact"/>
        <w:rPr>
          <w:sz w:val="20"/>
          <w:szCs w:val="20"/>
          <w:color w:val="auto"/>
        </w:rPr>
      </w:pPr>
    </w:p>
    <w:p>
      <w:pPr>
        <w:ind w:left="640" w:right="340"/>
        <w:spacing w:after="0" w:line="284" w:lineRule="auto"/>
        <w:rPr>
          <w:sz w:val="20"/>
          <w:szCs w:val="20"/>
          <w:color w:val="auto"/>
        </w:rPr>
      </w:pPr>
      <w:r>
        <w:rPr>
          <w:rFonts w:ascii="Arial" w:cs="Arial" w:eastAsia="Arial" w:hAnsi="Arial"/>
          <w:sz w:val="17"/>
          <w:szCs w:val="17"/>
          <w:b w:val="1"/>
          <w:bCs w:val="1"/>
          <w:i w:val="1"/>
          <w:iCs w:val="1"/>
          <w:color w:val="auto"/>
        </w:rPr>
        <w:t>Any product candidates for which Mereo intends to seek approval as biologic products in the United States may face competition sooner than anticipated.</w:t>
      </w:r>
    </w:p>
    <w:p>
      <w:pPr>
        <w:spacing w:after="0" w:line="159" w:lineRule="exact"/>
        <w:rPr>
          <w:sz w:val="20"/>
          <w:szCs w:val="20"/>
          <w:color w:val="auto"/>
        </w:rPr>
      </w:pPr>
    </w:p>
    <w:p>
      <w:pPr>
        <w:ind w:left="440" w:right="20" w:firstLine="423"/>
        <w:spacing w:after="0" w:line="276" w:lineRule="auto"/>
        <w:rPr>
          <w:sz w:val="20"/>
          <w:szCs w:val="20"/>
          <w:color w:val="auto"/>
        </w:rPr>
      </w:pPr>
      <w:r>
        <w:rPr>
          <w:rFonts w:ascii="Arial" w:cs="Arial" w:eastAsia="Arial" w:hAnsi="Arial"/>
          <w:sz w:val="16"/>
          <w:szCs w:val="16"/>
          <w:color w:val="auto"/>
        </w:rPr>
        <w:t>In the United States, the Biologics Price Competition and Innovation Act of 2009 (the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products.</w:t>
      </w:r>
    </w:p>
    <w:p>
      <w:pPr>
        <w:spacing w:after="0" w:line="168" w:lineRule="exact"/>
        <w:rPr>
          <w:sz w:val="20"/>
          <w:szCs w:val="20"/>
          <w:color w:val="auto"/>
        </w:rPr>
      </w:pPr>
    </w:p>
    <w:p>
      <w:pPr>
        <w:ind w:left="440" w:right="160" w:firstLine="423"/>
        <w:spacing w:after="0" w:line="301" w:lineRule="auto"/>
        <w:rPr>
          <w:sz w:val="20"/>
          <w:szCs w:val="20"/>
          <w:color w:val="auto"/>
        </w:rPr>
      </w:pPr>
      <w:r>
        <w:rPr>
          <w:rFonts w:ascii="Arial" w:cs="Arial" w:eastAsia="Arial" w:hAnsi="Arial"/>
          <w:sz w:val="15"/>
          <w:szCs w:val="15"/>
          <w:color w:val="auto"/>
        </w:rPr>
        <w:t>Mereo believes that if any product candidate is approved as a biological product under a BLA, it should qualify for the 12-year period of exclusivity. However, there is a risk that this exclusivity could be shortened due to congressional action or otherwise, or that the FDA will not consider Mereo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products is not yet clear, and will depend on a number of marketplace and regulatory factors that are still developing.</w:t>
      </w:r>
    </w:p>
    <w:p>
      <w:pPr>
        <w:spacing w:after="0" w:line="8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000"/>
          </w:cols>
          <w:pgMar w:left="240" w:top="445" w:right="6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In the EU, MAAs for products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Mereo’s Dependence on Third Parties</w:t>
      </w:r>
    </w:p>
    <w:p>
      <w:pPr>
        <w:spacing w:after="0" w:line="121" w:lineRule="exact"/>
        <w:rPr>
          <w:sz w:val="20"/>
          <w:szCs w:val="20"/>
          <w:color w:val="auto"/>
        </w:rPr>
      </w:pPr>
    </w:p>
    <w:p>
      <w:pPr>
        <w:jc w:val="both"/>
        <w:ind w:left="640" w:right="80"/>
        <w:spacing w:after="0" w:line="352" w:lineRule="auto"/>
        <w:rPr>
          <w:sz w:val="20"/>
          <w:szCs w:val="20"/>
          <w:color w:val="auto"/>
        </w:rPr>
      </w:pPr>
      <w:r>
        <w:rPr>
          <w:rFonts w:ascii="Arial" w:cs="Arial" w:eastAsia="Arial" w:hAnsi="Arial"/>
          <w:sz w:val="14"/>
          <w:szCs w:val="14"/>
          <w:b w:val="1"/>
          <w:bCs w:val="1"/>
          <w:i w:val="1"/>
          <w:iCs w:val="1"/>
          <w:color w:val="auto"/>
        </w:rPr>
        <w:t>Mereo relies, and expect to continue to rely, on third parties, including independent investigators and CROs, to conduct its clinical trials. If these CROs do not successfully carry out its contractual duties or meet expected deadlines, Mereo may not be able to obtain regulatory approval for or commercialize its product candidates, or such approval or commercialization may be delayed, and its business could be substantially harmed.</w:t>
      </w:r>
    </w:p>
    <w:p>
      <w:pPr>
        <w:spacing w:after="0" w:line="120" w:lineRule="exact"/>
        <w:rPr>
          <w:sz w:val="20"/>
          <w:szCs w:val="20"/>
          <w:color w:val="auto"/>
        </w:rPr>
      </w:pPr>
    </w:p>
    <w:p>
      <w:pPr>
        <w:ind w:left="440" w:right="40" w:firstLine="423"/>
        <w:spacing w:after="0" w:line="293" w:lineRule="auto"/>
        <w:rPr>
          <w:sz w:val="20"/>
          <w:szCs w:val="20"/>
          <w:color w:val="auto"/>
        </w:rPr>
      </w:pPr>
      <w:r>
        <w:rPr>
          <w:rFonts w:ascii="Arial" w:cs="Arial" w:eastAsia="Arial" w:hAnsi="Arial"/>
          <w:sz w:val="15"/>
          <w:szCs w:val="15"/>
          <w:color w:val="auto"/>
        </w:rPr>
        <w:t>Mereo has relied upon and plans to continue to rely upon independent clinical investigators and CROs to conduct its clinical trials and to monitor and manage data for its ongoing clinical programs. Mereo relies on these parties for the execution of Mereo’s clinical trials and control only certain aspects of these parties’ activities. Nevertheless, Mereo is responsible for ensuring that each of its studies and trials is conducted in accordance with the applicable protocol and legal, regulatory and scientific standards, and its reliance on these third parties does not relieve Mereo of its regulatory responsibilities. Mereo and its independent investigators and CROs are required to comply with GxP requirements, which are regulations and guidelines enforced by the FDA, the competent authorities of the Member States of the European Economic Area, and comparable foreign regulatory authorities for all of Mereo’s product candidates in clinical development. Regulatory authorities enforce these GxP requirements through periodic inspections of trial sponsors, principal investigators and trial sites. If Mereo fails to exercise adequate oversight over any of its independent investigators or CROs or if Mereo or any of its independent investigators or CROs fail to comply with applicable GxP requirements, the clinical data generated in Mereo’s clinical trials may be deemed unreliable and the FDA, the EMA, or comparable foreign regulatory authorities may require Mereo to perform additional clinical trials before approving its marketing applications. Mereo cannot assure you that upon a regulatory inspection of Mereo or its independent investigators or CROs, such regulatory authority will determine that any of Mereo’s clinical trials complies with GxP requirements. Mereo’s failure to comply with these regulations may require it to repeat clinical trials, which would delay the regulatory approval process.</w:t>
      </w:r>
    </w:p>
    <w:p>
      <w:pPr>
        <w:spacing w:after="0" w:line="163" w:lineRule="exact"/>
        <w:rPr>
          <w:sz w:val="20"/>
          <w:szCs w:val="20"/>
          <w:color w:val="auto"/>
        </w:rPr>
      </w:pPr>
    </w:p>
    <w:p>
      <w:pPr>
        <w:ind w:left="440" w:right="20" w:firstLine="423"/>
        <w:spacing w:after="0" w:line="281" w:lineRule="auto"/>
        <w:rPr>
          <w:sz w:val="20"/>
          <w:szCs w:val="20"/>
          <w:color w:val="auto"/>
        </w:rPr>
      </w:pPr>
      <w:r>
        <w:rPr>
          <w:rFonts w:ascii="Arial" w:cs="Arial" w:eastAsia="Arial" w:hAnsi="Arial"/>
          <w:sz w:val="16"/>
          <w:szCs w:val="16"/>
          <w:color w:val="auto"/>
        </w:rPr>
        <w:t>Further, these independent investigators and CROs are not Mereo’s employees and Mereo is not able to control, other than by contract, the amount of resources, including time, which they devote to Mereo’s clinical trials. If Mereo’s independent investigators or CROs fail to devote sufficient resources to the development of Mereo’s product candidates, or if its performance is substandard, it may delay or compromise the prospects for approval and commercialization of Mereo’s product candidates. In addition, the use of third-party service providers requires Mereo to disclose its proprietary information to these parties, which could increase the risk that this information is misappropriated.</w:t>
      </w:r>
    </w:p>
    <w:p>
      <w:pPr>
        <w:spacing w:after="0" w:line="166"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If any of Mereo’s relationships with its independent investigators or CROs terminate, it may not be able to enter into arrangements with alternative independent investigators or CROs or to do so on commercially reasonable terms. Switching or adding additional investigators or CROs involves additional cost and potential delays and requires Mereo’s management’s time and focus. In addition, there is a natural transition period when a new independent investigator or CRO commences work. As a result, delays could occur, which could materially impact Mereo’s ability to meet its desired clinical development timelines.</w:t>
      </w:r>
    </w:p>
    <w:p>
      <w:pPr>
        <w:spacing w:after="0" w:line="180" w:lineRule="exact"/>
        <w:rPr>
          <w:sz w:val="20"/>
          <w:szCs w:val="20"/>
          <w:color w:val="auto"/>
        </w:rPr>
      </w:pPr>
    </w:p>
    <w:p>
      <w:pPr>
        <w:ind w:left="440" w:right="20" w:firstLine="423"/>
        <w:spacing w:after="0" w:line="281" w:lineRule="auto"/>
        <w:rPr>
          <w:sz w:val="20"/>
          <w:szCs w:val="20"/>
          <w:color w:val="auto"/>
        </w:rPr>
      </w:pPr>
      <w:r>
        <w:rPr>
          <w:rFonts w:ascii="Arial" w:cs="Arial" w:eastAsia="Arial" w:hAnsi="Arial"/>
          <w:sz w:val="16"/>
          <w:szCs w:val="16"/>
          <w:color w:val="auto"/>
        </w:rPr>
        <w:t>If Mereo’s independent investigators or CROs do not successfully carry out its contractual duties or obligations or meet expected deadlines, if they need to be replaced or if the quality or accuracy of the clinical data they obtain is compromised due to a failure to adhere to Mereo’s clinical protocols, regulatory requirements, or for other reasons, Mereo’s clinical trials may be extended, delayed, or terminated and Mereo may not be able to obtain regulatory approval for or successfully commercialize its product candidates. As a result, Mereo’s results of operations and the commercial prospects for its product candidates would be harmed, its costs could increase and its ability to generate revenue could be delayed.</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000"/>
          </w:cols>
          <w:pgMar w:left="240" w:top="445" w:right="6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right="160"/>
        <w:spacing w:after="0" w:line="264" w:lineRule="auto"/>
        <w:rPr>
          <w:sz w:val="20"/>
          <w:szCs w:val="20"/>
          <w:color w:val="auto"/>
        </w:rPr>
      </w:pPr>
      <w:r>
        <w:rPr>
          <w:rFonts w:ascii="Arial" w:cs="Arial" w:eastAsia="Arial" w:hAnsi="Arial"/>
          <w:sz w:val="17"/>
          <w:szCs w:val="17"/>
          <w:b w:val="1"/>
          <w:bCs w:val="1"/>
          <w:i w:val="1"/>
          <w:iCs w:val="1"/>
          <w:color w:val="auto"/>
        </w:rPr>
        <w:t>Mereo currently relies on third-party CMOs for the production of clinical supply of Mereo’s product candidates and intend to rely on CMOs for the production of commercial supply of Mereo’s product candidates, if approved. Mereo’s dependence on CMOs may impair the development of Mereo’s product candidates and may impair the commercialization of its product candidates, which would adversely impact its business and financial position.</w:t>
      </w:r>
    </w:p>
    <w:p>
      <w:pPr>
        <w:spacing w:after="0" w:line="176" w:lineRule="exact"/>
        <w:rPr>
          <w:sz w:val="20"/>
          <w:szCs w:val="20"/>
          <w:color w:val="auto"/>
        </w:rPr>
      </w:pPr>
    </w:p>
    <w:p>
      <w:pPr>
        <w:ind w:left="440" w:right="100" w:firstLine="423"/>
        <w:spacing w:after="0" w:line="281" w:lineRule="auto"/>
        <w:rPr>
          <w:sz w:val="20"/>
          <w:szCs w:val="20"/>
          <w:color w:val="auto"/>
        </w:rPr>
      </w:pPr>
      <w:r>
        <w:rPr>
          <w:rFonts w:ascii="Arial" w:cs="Arial" w:eastAsia="Arial" w:hAnsi="Arial"/>
          <w:sz w:val="16"/>
          <w:szCs w:val="16"/>
          <w:color w:val="auto"/>
        </w:rPr>
        <w:t>Mereo has limited personnel with experience in manufacturing, and does not own facilities for manufacturing its product candidates. Instead, Mereo relies on and expect to continue to rely on CMOs for the supply of cGMP grade clinical trial materials and commercial quantities of Mereo’s product candidates, if approved. Reliance on CMOs may expose Mereo to more risk than if it were to manufacture its own product candidates. Novartis previously provided clinical supplies for BPS-804, BCT-197, and BGS-649 and certain transitional services. Mereo has moved the clinical supply manufacture for these product candidates to CMOs. Mereo also intends to contract with CMOs for the clinical supply of MPH-966.</w:t>
      </w:r>
    </w:p>
    <w:p>
      <w:pPr>
        <w:spacing w:after="0" w:line="166" w:lineRule="exact"/>
        <w:rPr>
          <w:sz w:val="20"/>
          <w:szCs w:val="20"/>
          <w:color w:val="auto"/>
        </w:rPr>
      </w:pPr>
    </w:p>
    <w:p>
      <w:pPr>
        <w:ind w:left="440" w:firstLine="423"/>
        <w:spacing w:after="0" w:line="273" w:lineRule="auto"/>
        <w:rPr>
          <w:sz w:val="20"/>
          <w:szCs w:val="20"/>
          <w:color w:val="auto"/>
        </w:rPr>
      </w:pPr>
      <w:r>
        <w:rPr>
          <w:rFonts w:ascii="Arial" w:cs="Arial" w:eastAsia="Arial" w:hAnsi="Arial"/>
          <w:sz w:val="16"/>
          <w:szCs w:val="16"/>
          <w:color w:val="auto"/>
        </w:rPr>
        <w:t>The facilities used to manufacture Mereo’s product candidates must be approved by the FDA, the EMA, and comparable foreign authorities pursuant to inspections. While Mereo provides oversight of manufacturing activities, it does not and will not control the execution of its manufacturing activities by, and is or will be essentially dependent on, its CMOs for compliance with cGMP requirements for the manufacture of its product candidates. As a result, Mereo is subject to the risk that its product candidates may have manufacturing defects that Mereo has limited ability to prevent. If a CMO cannot successfully manufacture material that conforms to Mereo’s specifications and the regulatory requirements, Mereo may not be able to secure or maintain regulatory approval for the use of its investigational medicinal products in clinical trials, or for commercial distribution of its product candidates, if approved. In addition, Mereo has limited control over the ability of its CMOs to maintain adequate quality control, quality assurance and qualified personnel. If the FDA, the EMA or comparable foreign regulatory authority does not approve these facilities for the manufacture of Mereo’s product candidates or if it withdraws any such approval in the future, Mereo may need to find alternative manufacturing facilities, which would delay its development program and significantly impact its ability to develop, obtain regulatory approval for or commercialize its product candidates, if approved. In addition, any failure to achieve and maintain compliance with these laws, regulations and standards could subject Mereo to the risk that it may have to suspend the manufacturing of its product candidates or that obtained approvals could be revoked. Furthermore, CMOs may breach existing agreements they have with Mereo because of factors beyond Mereo’s control. CMOs may also terminate or refuse to renew its agreement at a time that is costly or otherwise inconvenient for Mereo. In addition, the manufacture of biologics involves expensive and complex processes and worldwide capacity at CMOs for the manufacture of biologics is currently limited. In addition, Novartis has a contractual right to approve or reject any additional CMO Mereo wishes to engage for the manufacture of BPS-804, other than those CMOs that Mereo and Novartis have already agreed upon. If Mereo were to be unable to find an adequate CMO or another acceptable solution in time, Mereo’s clinical trials could be delayed or its commercial activities could be harmed.</w:t>
      </w:r>
    </w:p>
    <w:p>
      <w:pPr>
        <w:spacing w:after="0" w:line="169" w:lineRule="exact"/>
        <w:rPr>
          <w:sz w:val="20"/>
          <w:szCs w:val="20"/>
          <w:color w:val="auto"/>
        </w:rPr>
      </w:pPr>
    </w:p>
    <w:p>
      <w:pPr>
        <w:ind w:left="440" w:firstLine="423"/>
        <w:spacing w:after="0" w:line="276" w:lineRule="auto"/>
        <w:rPr>
          <w:sz w:val="20"/>
          <w:szCs w:val="20"/>
          <w:color w:val="auto"/>
        </w:rPr>
      </w:pPr>
      <w:r>
        <w:rPr>
          <w:rFonts w:ascii="Arial" w:cs="Arial" w:eastAsia="Arial" w:hAnsi="Arial"/>
          <w:sz w:val="16"/>
          <w:szCs w:val="16"/>
          <w:color w:val="auto"/>
        </w:rPr>
        <w:t>Mereo relies on and will continue to rely on CMOs to purchase from third-party suppliers the raw materials necessary to produce Mereo’s product candidates. Mereo does not and will not have control over the process or timing of the acquisition of these raw materials by Mereo’s CMOs. Moreover, Mereo currently does not have any agreements for the production of these raw materials. Supplies of raw material could be interrupted from time to time and Mereo cannot be certain that alternative supplies could be obtained within a reasonable timeframe, at an acceptable cost, or at all. In addition, a disruption in the supply of raw materials could delay the commercial launch of Mereo’s product candidates, if approved, or result in a shortage in supply, which would impair Mereo’s ability to generate revenues from the sale of its product candidates. Growth in the costs and expenses of raw materials may also impair Mereo’s ability to cost effectively manufacture its product candidates. There are a limited number of suppliers for the raw materials that Mereo may use to manufacture its product candidates and Mereo may need to assess alternate suppliers to prevent a possible disruption of the manufacture of its product candidates.</w:t>
      </w:r>
    </w:p>
    <w:p>
      <w:pPr>
        <w:spacing w:after="0" w:line="168" w:lineRule="exact"/>
        <w:rPr>
          <w:sz w:val="20"/>
          <w:szCs w:val="20"/>
          <w:color w:val="auto"/>
        </w:rPr>
      </w:pPr>
    </w:p>
    <w:p>
      <w:pPr>
        <w:ind w:left="440" w:right="180" w:firstLine="423"/>
        <w:spacing w:after="0" w:line="261" w:lineRule="auto"/>
        <w:rPr>
          <w:sz w:val="20"/>
          <w:szCs w:val="20"/>
          <w:color w:val="auto"/>
        </w:rPr>
      </w:pPr>
      <w:r>
        <w:rPr>
          <w:rFonts w:ascii="Arial" w:cs="Arial" w:eastAsia="Arial" w:hAnsi="Arial"/>
          <w:sz w:val="17"/>
          <w:szCs w:val="17"/>
          <w:color w:val="auto"/>
        </w:rPr>
        <w:t>Finding new CMOs or third-party suppliers involves additional cost and requires Mereo’s management’s time and focus. In addition, there is typically a transition period when a new CMO commences work. Although Mereo generally does not begin a clinical trial unless it believes it has on hand, or will be able to obtain, a sufficient supply of Mereo’s product candidates to complete the clinical trial, any significant delay in the supply of its product candidates or the raw materials needed to produce its product candidates, could considerably delay conducting its clinical trials and potential regulatory approval of its product candidates.</w:t>
      </w:r>
    </w:p>
    <w:p>
      <w:pPr>
        <w:spacing w:after="0" w:line="180" w:lineRule="exact"/>
        <w:rPr>
          <w:sz w:val="20"/>
          <w:szCs w:val="20"/>
          <w:color w:val="auto"/>
        </w:rPr>
      </w:pPr>
    </w:p>
    <w:p>
      <w:pPr>
        <w:ind w:left="440" w:right="640" w:firstLine="423"/>
        <w:spacing w:after="0" w:line="284" w:lineRule="auto"/>
        <w:rPr>
          <w:sz w:val="20"/>
          <w:szCs w:val="20"/>
          <w:color w:val="auto"/>
        </w:rPr>
      </w:pPr>
      <w:r>
        <w:rPr>
          <w:rFonts w:ascii="Arial" w:cs="Arial" w:eastAsia="Arial" w:hAnsi="Arial"/>
          <w:sz w:val="17"/>
          <w:szCs w:val="17"/>
          <w:color w:val="auto"/>
        </w:rPr>
        <w:t>As part of its manufacture of Mereo’s product candidates, its CMOs and third-party suppliers are expected to comply with and respect the proprietary rights of others. If a CMO or third-party supplier fails to acquire the proper</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000"/>
          </w:cols>
          <w:pgMar w:left="240" w:top="445" w:right="65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spacing w:after="0" w:line="269" w:lineRule="auto"/>
        <w:rPr>
          <w:sz w:val="20"/>
          <w:szCs w:val="20"/>
          <w:color w:val="auto"/>
        </w:rPr>
      </w:pPr>
      <w:r>
        <w:rPr>
          <w:rFonts w:ascii="Arial" w:cs="Arial" w:eastAsia="Arial" w:hAnsi="Arial"/>
          <w:sz w:val="17"/>
          <w:szCs w:val="17"/>
          <w:color w:val="auto"/>
        </w:rPr>
        <w:t>licenses or otherwise infringes the proprietary rights of others in the course of providing services to Mereo, Mereo may have to find alternative CMOs or third-party suppliers or defend against claims of infringement, either of which would significantly impact Mereo’s ability to develop, obtain regulatory approval for or commercialize its product candidates, if approved.</w:t>
      </w:r>
    </w:p>
    <w:p>
      <w:pPr>
        <w:spacing w:after="0" w:line="171" w:lineRule="exact"/>
        <w:rPr>
          <w:sz w:val="20"/>
          <w:szCs w:val="20"/>
          <w:color w:val="auto"/>
        </w:rPr>
      </w:pPr>
    </w:p>
    <w:p>
      <w:pPr>
        <w:ind w:left="640" w:right="200"/>
        <w:spacing w:after="0" w:line="269" w:lineRule="auto"/>
        <w:rPr>
          <w:sz w:val="20"/>
          <w:szCs w:val="20"/>
          <w:color w:val="auto"/>
        </w:rPr>
      </w:pPr>
      <w:r>
        <w:rPr>
          <w:rFonts w:ascii="Arial" w:cs="Arial" w:eastAsia="Arial" w:hAnsi="Arial"/>
          <w:sz w:val="17"/>
          <w:szCs w:val="17"/>
          <w:b w:val="1"/>
          <w:bCs w:val="1"/>
          <w:i w:val="1"/>
          <w:iCs w:val="1"/>
          <w:color w:val="auto"/>
        </w:rPr>
        <w:t>Mereo intends to enter into strategic relationships with third parties, based on a product-by-product assessment, for the development of some of its product candidates. If Mereo fails to enter into these arrangements, its business, development and commercialization prospects could be adversely affected.</w:t>
      </w:r>
    </w:p>
    <w:p>
      <w:pPr>
        <w:spacing w:after="0" w:line="171" w:lineRule="exact"/>
        <w:rPr>
          <w:sz w:val="20"/>
          <w:szCs w:val="20"/>
          <w:color w:val="auto"/>
        </w:rPr>
      </w:pPr>
    </w:p>
    <w:p>
      <w:pPr>
        <w:ind w:left="440" w:right="60" w:firstLine="423"/>
        <w:spacing w:after="0" w:line="293" w:lineRule="auto"/>
        <w:rPr>
          <w:sz w:val="20"/>
          <w:szCs w:val="20"/>
          <w:color w:val="auto"/>
        </w:rPr>
      </w:pPr>
      <w:r>
        <w:rPr>
          <w:rFonts w:ascii="Arial" w:cs="Arial" w:eastAsia="Arial" w:hAnsi="Arial"/>
          <w:sz w:val="16"/>
          <w:szCs w:val="16"/>
          <w:color w:val="auto"/>
        </w:rPr>
        <w:t>Mereo’s development program for its product candidates, particularly as they enter late-stage development, will require substantial additional funds. Mereo currently intends to enter into a strategic relationship with a pharmaceutical or biopharmaceutical company for the continued development of BCT-197, BGS-649, OMP-313M32 and OMP-305B83, and Mereo may take the same approach for other product candidates.</w:t>
      </w:r>
    </w:p>
    <w:p>
      <w:pPr>
        <w:spacing w:after="0" w:line="155" w:lineRule="exact"/>
        <w:rPr>
          <w:sz w:val="20"/>
          <w:szCs w:val="20"/>
          <w:color w:val="auto"/>
        </w:rPr>
      </w:pPr>
    </w:p>
    <w:p>
      <w:pPr>
        <w:ind w:left="440" w:right="80" w:firstLine="423"/>
        <w:spacing w:after="0" w:line="281" w:lineRule="auto"/>
        <w:rPr>
          <w:sz w:val="20"/>
          <w:szCs w:val="20"/>
          <w:color w:val="auto"/>
        </w:rPr>
      </w:pPr>
      <w:r>
        <w:rPr>
          <w:rFonts w:ascii="Arial" w:cs="Arial" w:eastAsia="Arial" w:hAnsi="Arial"/>
          <w:sz w:val="16"/>
          <w:szCs w:val="16"/>
          <w:color w:val="auto"/>
        </w:rPr>
        <w:t>These types of development arrangements are complex and time-consuming to negotiate and document, and Mereo may not be able to enter into these arrangements on favorable terms or at all. In addition, Mereo faces significant competition from other companies in seeking out these types of development arrangements. If Mereo is successful in entering into such an arrangement, it will be subject to other risks, including its inability to control the amount of time and resources the third party will dedicate to its product candidates, financial or other difficulties experienced by such third party, relinquishing important rights to such third party, and the arrangement failing to be profitable to Mereo.</w:t>
      </w:r>
    </w:p>
    <w:p>
      <w:pPr>
        <w:spacing w:after="0" w:line="166" w:lineRule="exact"/>
        <w:rPr>
          <w:sz w:val="20"/>
          <w:szCs w:val="20"/>
          <w:color w:val="auto"/>
        </w:rPr>
      </w:pPr>
    </w:p>
    <w:p>
      <w:pPr>
        <w:ind w:left="440" w:right="140" w:firstLine="423"/>
        <w:spacing w:after="0" w:line="264" w:lineRule="auto"/>
        <w:rPr>
          <w:sz w:val="20"/>
          <w:szCs w:val="20"/>
          <w:color w:val="auto"/>
        </w:rPr>
      </w:pPr>
      <w:r>
        <w:rPr>
          <w:rFonts w:ascii="Arial" w:cs="Arial" w:eastAsia="Arial" w:hAnsi="Arial"/>
          <w:sz w:val="17"/>
          <w:szCs w:val="17"/>
          <w:color w:val="auto"/>
        </w:rPr>
        <w:t>If Mereo is unable to enter into an appropriate arrangement for the development of BCT-197 and potentially for BGS-649 or other product candidates, Mereo may have to reduce, delay, or terminate the development of such product candidates. If Mereo, instead, decides to increase its expenditures to fund development activities on its own, it will need to obtain additional capital, which may not be available to it on acceptable terms or at all. As a result, Mereo’s business may be substantially harmed.</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Intellectual Property and Data Protection</w:t>
      </w:r>
    </w:p>
    <w:p>
      <w:pPr>
        <w:spacing w:after="0" w:line="121" w:lineRule="exact"/>
        <w:rPr>
          <w:sz w:val="20"/>
          <w:szCs w:val="20"/>
          <w:color w:val="auto"/>
        </w:rPr>
      </w:pPr>
    </w:p>
    <w:p>
      <w:pPr>
        <w:ind w:left="640" w:right="40"/>
        <w:spacing w:after="0" w:line="269" w:lineRule="auto"/>
        <w:rPr>
          <w:sz w:val="20"/>
          <w:szCs w:val="20"/>
          <w:color w:val="auto"/>
        </w:rPr>
      </w:pPr>
      <w:r>
        <w:rPr>
          <w:rFonts w:ascii="Arial" w:cs="Arial" w:eastAsia="Arial" w:hAnsi="Arial"/>
          <w:sz w:val="17"/>
          <w:szCs w:val="17"/>
          <w:b w:val="1"/>
          <w:bCs w:val="1"/>
          <w:i w:val="1"/>
          <w:iCs w:val="1"/>
          <w:color w:val="auto"/>
        </w:rPr>
        <w:t>Mereo relies on patents and other intellectual property rights to protect its product candidates, the obtainment, enforcement, defense and maintenance of which may be challenging and costly. Failure to enforce or protect these rights adequately could harm Mereo’s ability to compete and impair its business.</w:t>
      </w:r>
    </w:p>
    <w:p>
      <w:pPr>
        <w:spacing w:after="0" w:line="171" w:lineRule="exact"/>
        <w:rPr>
          <w:sz w:val="20"/>
          <w:szCs w:val="20"/>
          <w:color w:val="auto"/>
        </w:rPr>
      </w:pPr>
    </w:p>
    <w:p>
      <w:pPr>
        <w:ind w:left="440" w:firstLine="423"/>
        <w:spacing w:after="0" w:line="294" w:lineRule="auto"/>
        <w:rPr>
          <w:sz w:val="20"/>
          <w:szCs w:val="20"/>
          <w:color w:val="auto"/>
        </w:rPr>
      </w:pPr>
      <w:r>
        <w:rPr>
          <w:rFonts w:ascii="Arial" w:cs="Arial" w:eastAsia="Arial" w:hAnsi="Arial"/>
          <w:sz w:val="15"/>
          <w:szCs w:val="15"/>
          <w:color w:val="auto"/>
        </w:rPr>
        <w:t>Mereo’s commercial success depends in part on obtaining and maintaining patents and other forms of intellectual property protection, for example, for compositions-of-matter of its product candidates, formulations of its product candidates, polymorphs, salts and analogs of its product candidates, methods used to manufacture its product candidates, methods for manufacturing of the final drug products, and methods of using its product candidates for the treatment of the indications Mereo is developing or plans to develop, or on in-licensing such rights. Mereo’s patent portfolio comprises patents and patent applications which cover its BPS-804, BCT-197, and BGS-649 product candidates acquired or exclusively licensed from Novartis, patents and patent applications which cover Mereo’s MPH-966 product candidate exclusively licensed (with the option to purchase) from AstraZeneca, and patents and patent applications which cover Mereo’s OMP-305B83 and OMP-313M32 (solely owned by OncoMed). The assignments of those patents and patent applications which Mereo acquired from Novartis have been registered with the relevant authorities in key territories and the exclusive licenses from AstraZeneca have also been registered with the relevant authorities in key territories. There is no assurance that Mereo’s pending patent applications will result in issued patents, or if issued as patents, will include claims with sufficient scope of coverage to protect Mereo’s product candidates, or that any pending patent applications will be issued as patents in a timely manner. Failure to obtain, maintain or extend adequate patent and other intellectual property rights could adversely affect Mereo’s ability to develop and market its product candidates, resulting in harm to its business.</w:t>
      </w:r>
    </w:p>
    <w:p>
      <w:pPr>
        <w:spacing w:after="0" w:line="158" w:lineRule="exact"/>
        <w:rPr>
          <w:sz w:val="20"/>
          <w:szCs w:val="20"/>
          <w:color w:val="auto"/>
        </w:rPr>
      </w:pPr>
    </w:p>
    <w:p>
      <w:pPr>
        <w:ind w:left="440" w:right="120" w:firstLine="423"/>
        <w:spacing w:after="0" w:line="259" w:lineRule="auto"/>
        <w:rPr>
          <w:sz w:val="20"/>
          <w:szCs w:val="20"/>
          <w:color w:val="auto"/>
        </w:rPr>
      </w:pPr>
      <w:r>
        <w:rPr>
          <w:rFonts w:ascii="Arial" w:cs="Arial" w:eastAsia="Arial" w:hAnsi="Arial"/>
          <w:sz w:val="17"/>
          <w:szCs w:val="17"/>
          <w:color w:val="auto"/>
        </w:rPr>
        <w:t>The patent prosecution process is expensive and time-consuming. Mereo or its licensors may not be able to prepare, file and prosecute all necessary or desirable patent applications for a commercially reasonable cost or in a timely manner or in all jurisdictions. It is also possible that Mereo or its licensors may fail to identify patentable aspects of inventions made in the course of development and commercialization activities before it is too late to obtain patent protection for them. Moreover, depending on the terms of any future in-licenses to which Mereo may become a party, Mereo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Mereo’s business.</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000"/>
          </w:cols>
          <w:pgMar w:left="240" w:top="445" w:right="6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firstLine="423"/>
        <w:spacing w:after="0" w:line="294" w:lineRule="auto"/>
        <w:rPr>
          <w:sz w:val="20"/>
          <w:szCs w:val="20"/>
          <w:color w:val="auto"/>
        </w:rPr>
      </w:pPr>
      <w:r>
        <w:rPr>
          <w:rFonts w:ascii="Arial" w:cs="Arial" w:eastAsia="Arial" w:hAnsi="Arial"/>
          <w:sz w:val="15"/>
          <w:szCs w:val="15"/>
          <w:color w:val="auto"/>
        </w:rPr>
        <w:t>Further, the issuance, scope, validity, enforceability, and commercial value of Mereo’s and its current or future licensors’ patent rights are highly uncertain. Mereo’s and its licensors’ pending and future patent applications may not result in issued patents that protect Mereo’s technology or product candidates, in whole or in part, or that effectively prevent others from commercializing competitive technologies and products. The patent examination process may require Mereo or its licensors to narrow the scope of the claims of Mereo’s or its licensors’ pending and future patent applications, which may limit the scope of patent protection that may be obtained. Mereo cannot assure that all of the potentially relevant prior art relating to Mereo’s patents and patent applications has been found. If such prior art exists, it can invalidate a patent or prevent a patent application from being issued as a patent. Even if patent applications do successfully issue as patents and even if such patents cover Mereo’s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Mereo’s and its licensors’ patent applications cannot be enforced against third parties practicing the technology claimed in such applications unless and until a patent issues from such patent applications, and then only to the extent the issued claims cover the technology.</w:t>
      </w:r>
    </w:p>
    <w:p>
      <w:pPr>
        <w:spacing w:after="0" w:line="162" w:lineRule="exact"/>
        <w:rPr>
          <w:sz w:val="20"/>
          <w:szCs w:val="20"/>
          <w:color w:val="auto"/>
        </w:rPr>
      </w:pPr>
    </w:p>
    <w:p>
      <w:pPr>
        <w:ind w:left="440" w:firstLine="423"/>
        <w:spacing w:after="0" w:line="276" w:lineRule="auto"/>
        <w:rPr>
          <w:sz w:val="20"/>
          <w:szCs w:val="20"/>
          <w:color w:val="auto"/>
        </w:rPr>
      </w:pPr>
      <w:r>
        <w:rPr>
          <w:rFonts w:ascii="Arial" w:cs="Arial" w:eastAsia="Arial" w:hAnsi="Arial"/>
          <w:sz w:val="16"/>
          <w:szCs w:val="16"/>
          <w:color w:val="auto"/>
        </w:rPr>
        <w:t>Because patent applications are confidential for a period of time after filing, and some remain so until issued, Mereo cannot be certain that Mereo or its licensors were the first to file any patent application related to Mereo’s product candidates. Furthermore, in the United States, if third parties have filed such patent applications on or before March 15, 2013, the date on which the United States changed from a first to invent to a first to file patent system, an interference proceeding can be initiated by such third parties to determine who was the first to invent any of the subject matter covered by the patent claims of Mereo’s applications. If third parties have filed such applications after March 15, 2013, a derivation proceeding can be initiated by such third parties to determine whether Mereo’s invention was derived from such third parties’ product candidates. Even where Mereo has a valid and enforceable patent, Mereo may not be able to exclude others from practicing its invention where the other party can show that they used the invention in commerce before Mereo’s filing date or the other party benefits from a compulsory license.</w:t>
      </w:r>
    </w:p>
    <w:p>
      <w:pPr>
        <w:spacing w:after="0" w:line="172" w:lineRule="exact"/>
        <w:rPr>
          <w:sz w:val="20"/>
          <w:szCs w:val="20"/>
          <w:color w:val="auto"/>
        </w:rPr>
      </w:pPr>
    </w:p>
    <w:p>
      <w:pPr>
        <w:ind w:left="640" w:right="280"/>
        <w:spacing w:after="0" w:line="284" w:lineRule="auto"/>
        <w:rPr>
          <w:sz w:val="20"/>
          <w:szCs w:val="20"/>
          <w:color w:val="auto"/>
        </w:rPr>
      </w:pPr>
      <w:r>
        <w:rPr>
          <w:rFonts w:ascii="Arial" w:cs="Arial" w:eastAsia="Arial" w:hAnsi="Arial"/>
          <w:sz w:val="17"/>
          <w:szCs w:val="17"/>
          <w:b w:val="1"/>
          <w:bCs w:val="1"/>
          <w:i w:val="1"/>
          <w:iCs w:val="1"/>
          <w:color w:val="auto"/>
        </w:rPr>
        <w:t>Mereo enjoys only limited geographical protection with respect to certain patents and may not be able to protect its intellectual property rights throughout the world.</w:t>
      </w:r>
    </w:p>
    <w:p>
      <w:pPr>
        <w:spacing w:after="0" w:line="159" w:lineRule="exact"/>
        <w:rPr>
          <w:sz w:val="20"/>
          <w:szCs w:val="20"/>
          <w:color w:val="auto"/>
        </w:rPr>
      </w:pPr>
    </w:p>
    <w:p>
      <w:pPr>
        <w:ind w:left="440" w:right="20" w:firstLine="423"/>
        <w:spacing w:after="0" w:line="304" w:lineRule="auto"/>
        <w:rPr>
          <w:sz w:val="20"/>
          <w:szCs w:val="20"/>
          <w:color w:val="auto"/>
        </w:rPr>
      </w:pPr>
      <w:r>
        <w:rPr>
          <w:rFonts w:ascii="Arial" w:cs="Arial" w:eastAsia="Arial" w:hAnsi="Arial"/>
          <w:sz w:val="15"/>
          <w:szCs w:val="15"/>
          <w:color w:val="auto"/>
        </w:rPr>
        <w:t>Filing and prosecuting patent applications and defending patents covering Mereo product candidates in all countries throughout the world would be prohibitively expensive. Competitors may use Mereo’s and its licensors’ technologies in jurisdictions where Mereo has not obtained patent protection to develop the competitor’s own products and, further, may export otherwise infringing products to territories where Mereo and its licensors have patent protection, but enforcement rights are not as strong as that in the United States or Europe. These products may compete with Mereo’s product candidates, and Mereo’s and its licensors’ patents or other intellectual property rights may not be effective or sufficient to prevent them from competing.</w:t>
      </w:r>
    </w:p>
    <w:p>
      <w:pPr>
        <w:spacing w:after="0" w:line="151" w:lineRule="exact"/>
        <w:rPr>
          <w:sz w:val="20"/>
          <w:szCs w:val="20"/>
          <w:color w:val="auto"/>
        </w:rPr>
      </w:pPr>
    </w:p>
    <w:p>
      <w:pPr>
        <w:ind w:left="440" w:right="20" w:firstLine="423"/>
        <w:spacing w:after="0" w:line="281" w:lineRule="auto"/>
        <w:rPr>
          <w:sz w:val="20"/>
          <w:szCs w:val="20"/>
          <w:color w:val="auto"/>
        </w:rPr>
      </w:pPr>
      <w:r>
        <w:rPr>
          <w:rFonts w:ascii="Arial" w:cs="Arial" w:eastAsia="Arial" w:hAnsi="Arial"/>
          <w:sz w:val="16"/>
          <w:szCs w:val="16"/>
          <w:color w:val="auto"/>
        </w:rPr>
        <w:t>In addition, Mereo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candidate or technology.</w:t>
      </w:r>
    </w:p>
    <w:p>
      <w:pPr>
        <w:spacing w:after="0" w:line="166" w:lineRule="exact"/>
        <w:rPr>
          <w:sz w:val="20"/>
          <w:szCs w:val="20"/>
          <w:color w:val="auto"/>
        </w:rPr>
      </w:pPr>
    </w:p>
    <w:p>
      <w:pPr>
        <w:ind w:left="440" w:right="40" w:firstLine="423"/>
        <w:spacing w:after="0" w:line="276"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Mereo to stop the infringement of its patents or marketing of competing products in violation of Mereo’s proprietary rights generally. Proceedings to enforce Mereo’s patent rights in other jurisdictions, whether or not successful, could result in substantial costs and divert Mereo’s efforts and attention from other aspects of its business, could put its patents at risk of being invalidated or interpreted narrowly and its patent applications at risk of not issuing as patents, and could provoke third parties to assert claims against Mereo. Mereo may not prevail in any lawsuits that it initiates and the damages or other remedies awarded, if any, may not be commercially meaningful.</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80"/>
          </w:cols>
          <w:pgMar w:left="240" w:top="445" w:right="6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spacing w:after="0" w:line="258" w:lineRule="auto"/>
        <w:rPr>
          <w:sz w:val="20"/>
          <w:szCs w:val="20"/>
          <w:color w:val="auto"/>
        </w:rPr>
      </w:pPr>
      <w:r>
        <w:rPr>
          <w:rFonts w:ascii="Arial" w:cs="Arial" w:eastAsia="Arial" w:hAnsi="Arial"/>
          <w:sz w:val="17"/>
          <w:szCs w:val="17"/>
          <w:color w:val="auto"/>
        </w:rPr>
        <w:t>Accordingly, Mereo’s efforts to enforce its intellectual property rights around the world may be inadequate to obtain a significant commercial advantage from the intellectual property that Mereo develops or licenses. Furthermore, while Mereo intends to protect its intellectual property rights in its expected significant markets, it cannot ensure that it will be able to initiate or maintain similar efforts in all jurisdictions in which Mereo may wish to market its product candidates. Accordingly, Mereo’s efforts to protect its intellectual property rights in such countries may be inadequate, which may have an adverse effect on Mereo’s ability to successfully commercialize its product candidates in all of its expected significant foreign markets. If Mereo or its licensors encounter difficulties in protecting, or are otherwise precluded from effectively protecting, the intellectual property rights important for Mereo’s business in such jurisdictions, the value of these rights may be diminished and Mereo may face additional competition from others in those jurisdictions.</w:t>
      </w:r>
    </w:p>
    <w:p>
      <w:pPr>
        <w:spacing w:after="0" w:line="184"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Mereo or any of its licensors is forced to grant a license to third parties with respect to any patents relevant to Mereo’s business, its competitive position may be impaired.</w:t>
      </w:r>
    </w:p>
    <w:p>
      <w:pPr>
        <w:spacing w:after="0" w:line="176" w:lineRule="exact"/>
        <w:rPr>
          <w:sz w:val="20"/>
          <w:szCs w:val="20"/>
          <w:color w:val="auto"/>
        </w:rPr>
      </w:pPr>
    </w:p>
    <w:p>
      <w:pPr>
        <w:ind w:left="640" w:right="300"/>
        <w:spacing w:after="0" w:line="284" w:lineRule="auto"/>
        <w:rPr>
          <w:sz w:val="20"/>
          <w:szCs w:val="20"/>
          <w:color w:val="auto"/>
        </w:rPr>
      </w:pPr>
      <w:r>
        <w:rPr>
          <w:rFonts w:ascii="Arial" w:cs="Arial" w:eastAsia="Arial" w:hAnsi="Arial"/>
          <w:sz w:val="17"/>
          <w:szCs w:val="17"/>
          <w:b w:val="1"/>
          <w:bCs w:val="1"/>
          <w:i w:val="1"/>
          <w:iCs w:val="1"/>
          <w:color w:val="auto"/>
        </w:rPr>
        <w:t>Mereo patents and other proprietary rights may not adequately protect Mereo’s technologies and product candidates, and may not necessarily address all potential threats to Mereo’s competitive advantage.</w:t>
      </w:r>
    </w:p>
    <w:p>
      <w:pPr>
        <w:spacing w:after="0" w:line="159" w:lineRule="exact"/>
        <w:rPr>
          <w:sz w:val="20"/>
          <w:szCs w:val="20"/>
          <w:color w:val="auto"/>
        </w:rPr>
      </w:pPr>
    </w:p>
    <w:p>
      <w:pPr>
        <w:ind w:left="440" w:right="320" w:firstLine="423"/>
        <w:spacing w:after="0" w:line="316" w:lineRule="auto"/>
        <w:rPr>
          <w:sz w:val="20"/>
          <w:szCs w:val="20"/>
          <w:color w:val="auto"/>
        </w:rPr>
      </w:pPr>
      <w:r>
        <w:rPr>
          <w:rFonts w:ascii="Arial" w:cs="Arial" w:eastAsia="Arial" w:hAnsi="Arial"/>
          <w:sz w:val="16"/>
          <w:szCs w:val="16"/>
          <w:color w:val="auto"/>
        </w:rPr>
        <w:t>The degree of protection afforded by Mereo’s intellectual property rights is uncertain because intellectual property rights have limitations, and may not adequately protect Mereo’s business, or permit it to maintain its competitive advantage. The following examples are illustrative:</w:t>
      </w:r>
    </w:p>
    <w:p>
      <w:pPr>
        <w:spacing w:after="0" w:line="46" w:lineRule="exact"/>
        <w:rPr>
          <w:sz w:val="20"/>
          <w:szCs w:val="20"/>
          <w:color w:val="auto"/>
        </w:rPr>
      </w:pPr>
    </w:p>
    <w:p>
      <w:pPr>
        <w:ind w:left="1260" w:right="120" w:hanging="415"/>
        <w:spacing w:after="0" w:line="284"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others may be able to make compounds that are the same as or similar to Mereo’s product candidates but that are not covered by the claims of the patents that Mereo owns or has exclusively licensed;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patents of third parties may impair Mereo’s ability to develop or commercialize its product candidates;</w:t>
      </w:r>
    </w:p>
    <w:p>
      <w:pPr>
        <w:spacing w:after="0" w:line="128" w:lineRule="exact"/>
        <w:rPr>
          <w:rFonts w:ascii="Arial" w:cs="Arial" w:eastAsia="Arial" w:hAnsi="Arial"/>
          <w:sz w:val="17"/>
          <w:szCs w:val="17"/>
          <w:color w:val="auto"/>
        </w:rPr>
      </w:pPr>
    </w:p>
    <w:p>
      <w:pPr>
        <w:ind w:left="1260" w:right="920" w:hanging="415"/>
        <w:spacing w:after="0" w:line="284"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patents of third parties may be extended beyond the expected patent term and thus may impair Mereo’s ability to develop or commercialize its product candidates;</w:t>
      </w:r>
    </w:p>
    <w:p>
      <w:pPr>
        <w:spacing w:after="0" w:line="68" w:lineRule="exact"/>
        <w:rPr>
          <w:rFonts w:ascii="Arial" w:cs="Arial" w:eastAsia="Arial" w:hAnsi="Arial"/>
          <w:sz w:val="17"/>
          <w:szCs w:val="17"/>
          <w:color w:val="auto"/>
        </w:rPr>
      </w:pPr>
    </w:p>
    <w:p>
      <w:pPr>
        <w:ind w:left="1260" w:right="380" w:hanging="415"/>
        <w:spacing w:after="0" w:line="284"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Mereo or its licensors or any future strategic collaborators might not have been the first to conceive or reduce to practice the inventions covered by the issued patents or pending patent applications that Mereo owns or has exclusively licensed;</w:t>
      </w:r>
    </w:p>
    <w:p>
      <w:pPr>
        <w:spacing w:after="0" w:line="68" w:lineRule="exact"/>
        <w:rPr>
          <w:rFonts w:ascii="Arial" w:cs="Arial" w:eastAsia="Arial" w:hAnsi="Arial"/>
          <w:sz w:val="17"/>
          <w:szCs w:val="17"/>
          <w:color w:val="auto"/>
        </w:rPr>
      </w:pPr>
    </w:p>
    <w:p>
      <w:pPr>
        <w:ind w:left="1260" w:right="240" w:hanging="415"/>
        <w:spacing w:after="0" w:line="354" w:lineRule="auto"/>
        <w:tabs>
          <w:tab w:leader="none" w:pos="12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Mereo or Mereo’s licensors or any future strategic collaborators might not have been the first to file patent applications covering Mereo’s inventions, its product candidates, or uses of the product candidates in the indications under Mereo’s development or to be developed;</w:t>
      </w:r>
    </w:p>
    <w:p>
      <w:pPr>
        <w:spacing w:after="0" w:line="22" w:lineRule="exact"/>
        <w:rPr>
          <w:rFonts w:ascii="Arial" w:cs="Arial" w:eastAsia="Arial" w:hAnsi="Arial"/>
          <w:sz w:val="15"/>
          <w:szCs w:val="15"/>
          <w:color w:val="auto"/>
        </w:rPr>
      </w:pPr>
    </w:p>
    <w:p>
      <w:pPr>
        <w:ind w:left="1260" w:hanging="415"/>
        <w:spacing w:after="0"/>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it is possible that the pending patent applications that Mereo owns or has exclusively licensed may not lead to issued patents;</w:t>
      </w:r>
    </w:p>
    <w:p>
      <w:pPr>
        <w:spacing w:after="0" w:line="128" w:lineRule="exact"/>
        <w:rPr>
          <w:rFonts w:ascii="Arial" w:cs="Arial" w:eastAsia="Arial" w:hAnsi="Arial"/>
          <w:sz w:val="17"/>
          <w:szCs w:val="17"/>
          <w:color w:val="auto"/>
        </w:rPr>
      </w:pPr>
    </w:p>
    <w:p>
      <w:pPr>
        <w:ind w:left="1260" w:right="280" w:hanging="415"/>
        <w:spacing w:after="0" w:line="284"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issued patents that Mereo owns or has exclusively licensed may not provide it with any competitive advantage, or may be held invalid or unenforceable, as a result of legal challenges by Mereo’s competitors;</w:t>
      </w:r>
    </w:p>
    <w:p>
      <w:pPr>
        <w:spacing w:after="0" w:line="68" w:lineRule="exact"/>
        <w:rPr>
          <w:rFonts w:ascii="Arial" w:cs="Arial" w:eastAsia="Arial" w:hAnsi="Arial"/>
          <w:sz w:val="17"/>
          <w:szCs w:val="17"/>
          <w:color w:val="auto"/>
        </w:rPr>
      </w:pPr>
    </w:p>
    <w:p>
      <w:pPr>
        <w:ind w:left="1260" w:right="260" w:hanging="415"/>
        <w:spacing w:after="0" w:line="316" w:lineRule="auto"/>
        <w:tabs>
          <w:tab w:leader="none" w:pos="1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issued patents that Mereo own or have exclusively licensed may not provide coverage for all aspects of Mereo’s product candidates in all countries, such as for uses of Mereo’s product candidates in the indications under Mereo’s development or to be developed;</w:t>
      </w:r>
    </w:p>
    <w:p>
      <w:pPr>
        <w:spacing w:after="0" w:line="46" w:lineRule="exact"/>
        <w:rPr>
          <w:rFonts w:ascii="Arial" w:cs="Arial" w:eastAsia="Arial" w:hAnsi="Arial"/>
          <w:sz w:val="16"/>
          <w:szCs w:val="16"/>
          <w:color w:val="auto"/>
        </w:rPr>
      </w:pPr>
    </w:p>
    <w:p>
      <w:pPr>
        <w:ind w:left="1260" w:right="180" w:hanging="415"/>
        <w:spacing w:after="0" w:line="284" w:lineRule="auto"/>
        <w:tabs>
          <w:tab w:leader="none" w:pos="1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Mereo’s technologies without infringing Mereo’s intellectual property rights;</w:t>
      </w:r>
    </w:p>
    <w:p>
      <w:pPr>
        <w:spacing w:after="0" w:line="68" w:lineRule="exact"/>
        <w:rPr>
          <w:rFonts w:ascii="Arial" w:cs="Arial" w:eastAsia="Arial" w:hAnsi="Arial"/>
          <w:sz w:val="17"/>
          <w:szCs w:val="17"/>
          <w:color w:val="auto"/>
        </w:rPr>
      </w:pPr>
    </w:p>
    <w:p>
      <w:pPr>
        <w:ind w:left="1260" w:right="140" w:hanging="415"/>
        <w:spacing w:after="0" w:line="316" w:lineRule="auto"/>
        <w:tabs>
          <w:tab w:leader="none" w:pos="1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Mereo’s competitors might conduct research and development activities in countries where Mereo does not have patent rights and then use the information learned from such activities to develop competitive products for sale in Mereo’s major commercial markets;</w:t>
      </w:r>
    </w:p>
    <w:p>
      <w:pPr>
        <w:spacing w:after="0" w:line="7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980"/>
          </w:cols>
          <w:pgMar w:left="240" w:top="445" w:right="6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20" w:hanging="415"/>
        <w:spacing w:after="0" w:line="284" w:lineRule="auto"/>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performing manufacturing or testing for Mereo using its products or technologies could use the intellectual property of others without obtaining a proper license;</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Mereo’s or its licensors’ inventions or technologies may be found to be not patentable;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Mereo may not develop additional technologies that are patentable.</w:t>
      </w:r>
    </w:p>
    <w:p>
      <w:pPr>
        <w:spacing w:after="0" w:line="219" w:lineRule="exact"/>
        <w:rPr>
          <w:sz w:val="20"/>
          <w:szCs w:val="20"/>
          <w:color w:val="auto"/>
        </w:rPr>
      </w:pPr>
    </w:p>
    <w:p>
      <w:pPr>
        <w:ind w:left="860" w:right="300"/>
        <w:spacing w:after="0" w:line="352" w:lineRule="auto"/>
        <w:rPr>
          <w:sz w:val="20"/>
          <w:szCs w:val="20"/>
          <w:color w:val="auto"/>
        </w:rPr>
      </w:pPr>
      <w:r>
        <w:rPr>
          <w:rFonts w:ascii="Arial" w:cs="Arial" w:eastAsia="Arial" w:hAnsi="Arial"/>
          <w:sz w:val="14"/>
          <w:szCs w:val="14"/>
          <w:b w:val="1"/>
          <w:bCs w:val="1"/>
          <w:i w:val="1"/>
          <w:iCs w:val="1"/>
          <w:color w:val="auto"/>
        </w:rPr>
        <w:t>Mereo may become subject to third parties’ claims alleging infringement of third party patents and proprietary rights, or Mereo may be involved in lawsuits to protect or enforce Mereo’s patents and other proprietary rights, which could be costly and time consuming, delay or prevent the development and commercialization of Mereo’s product candidates, or put Mereo’s patents and other proprietary rights at risk.</w:t>
      </w:r>
    </w:p>
    <w:p>
      <w:pPr>
        <w:spacing w:after="0" w:line="120" w:lineRule="exact"/>
        <w:rPr>
          <w:sz w:val="20"/>
          <w:szCs w:val="20"/>
          <w:color w:val="auto"/>
        </w:rPr>
      </w:pPr>
    </w:p>
    <w:p>
      <w:pPr>
        <w:ind w:left="440" w:right="40" w:firstLine="423"/>
        <w:spacing w:after="0" w:line="294" w:lineRule="auto"/>
        <w:rPr>
          <w:sz w:val="20"/>
          <w:szCs w:val="20"/>
          <w:color w:val="auto"/>
        </w:rPr>
      </w:pPr>
      <w:r>
        <w:rPr>
          <w:rFonts w:ascii="Arial" w:cs="Arial" w:eastAsia="Arial" w:hAnsi="Arial"/>
          <w:sz w:val="15"/>
          <w:szCs w:val="15"/>
          <w:color w:val="auto"/>
        </w:rPr>
        <w:t>Mereo’s commercial success depends, in part, upon its ability to develop, manufacture, market, and sell its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Mereo plans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Mereo is developing product candidates. Some claimants may have substantially greater resources than Mereo has and may be able to sustain the costs of complex intellectual property litigation to a greater degree and for longer periods of time than Mereo could. In addition, patent holding companies that focus solely on extracting royalties and settlements by enforcing patent rights may target Mereo. As the biopharmaceutical and pharmaceutical industries expand and more patents are issued, the risk increases that Mereo’s product candidates may be subject to claims of infringement of the intellectual property rights of third parties.</w:t>
      </w:r>
    </w:p>
    <w:p>
      <w:pPr>
        <w:spacing w:after="0" w:line="158" w:lineRule="exact"/>
        <w:rPr>
          <w:sz w:val="20"/>
          <w:szCs w:val="20"/>
          <w:color w:val="auto"/>
        </w:rPr>
      </w:pPr>
    </w:p>
    <w:p>
      <w:pPr>
        <w:ind w:left="440" w:firstLine="423"/>
        <w:spacing w:after="0" w:line="273" w:lineRule="auto"/>
        <w:rPr>
          <w:sz w:val="20"/>
          <w:szCs w:val="20"/>
          <w:color w:val="auto"/>
        </w:rPr>
      </w:pPr>
      <w:r>
        <w:rPr>
          <w:rFonts w:ascii="Arial" w:cs="Arial" w:eastAsia="Arial" w:hAnsi="Arial"/>
          <w:sz w:val="16"/>
          <w:szCs w:val="16"/>
          <w:color w:val="auto"/>
        </w:rPr>
        <w:t>Mereo may be subject to third-party claims including infringement, interference or derivation proceedings, post-grant review and inter partes review before the USPTO, or similar adversarial proceedings or litigation in the U.S. and other jurisdictions. Even if Mereo believes such claims are without merit, a court of competent jurisdiction could hold that these third-party patents are valid, enforceable and infringed, and the holders of any such patents may be able to block Mereo’s ability to commercialize the applicable product candidate unless Mereo obtained a license under the applicable patents, or until such patents expire or are finally determined to be invalid or unenforceable. Similarly, if any third-party patents were held by a court of competent jurisdiction to cover aspects of Mereo’s compositions, formulations, or methods of treatment, prevention, or use, the holders of any such patents may be able to block Mereo’s ability to develop and commercialize the applicable product candidate unless Mereo obtained a license or until such patent expires or is finally determined to be invalid or unenforceable. In addition, defending such claims would cause Mereo to incur substantial expenses and could cause it to pay substantial damages, if it is found to be infringing a third party’s patent rights. These damages potentially include increased damages and attorneys’ fees if Mereo is found to have infringed such rights willfully. As an example of the foregoing risks, Mereo is aware of a third-party patent family which currently includes a patent granted by the European Patent Office (“EPO”), containing claims that appear to cover the use of BPS-804 in the treatment of OI. The patent owner could assert such patent against Mereo, which could present the foregoing risks and impose limitations in Mereo’s ability to develop, manufacture or sell BPS-804 for such use in the EU, unless Mereo obtains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w:t>
      </w:r>
    </w:p>
    <w:p>
      <w:pPr>
        <w:spacing w:after="0" w:line="174" w:lineRule="exact"/>
        <w:rPr>
          <w:sz w:val="20"/>
          <w:szCs w:val="20"/>
          <w:color w:val="auto"/>
        </w:rPr>
      </w:pPr>
    </w:p>
    <w:p>
      <w:pPr>
        <w:ind w:left="440" w:right="40" w:firstLine="423"/>
        <w:spacing w:after="0" w:line="259" w:lineRule="auto"/>
        <w:rPr>
          <w:sz w:val="20"/>
          <w:szCs w:val="20"/>
          <w:color w:val="auto"/>
        </w:rPr>
      </w:pPr>
      <w:r>
        <w:rPr>
          <w:rFonts w:ascii="Arial" w:cs="Arial" w:eastAsia="Arial" w:hAnsi="Arial"/>
          <w:sz w:val="17"/>
          <w:szCs w:val="17"/>
          <w:color w:val="auto"/>
        </w:rPr>
        <w:t>Further, if a patent infringement suit is brought against Mereo or its third-party service providers, Mereo’s development, manufacturing or sales activities relating to the product or product candidate that is the subject of the suit may be delayed or terminated. As a result of patent infringement claims, or in order to avoid potential infringement claims, Mereo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Mereo’s competitors access to the same intellectual property rights. If Mereo is unable to enter into a license on acceptable terms, it could be prevented from commercializing one or more of its product candidates, or forced to</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980"/>
          </w:cols>
          <w:pgMar w:left="240" w:top="445" w:right="67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440" w:right="220"/>
        <w:spacing w:after="0" w:line="310" w:lineRule="auto"/>
        <w:rPr>
          <w:sz w:val="20"/>
          <w:szCs w:val="20"/>
          <w:color w:val="auto"/>
        </w:rPr>
      </w:pPr>
      <w:r>
        <w:rPr>
          <w:rFonts w:ascii="Arial" w:cs="Arial" w:eastAsia="Arial" w:hAnsi="Arial"/>
          <w:sz w:val="15"/>
          <w:szCs w:val="15"/>
          <w:color w:val="auto"/>
        </w:rPr>
        <w:t>modify such product candidates, or to cease some aspect of Mereo’s business operations, which could harm its business significantly. Mereo might, if possible, also be forced to redesign its product candidates so that it no longer infringes the third-party intellectual property rights, which may result in significant cost and delay to Mereo, or which redesign could be technically infeasible. Any of these events, even if Mereo were ultimately to prevail, could require Mereo to divert substantial financial and management resources that Mereo would otherwise be able to devote to its business.</w:t>
      </w:r>
    </w:p>
    <w:p>
      <w:pPr>
        <w:spacing w:after="0" w:line="145" w:lineRule="exact"/>
        <w:rPr>
          <w:sz w:val="20"/>
          <w:szCs w:val="20"/>
          <w:color w:val="auto"/>
        </w:rPr>
      </w:pPr>
    </w:p>
    <w:p>
      <w:pPr>
        <w:ind w:left="440" w:firstLine="423"/>
        <w:spacing w:after="0" w:line="272" w:lineRule="auto"/>
        <w:rPr>
          <w:sz w:val="20"/>
          <w:szCs w:val="20"/>
          <w:color w:val="auto"/>
        </w:rPr>
      </w:pPr>
      <w:r>
        <w:rPr>
          <w:rFonts w:ascii="Arial" w:cs="Arial" w:eastAsia="Arial" w:hAnsi="Arial"/>
          <w:sz w:val="16"/>
          <w:szCs w:val="16"/>
          <w:color w:val="auto"/>
        </w:rPr>
        <w:t>If Mereo were to initiate legal proceedings against a third party to enforce a patent covering one of its product candidates, the defendant could counterclaim that Mereo’s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Mereo’s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Mereo cannot be certain that there is no invalidating prior art of which Mereo and the patent examiner were unaware during prosecution. There is a risk that in connection with such proceedings, a court will decide that a Mereo patent is invalid or unenforceable, in whole or in part, and that Mereo does not have the right to stop the other party from using the invention at issue. If a defendant were to prevail on a legal assertion of invalidity or unenforceability, Mereo would lose at least part, and perhaps all, of the patent protection on Mereo’s product candidates. There is also a risk that, even if the validity of such patents is upheld, the court will construe the patent’s claims narrowly or decide that Mereo does not have the right to stop the other party from using the invention at issue on the grounds that Mereo’s patent claims do not cover the invention. Even if Mereo establishes infringement, the court may decide not to grant an injunction against further infringing activity and instead award only monetary damages, which may or may not be an adequate remedy. An adverse outcome in a litigation or proceeding involving one or more of Mereo’s patents could limit its ability to assert those patents against those parties or other competitors, and may curtail or preclude Mereo’s ability to exclude third parties from making and selling similar or competitive products. In addition, if the breadth or strength of protection provided by Mereo’s patents is threatened, it could dissuade companies from collaborating with Mereo to license, develop, or commercialize its current or future product candidates. Furthermore, Mereo’s patents and other intellectual property rights also will not protect its technology if competitors design around Mereo’s protected technology without infringing its patents or other intellectual property rights.</w:t>
      </w:r>
    </w:p>
    <w:p>
      <w:pPr>
        <w:spacing w:after="0" w:line="182" w:lineRule="exact"/>
        <w:rPr>
          <w:sz w:val="20"/>
          <w:szCs w:val="20"/>
          <w:color w:val="auto"/>
        </w:rPr>
      </w:pPr>
    </w:p>
    <w:p>
      <w:pPr>
        <w:ind w:left="440" w:firstLine="423"/>
        <w:spacing w:after="0" w:line="257"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Mereo’s confidential information could be compromised by disclosure during this type of litigation. Even if resolved in Mereo’s favor, litigation or other legal proceedings relating to intellectual property claims may cause Mereo to incur significant expenses and could distract Mereo’s technical and management personnel from its normal responsibilities. Such litigation or proceedings could substantially increase Mereo’s operating losses and reduce its resources available for development activities. Mereo may not have sufficient financial or other resources to adequately conduct such litigation or proceedings. Some of Mereo’s competitors may be able to sustain the costs of such litigation or proceedings more effectively than Mereo can because of its substantially greater financial resources. Uncertainties resulting from the initiation and continuation of patent litigation or other proceedings could have an adverse effect on Mereo’s ability to compete in the marketplace. There could also be public announcements of the results of hearings, motions, or other interim proceedings or developments. If securities analysts or investors view these announcements in a negative light, the price of our ADSs could be adversely affected.</w:t>
      </w:r>
    </w:p>
    <w:p>
      <w:pPr>
        <w:spacing w:after="0" w:line="186" w:lineRule="exact"/>
        <w:rPr>
          <w:sz w:val="20"/>
          <w:szCs w:val="20"/>
          <w:color w:val="auto"/>
        </w:rPr>
      </w:pPr>
    </w:p>
    <w:p>
      <w:pPr>
        <w:ind w:left="640" w:right="180"/>
        <w:spacing w:after="0" w:line="284" w:lineRule="auto"/>
        <w:rPr>
          <w:sz w:val="20"/>
          <w:szCs w:val="20"/>
          <w:color w:val="auto"/>
        </w:rPr>
      </w:pPr>
      <w:r>
        <w:rPr>
          <w:rFonts w:ascii="Arial" w:cs="Arial" w:eastAsia="Arial" w:hAnsi="Arial"/>
          <w:sz w:val="17"/>
          <w:szCs w:val="17"/>
          <w:b w:val="1"/>
          <w:bCs w:val="1"/>
          <w:i w:val="1"/>
          <w:iCs w:val="1"/>
          <w:color w:val="auto"/>
        </w:rPr>
        <w:t>Mereo may not identify relevant third-party patents or may incorrectly interpret the relevance, scope or expiration of a third-party patent which might adversely affect Mereo’s ability to develop, manufacture and market its product candidates.</w:t>
      </w:r>
    </w:p>
    <w:p>
      <w:pPr>
        <w:spacing w:after="0" w:line="159" w:lineRule="exact"/>
        <w:rPr>
          <w:sz w:val="20"/>
          <w:szCs w:val="20"/>
          <w:color w:val="auto"/>
        </w:rPr>
      </w:pPr>
    </w:p>
    <w:p>
      <w:pPr>
        <w:ind w:left="440" w:right="180" w:firstLine="423"/>
        <w:spacing w:after="0" w:line="299" w:lineRule="auto"/>
        <w:rPr>
          <w:sz w:val="20"/>
          <w:szCs w:val="20"/>
          <w:color w:val="auto"/>
        </w:rPr>
      </w:pPr>
      <w:r>
        <w:rPr>
          <w:rFonts w:ascii="Arial" w:cs="Arial" w:eastAsia="Arial" w:hAnsi="Arial"/>
          <w:sz w:val="15"/>
          <w:szCs w:val="15"/>
          <w:color w:val="auto"/>
        </w:rPr>
        <w:t>Mereo cannot guarantee that any of its, its licensors’, or the previous owners’ patent searches or analyses, including but not limited to the identification of relevant patents, the scope of patent claims, or the expiration of relevant patent applications or patents, are complete or thorough, nor can Mereo be certain that it has identified each and every third-party patent and patent application in the United States, Europe and elsewhere that is relevant to or necessary for the commercialization of Mereo’s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980"/>
          </w:cols>
          <w:pgMar w:left="240" w:top="445" w:right="67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line="294" w:lineRule="auto"/>
        <w:rPr>
          <w:sz w:val="20"/>
          <w:szCs w:val="20"/>
          <w:color w:val="auto"/>
        </w:rPr>
      </w:pPr>
      <w:r>
        <w:rPr>
          <w:rFonts w:ascii="Arial" w:cs="Arial" w:eastAsia="Arial" w:hAnsi="Arial"/>
          <w:sz w:val="15"/>
          <w:szCs w:val="15"/>
          <w:color w:val="auto"/>
        </w:rPr>
        <w:t>date. Therefore, patent applications covering Mereo’s product candidates could have been filed by others without Mereo’s knowledge, including any such patent applications that may claim priority from patent applications for patents that Mereo has determined will expire before it commercialize its products. Additionally, pending patent applications that have been published can, subject to certain limitations, be later amended in a manner that could cover Mereo’s product candidates or the use of Mereo’s product candidates. Moreover, as Mereo studies its product candidates during development, Mereo may learn new information regarding their structure, composition, properties, or functions that may render third-party patent applications or patents that Mereo had not identified as being, or that Mereo had not believed to be, relevant to its product candidates instead to be relevant to or necessary for the commercialization of Mereo’s product candidates in a jurisdiction. The scope of a patent claim is determined by an interpretation of the law, the written disclosure in the patent, and the patent’s prosecution history. Mereo’s interpretation of the relevance or the scope of a patent or a pending patent application may be incorrect. Mereo may incorrectly determine that its product candidates are not covered by a third-party patent or may incorrectly predict whether a third party’s pending patent application will issue with claims of relevant scope. Mereo’s determination of the expiration date or the possibility of an extension of patent term of any patent in the United States, Europe, or elsewhere that Mereo considers relevant also may be incorrect. Any of the foregoing circumstances, failures, or errors may negatively impact Mereo’s ability to develop and market its product candidates.</w:t>
      </w:r>
    </w:p>
    <w:p>
      <w:pPr>
        <w:spacing w:after="0" w:line="158" w:lineRule="exact"/>
        <w:rPr>
          <w:sz w:val="20"/>
          <w:szCs w:val="20"/>
          <w:color w:val="auto"/>
        </w:rPr>
      </w:pPr>
    </w:p>
    <w:p>
      <w:pPr>
        <w:ind w:left="640" w:right="80"/>
        <w:spacing w:after="0" w:line="284" w:lineRule="auto"/>
        <w:rPr>
          <w:sz w:val="20"/>
          <w:szCs w:val="20"/>
          <w:color w:val="auto"/>
        </w:rPr>
      </w:pPr>
      <w:r>
        <w:rPr>
          <w:rFonts w:ascii="Arial" w:cs="Arial" w:eastAsia="Arial" w:hAnsi="Arial"/>
          <w:sz w:val="17"/>
          <w:szCs w:val="17"/>
          <w:b w:val="1"/>
          <w:bCs w:val="1"/>
          <w:i w:val="1"/>
          <w:iCs w:val="1"/>
          <w:color w:val="auto"/>
        </w:rPr>
        <w:t>If Mereo fails to comply with its obligations under its existing and any future intellectual property licenses with third parties, it could lose license rights that are important to its business, and its business may be substantially harmed as a result.</w:t>
      </w:r>
    </w:p>
    <w:p>
      <w:pPr>
        <w:spacing w:after="0" w:line="159" w:lineRule="exact"/>
        <w:rPr>
          <w:sz w:val="20"/>
          <w:szCs w:val="20"/>
          <w:color w:val="auto"/>
        </w:rPr>
      </w:pPr>
    </w:p>
    <w:p>
      <w:pPr>
        <w:ind w:left="440" w:right="60" w:firstLine="423"/>
        <w:spacing w:after="0" w:line="260" w:lineRule="auto"/>
        <w:rPr>
          <w:sz w:val="20"/>
          <w:szCs w:val="20"/>
          <w:color w:val="auto"/>
        </w:rPr>
      </w:pPr>
      <w:r>
        <w:rPr>
          <w:rFonts w:ascii="Arial" w:cs="Arial" w:eastAsia="Arial" w:hAnsi="Arial"/>
          <w:sz w:val="17"/>
          <w:szCs w:val="17"/>
          <w:color w:val="auto"/>
        </w:rPr>
        <w:t>Mereo is party to agreements with Novartis and AstraZeneca, under which Mereo in-licenses certain intellectual property and was assigned, in the case of Novartis, or granted an option to acquire, in the case of AstraZeneca, certain patents and patent applications related to Mereo’s business. Mereo may enter into additional license agreements in the future. Mereo’s existing license agreements impose and any future license agreements are likely to impose various diligence, milestone payment, royalty, insurance and other obligations on Mereo. Any uncured, material breach under these license agreements could result in the loss of Mereo’s rights to practice such in-licensed intellectual property, and could compromise its development and commercialization efforts for any current or future product candidates.</w:t>
      </w:r>
    </w:p>
    <w:p>
      <w:pPr>
        <w:spacing w:after="0" w:line="180" w:lineRule="exact"/>
        <w:rPr>
          <w:sz w:val="20"/>
          <w:szCs w:val="20"/>
          <w:color w:val="auto"/>
        </w:rPr>
      </w:pPr>
    </w:p>
    <w:p>
      <w:pPr>
        <w:ind w:left="640" w:right="280"/>
        <w:spacing w:after="0" w:line="284" w:lineRule="auto"/>
        <w:rPr>
          <w:sz w:val="20"/>
          <w:szCs w:val="20"/>
          <w:color w:val="auto"/>
        </w:rPr>
      </w:pPr>
      <w:r>
        <w:rPr>
          <w:rFonts w:ascii="Arial" w:cs="Arial" w:eastAsia="Arial" w:hAnsi="Arial"/>
          <w:sz w:val="17"/>
          <w:szCs w:val="17"/>
          <w:b w:val="1"/>
          <w:bCs w:val="1"/>
          <w:i w:val="1"/>
          <w:iCs w:val="1"/>
          <w:color w:val="auto"/>
        </w:rPr>
        <w:t>Mereo may not be successful in maintaining necessary rights to its product candidates or obtaining patent or other intellectual property rights important to its business through acquisitions and in-licenses.</w:t>
      </w:r>
    </w:p>
    <w:p>
      <w:pPr>
        <w:spacing w:after="0" w:line="159" w:lineRule="exact"/>
        <w:rPr>
          <w:sz w:val="20"/>
          <w:szCs w:val="20"/>
          <w:color w:val="auto"/>
        </w:rPr>
      </w:pPr>
    </w:p>
    <w:p>
      <w:pPr>
        <w:ind w:left="440" w:right="60" w:firstLine="423"/>
        <w:spacing w:after="0" w:line="296" w:lineRule="auto"/>
        <w:rPr>
          <w:sz w:val="20"/>
          <w:szCs w:val="20"/>
          <w:color w:val="auto"/>
        </w:rPr>
      </w:pPr>
      <w:r>
        <w:rPr>
          <w:rFonts w:ascii="Arial" w:cs="Arial" w:eastAsia="Arial" w:hAnsi="Arial"/>
          <w:sz w:val="15"/>
          <w:szCs w:val="15"/>
          <w:color w:val="auto"/>
        </w:rPr>
        <w:t>Mereo currently owns and has in-licensed rights to intellectual property, including patents, patent applications and know-how, relating to its product candidates, and its success will likely depend on maintaining these rights. Because Mereo’s programs may require the use of proprietary rights held by third parties, the growth of Mereo’s business will likely depend in part on its ability to continue to acquire, in-license, maintain, or use these proprietary rights. In addition, Mereo’s product candidates may require specific formulations to work effectively and the rights to those formulations or methods of making those formulations may be held by others. Mereo may be unable to acquire or in-license any compositions, methods of use, processes, or other third-party intellectual property rights that Mereo identifies as necessary for the development and commercialization of its product candidates. The licensing and acquisition of third-party intellectual property rights is a competitive area, and a number of more established companies also are pursuing strategies to license or acquire third-party intellectual property rights that Mereo may consider attractive. These established companies may have a competitive advantage over Mereo due to their size, cash resources, and greater clinical development and commercialization capabilities.</w:t>
      </w:r>
    </w:p>
    <w:p>
      <w:pPr>
        <w:spacing w:after="0" w:line="157" w:lineRule="exact"/>
        <w:rPr>
          <w:sz w:val="20"/>
          <w:szCs w:val="20"/>
          <w:color w:val="auto"/>
        </w:rPr>
      </w:pPr>
    </w:p>
    <w:p>
      <w:pPr>
        <w:ind w:left="440" w:right="40" w:firstLine="423"/>
        <w:spacing w:after="0" w:line="260" w:lineRule="auto"/>
        <w:rPr>
          <w:sz w:val="20"/>
          <w:szCs w:val="20"/>
          <w:color w:val="auto"/>
        </w:rPr>
      </w:pPr>
      <w:r>
        <w:rPr>
          <w:rFonts w:ascii="Arial" w:cs="Arial" w:eastAsia="Arial" w:hAnsi="Arial"/>
          <w:sz w:val="17"/>
          <w:szCs w:val="17"/>
          <w:color w:val="auto"/>
        </w:rPr>
        <w:t>In addition, companies that perceive Mereo to be a competitor may be unwilling to assign or license rights to Mereo. Mereo may also be unable to license or acquire third-party intellectual property rights on a timely basis, on terms that would allow it to make an appropriate return on its investment, or at all. Even if Mereo is able to obtain a license to intellectual property of interest, Mereo may not be able to secure exclusive rights, in which case others could use the same rights and compete with Mereo. If Mereo is unable to successfully obtain a license to third-party intellectual property rights necessary for the development of its product candidates or a development program on acceptable terms, it may have to abandon development of its product candidates or that development program.</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000"/>
          </w:cols>
          <w:pgMar w:left="240" w:top="445" w:right="6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640" w:right="100"/>
        <w:spacing w:after="0" w:line="269" w:lineRule="auto"/>
        <w:rPr>
          <w:sz w:val="20"/>
          <w:szCs w:val="20"/>
          <w:color w:val="auto"/>
        </w:rPr>
      </w:pPr>
      <w:r>
        <w:rPr>
          <w:rFonts w:ascii="Arial" w:cs="Arial" w:eastAsia="Arial" w:hAnsi="Arial"/>
          <w:sz w:val="17"/>
          <w:szCs w:val="17"/>
          <w:b w:val="1"/>
          <w:bCs w:val="1"/>
          <w:i w:val="1"/>
          <w:iCs w:val="1"/>
          <w:color w:val="auto"/>
        </w:rPr>
        <w:t>Obtaining and maintaining Mereo’s patent protection depends on compliance with various procedural, document submission, fee payment, and other requirements imposed by governmental patent agencies, and Mereo’s patent protection could be reduced or eliminated for non-compliance with these requirements.</w:t>
      </w:r>
    </w:p>
    <w:p>
      <w:pPr>
        <w:spacing w:after="0" w:line="171" w:lineRule="exact"/>
        <w:rPr>
          <w:sz w:val="20"/>
          <w:szCs w:val="20"/>
          <w:color w:val="auto"/>
        </w:rPr>
      </w:pPr>
    </w:p>
    <w:p>
      <w:pPr>
        <w:ind w:left="440" w:right="60" w:firstLine="423"/>
        <w:spacing w:after="0" w:line="274"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Mereo or its licensors fail to maintain the patents and patent applications covering its product candidates or if it or its licensors otherwise allow its patents or patent applications to be abandoned or lapse, Mereo’s competitors might be able to enter the market, which would hurt its competitive position and could impair Mereo’s ability to successfully commercialize Mereo’s product candidates in any indication for which they are approved.</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 may be subject to claims challenging the inventorship of its patents and other intellectual property.</w:t>
      </w:r>
    </w:p>
    <w:p>
      <w:pPr>
        <w:spacing w:after="0" w:line="219" w:lineRule="exact"/>
        <w:rPr>
          <w:sz w:val="20"/>
          <w:szCs w:val="20"/>
          <w:color w:val="auto"/>
        </w:rPr>
      </w:pPr>
    </w:p>
    <w:p>
      <w:pPr>
        <w:ind w:left="440" w:right="40" w:firstLine="423"/>
        <w:spacing w:after="0" w:line="257" w:lineRule="auto"/>
        <w:rPr>
          <w:sz w:val="20"/>
          <w:szCs w:val="20"/>
          <w:color w:val="auto"/>
        </w:rPr>
      </w:pPr>
      <w:r>
        <w:rPr>
          <w:rFonts w:ascii="Arial" w:cs="Arial" w:eastAsia="Arial" w:hAnsi="Arial"/>
          <w:sz w:val="17"/>
          <w:szCs w:val="17"/>
          <w:color w:val="auto"/>
        </w:rPr>
        <w:t>Although Mereo is not currently experiencing any claims challenging the inventorship of its patents and patent applications or ownership of its intellectual property, it may in the future be subject to claims that former employees or other third parties have an interest in its patents or other intellectual property as an inventor or co-inventor. While it is Mereo’s policy to require its employees and contractors who may be involved in the conception or development of intellectual property to execute agreements assigning such intellectual property to Mereo, Mereo may be unsuccessful in executing such an agreement with each party who, in fact, conceives or develops intellectual property that Mereo regards as its own. For example, the assignment of intellectual property rights may not be self-executing or the assignment agreements may be breached, or Mereo may have inventorship disputes arise from conflicting obligations of consultants or others who are involved in developing Mereo’s product candidates. Litigation may be necessary to defend against these and other claims challenging inventorship. If Mereo fails in defending any such claims, in addition to paying monetary damages, Mereo may lose valuable intellectual property rights, such as exclusive ownership of, or right to use, valuable intellectual property. Even if Mereo is successful in defending against such claims, litigation could result in substantial costs and be a distraction to management and other employees.</w:t>
      </w:r>
    </w:p>
    <w:p>
      <w:pPr>
        <w:spacing w:after="0" w:line="184" w:lineRule="exact"/>
        <w:rPr>
          <w:sz w:val="20"/>
          <w:szCs w:val="20"/>
          <w:color w:val="auto"/>
        </w:rPr>
      </w:pPr>
    </w:p>
    <w:p>
      <w:pPr>
        <w:ind w:left="640" w:right="320"/>
        <w:spacing w:after="0" w:line="284"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patents in general, thereby impairing Mereo’s ability to protect its product candidates.</w:t>
      </w:r>
    </w:p>
    <w:p>
      <w:pPr>
        <w:spacing w:after="0" w:line="159" w:lineRule="exact"/>
        <w:rPr>
          <w:sz w:val="20"/>
          <w:szCs w:val="20"/>
          <w:color w:val="auto"/>
        </w:rPr>
      </w:pPr>
    </w:p>
    <w:p>
      <w:pPr>
        <w:ind w:left="440" w:right="80" w:firstLine="423"/>
        <w:spacing w:after="0" w:line="310" w:lineRule="auto"/>
        <w:rPr>
          <w:sz w:val="20"/>
          <w:szCs w:val="20"/>
          <w:color w:val="auto"/>
        </w:rPr>
      </w:pPr>
      <w:r>
        <w:rPr>
          <w:rFonts w:ascii="Arial" w:cs="Arial" w:eastAsia="Arial" w:hAnsi="Arial"/>
          <w:sz w:val="15"/>
          <w:szCs w:val="15"/>
          <w:color w:val="auto"/>
        </w:rPr>
        <w:t>As is the case with other biopharmaceutical and pharmaceutical companies, Mereo’s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w:t>
      </w:r>
    </w:p>
    <w:p>
      <w:pPr>
        <w:spacing w:after="0" w:line="145" w:lineRule="exact"/>
        <w:rPr>
          <w:sz w:val="20"/>
          <w:szCs w:val="20"/>
          <w:color w:val="auto"/>
        </w:rPr>
      </w:pPr>
    </w:p>
    <w:p>
      <w:pPr>
        <w:ind w:left="440" w:firstLine="423"/>
        <w:spacing w:after="0" w:line="281" w:lineRule="auto"/>
        <w:rPr>
          <w:sz w:val="20"/>
          <w:szCs w:val="20"/>
          <w:color w:val="auto"/>
        </w:rPr>
      </w:pPr>
      <w:r>
        <w:rPr>
          <w:rFonts w:ascii="Arial" w:cs="Arial" w:eastAsia="Arial" w:hAnsi="Arial"/>
          <w:sz w:val="16"/>
          <w:szCs w:val="16"/>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Mereo could therefore be awarded a patent covering an invention of its product candidates even if it made the invention before it was made by the third party. This will require Mereo to be cognizant going forward of the time from invention to filing of a patent application, but circumstances could prevent Mereo from promptly filing patent applications on its inventions.</w:t>
      </w:r>
    </w:p>
    <w:p>
      <w:pPr>
        <w:spacing w:after="0" w:line="166" w:lineRule="exact"/>
        <w:rPr>
          <w:sz w:val="20"/>
          <w:szCs w:val="20"/>
          <w:color w:val="auto"/>
        </w:rPr>
      </w:pPr>
    </w:p>
    <w:p>
      <w:pPr>
        <w:ind w:left="440" w:right="140" w:firstLine="423"/>
        <w:spacing w:after="0" w:line="281" w:lineRule="auto"/>
        <w:rPr>
          <w:sz w:val="20"/>
          <w:szCs w:val="20"/>
          <w:color w:val="auto"/>
        </w:rPr>
      </w:pPr>
      <w:r>
        <w:rPr>
          <w:rFonts w:ascii="Arial" w:cs="Arial" w:eastAsia="Arial" w:hAnsi="Arial"/>
          <w:sz w:val="16"/>
          <w:szCs w:val="16"/>
          <w:color w:val="auto"/>
        </w:rPr>
        <w:t>Among some of the other changes introduced by the AIA are changes to the limitation where a patent may be challenged, thus providing opportunities for third parties to challenge any issued patent in the USPTO. This applies to all of Mereo’s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000"/>
          </w:cols>
          <w:pgMar w:left="240" w:top="445" w:right="6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00" w:firstLine="423"/>
        <w:spacing w:after="0" w:line="264" w:lineRule="auto"/>
        <w:rPr>
          <w:sz w:val="20"/>
          <w:szCs w:val="20"/>
          <w:color w:val="auto"/>
        </w:rPr>
      </w:pPr>
      <w:r>
        <w:rPr>
          <w:rFonts w:ascii="Arial" w:cs="Arial" w:eastAsia="Arial" w:hAnsi="Arial"/>
          <w:sz w:val="17"/>
          <w:szCs w:val="17"/>
          <w:color w:val="auto"/>
        </w:rPr>
        <w:t>Accordingly, a third party may attempt to use the USPTO proceedings to invalidate Mereo’s patent claims that would not have been invalidated if first challenged by the third party as a defendant in a district court action. It is not clear what, if any, impact the AIA will have on the operation of Mereo’s business. However, the AIA and its implementation could increase the uncertainties and costs surrounding the prosecution of Mereo’s or its licensors’ patent applications and the enforcement or defense of Mereo’s or its licensors’ issued patents.</w:t>
      </w:r>
    </w:p>
    <w:p>
      <w:pPr>
        <w:spacing w:after="0" w:line="176" w:lineRule="exact"/>
        <w:rPr>
          <w:sz w:val="20"/>
          <w:szCs w:val="20"/>
          <w:color w:val="auto"/>
        </w:rPr>
      </w:pPr>
    </w:p>
    <w:p>
      <w:pPr>
        <w:ind w:left="440" w:right="60" w:firstLine="423"/>
        <w:spacing w:after="0" w:line="276" w:lineRule="auto"/>
        <w:rPr>
          <w:sz w:val="20"/>
          <w:szCs w:val="20"/>
          <w:color w:val="auto"/>
        </w:rPr>
      </w:pPr>
      <w:r>
        <w:rPr>
          <w:rFonts w:ascii="Arial" w:cs="Arial" w:eastAsia="Arial" w:hAnsi="Arial"/>
          <w:sz w:val="16"/>
          <w:szCs w:val="16"/>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Mereo’s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Mereo’s ability to obtain new patents or to enforce its existing patents and patents that it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Mereo’s ability to obtain new patents in the future that may be important for its business.</w:t>
      </w:r>
    </w:p>
    <w:p>
      <w:pPr>
        <w:spacing w:after="0" w:line="172" w:lineRule="exact"/>
        <w:rPr>
          <w:sz w:val="20"/>
          <w:szCs w:val="20"/>
          <w:color w:val="auto"/>
        </w:rPr>
      </w:pPr>
    </w:p>
    <w:p>
      <w:pPr>
        <w:ind w:left="640" w:right="280"/>
        <w:spacing w:after="0" w:line="284" w:lineRule="auto"/>
        <w:rPr>
          <w:sz w:val="20"/>
          <w:szCs w:val="20"/>
          <w:color w:val="auto"/>
        </w:rPr>
      </w:pPr>
      <w:r>
        <w:rPr>
          <w:rFonts w:ascii="Arial" w:cs="Arial" w:eastAsia="Arial" w:hAnsi="Arial"/>
          <w:sz w:val="17"/>
          <w:szCs w:val="17"/>
          <w:b w:val="1"/>
          <w:bCs w:val="1"/>
          <w:i w:val="1"/>
          <w:iCs w:val="1"/>
          <w:color w:val="auto"/>
        </w:rPr>
        <w:t>If Mereo does not obtain protection under the Hatch-Waxman Amendments and similar non-U.S. legislation for extending the term of patents covering its product candidates, its ability to compete effectively could be impaired.</w:t>
      </w:r>
    </w:p>
    <w:p>
      <w:pPr>
        <w:spacing w:after="0" w:line="159" w:lineRule="exact"/>
        <w:rPr>
          <w:sz w:val="20"/>
          <w:szCs w:val="20"/>
          <w:color w:val="auto"/>
        </w:rPr>
      </w:pPr>
    </w:p>
    <w:p>
      <w:pPr>
        <w:ind w:left="440" w:firstLine="423"/>
        <w:spacing w:after="0" w:line="274" w:lineRule="auto"/>
        <w:rPr>
          <w:sz w:val="20"/>
          <w:szCs w:val="20"/>
          <w:color w:val="auto"/>
        </w:rPr>
      </w:pPr>
      <w:r>
        <w:rPr>
          <w:rFonts w:ascii="Arial" w:cs="Arial" w:eastAsia="Arial" w:hAnsi="Arial"/>
          <w:sz w:val="16"/>
          <w:szCs w:val="16"/>
          <w:color w:val="auto"/>
        </w:rPr>
        <w:t>Depending upon the timing, duration and conditions of FDA marketing approval of Mereo’s product candidates, one or more of its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Mereo may not receive an extension if it fails to apply within applicable deadlines, fails to apply prior to expiration of relevant patents, or otherwise fails to satisfy applicable requirements. Moreover, the length of the extension could be less than Mereo requests. If Mereo is unable to obtain patent term extension or the term of any such extension is less than it requests, the period during which it can enforce its patent rights for that product will be shortened and its competitors may obtain approval to market competing products sooner. As a result, Mereo’s revenue from applicable products could be reduced, possibly materially.</w:t>
      </w:r>
    </w:p>
    <w:p>
      <w:pPr>
        <w:spacing w:after="0" w:line="176" w:lineRule="exact"/>
        <w:rPr>
          <w:sz w:val="20"/>
          <w:szCs w:val="20"/>
          <w:color w:val="auto"/>
        </w:rPr>
      </w:pPr>
    </w:p>
    <w:p>
      <w:pPr>
        <w:ind w:left="640" w:right="200"/>
        <w:spacing w:after="0" w:line="284" w:lineRule="auto"/>
        <w:rPr>
          <w:sz w:val="20"/>
          <w:szCs w:val="20"/>
          <w:color w:val="auto"/>
        </w:rPr>
      </w:pPr>
      <w:r>
        <w:rPr>
          <w:rFonts w:ascii="Arial" w:cs="Arial" w:eastAsia="Arial" w:hAnsi="Arial"/>
          <w:sz w:val="17"/>
          <w:szCs w:val="17"/>
          <w:b w:val="1"/>
          <w:bCs w:val="1"/>
          <w:i w:val="1"/>
          <w:iCs w:val="1"/>
          <w:color w:val="auto"/>
        </w:rPr>
        <w:t>If Mereo’s trademarks and trade names are not adequately protected, it may not be able to build name recognition in its markets of interest and its competitive position may be adversely affected.</w:t>
      </w:r>
    </w:p>
    <w:p>
      <w:pPr>
        <w:spacing w:after="0" w:line="159" w:lineRule="exact"/>
        <w:rPr>
          <w:sz w:val="20"/>
          <w:szCs w:val="20"/>
          <w:color w:val="auto"/>
        </w:rPr>
      </w:pPr>
    </w:p>
    <w:p>
      <w:pPr>
        <w:ind w:left="440" w:right="100" w:firstLine="423"/>
        <w:spacing w:after="0" w:line="260" w:lineRule="auto"/>
        <w:rPr>
          <w:sz w:val="20"/>
          <w:szCs w:val="20"/>
          <w:color w:val="auto"/>
        </w:rPr>
      </w:pPr>
      <w:r>
        <w:rPr>
          <w:rFonts w:ascii="Arial" w:cs="Arial" w:eastAsia="Arial" w:hAnsi="Arial"/>
          <w:sz w:val="17"/>
          <w:szCs w:val="17"/>
          <w:color w:val="auto"/>
        </w:rPr>
        <w:t>Mereo currently owns registered trademarks. Mereo may not be able to obtain trademark protection in territories that it considers of significant importance. In addition, any of Mereo’s trademarks or trade names, whether registered or unregistered, may be challenged, opposed, infringed, cancelled, circumvented or declared generic, or determined to be infringing on other marks, as applicable. Mereo may not be able to protect its rights to these trademarks and trade names, which it will need to build name recognition by potential collaborators or customers in Mereo’s markets of interest. Over the long term, if Mereo is unable to establish name recognition based on its trademarks and trade names, it may not be able to compete effectively and its business may be adversely affected.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If Mereo is unable to protect the confidentiality of its trade secrets and know-how, its business and competitive position would be harmed.</w:t>
      </w:r>
    </w:p>
    <w:p>
      <w:pPr>
        <w:spacing w:after="0" w:line="230" w:lineRule="exact"/>
        <w:rPr>
          <w:sz w:val="20"/>
          <w:szCs w:val="20"/>
          <w:color w:val="auto"/>
        </w:rPr>
      </w:pPr>
    </w:p>
    <w:p>
      <w:pPr>
        <w:ind w:left="440" w:right="260" w:firstLine="423"/>
        <w:spacing w:after="0" w:line="264" w:lineRule="auto"/>
        <w:rPr>
          <w:sz w:val="20"/>
          <w:szCs w:val="20"/>
          <w:color w:val="auto"/>
        </w:rPr>
      </w:pPr>
      <w:r>
        <w:rPr>
          <w:rFonts w:ascii="Arial" w:cs="Arial" w:eastAsia="Arial" w:hAnsi="Arial"/>
          <w:sz w:val="17"/>
          <w:szCs w:val="17"/>
          <w:color w:val="auto"/>
        </w:rPr>
        <w:t>Mereo considers proprietary trade secrets and confidential know-how and unpatented know-how to be important to its business. In addition to seeking patents for some of Mereo’s technology and product candidates, Mereo may also rely on trade secrets or confidential know-how to protect its technology, especially where patent protection is believed to be of limited value. However, trade secrets and confidential know-how are difficult to maintain as confidential.</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000"/>
          </w:cols>
          <w:pgMar w:left="240" w:top="445" w:right="6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firstLine="423"/>
        <w:spacing w:after="0" w:line="274" w:lineRule="auto"/>
        <w:rPr>
          <w:sz w:val="20"/>
          <w:szCs w:val="20"/>
          <w:color w:val="auto"/>
        </w:rPr>
      </w:pPr>
      <w:r>
        <w:rPr>
          <w:rFonts w:ascii="Arial" w:cs="Arial" w:eastAsia="Arial" w:hAnsi="Arial"/>
          <w:sz w:val="16"/>
          <w:szCs w:val="16"/>
          <w:color w:val="auto"/>
        </w:rPr>
        <w:t>To protect this type of information against disclosure or appropriation by competitors, Mereo’s policy is to require its employees, consultants, contractors and advisors to enter into confidentiality agreements with Mereo. Mereo also seeks to preserve the integrity and confidentiality of its data, trade secrets, and know-how by maintaining physical security of its premises and physical and electronic security of its information technology systems. Monitoring unauthorized uses and disclosures is difficult, and Mereo cannot know whether the steps it has taken to protect its proprietary technologies will be effective. In addition, current or former employees, consultants, contractors, and advisers may unintentionally or willfully disclose Mereo’s confidential information to competitors, and confidentiality agreements may not provide an adequate remedy in the event of unauthorized disclosure of confidential information. Mereo therefore cannot guarantee that its trade secrets and other proprietary and confidential information will not be disclosed or that competitors will not otherwise gain access to its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Mereo’s trade secrets, Mereo would have no right to prevent such competitor from using that technology or information to compete with it, which could harm its competitive position. Additionally, if the steps taken to maintain Mereo’s trade secrets are deemed inadequate, it may have insufficient recourse against third parties for misappropriating the trade secret.</w:t>
      </w:r>
    </w:p>
    <w:p>
      <w:pPr>
        <w:spacing w:after="0" w:line="170"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7"/>
          <w:szCs w:val="17"/>
          <w:color w:val="auto"/>
        </w:rPr>
        <w:t>Failure to protect or maintain trade secrets and confidential know-how could adversely affect Mereo’s business and its competitive position. Moreover, Mereo’s competitors may independently develop substantially equivalent proprietary information and may even apply for patent protection in respect of the same. If successful in obtaining such patent protection, Mereo’s competitors could limit Mereo’s use of Mereo’s own trade secrets or confidential know-how.</w:t>
      </w:r>
    </w:p>
    <w:p>
      <w:pPr>
        <w:spacing w:after="0" w:line="176" w:lineRule="exact"/>
        <w:rPr>
          <w:sz w:val="20"/>
          <w:szCs w:val="20"/>
          <w:color w:val="auto"/>
        </w:rPr>
      </w:pPr>
    </w:p>
    <w:p>
      <w:pPr>
        <w:ind w:left="640"/>
        <w:spacing w:after="0" w:line="321" w:lineRule="auto"/>
        <w:rPr>
          <w:sz w:val="20"/>
          <w:szCs w:val="20"/>
          <w:color w:val="auto"/>
        </w:rPr>
      </w:pPr>
      <w:r>
        <w:rPr>
          <w:rFonts w:ascii="Arial" w:cs="Arial" w:eastAsia="Arial" w:hAnsi="Arial"/>
          <w:sz w:val="15"/>
          <w:szCs w:val="15"/>
          <w:b w:val="1"/>
          <w:bCs w:val="1"/>
          <w:i w:val="1"/>
          <w:iCs w:val="1"/>
          <w:color w:val="auto"/>
        </w:rPr>
        <w:t>Mereo may be subject to claims by third parties asserting that Mereo or Mereo’s employees have misappropriated third party intellectual property, or claiming ownership of what Mereo regards as Mereo’s own intellectual property. These claims may be costly to defend and if Mereo does not successfully do so, it may be required to pay monetary damages and lose valuable intellectual property rights or personnel.</w:t>
      </w:r>
    </w:p>
    <w:p>
      <w:pPr>
        <w:spacing w:after="0" w:line="137" w:lineRule="exact"/>
        <w:rPr>
          <w:sz w:val="20"/>
          <w:szCs w:val="20"/>
          <w:color w:val="auto"/>
        </w:rPr>
      </w:pPr>
    </w:p>
    <w:p>
      <w:pPr>
        <w:ind w:left="440" w:firstLine="423"/>
        <w:spacing w:after="0" w:line="279" w:lineRule="auto"/>
        <w:rPr>
          <w:sz w:val="20"/>
          <w:szCs w:val="20"/>
          <w:color w:val="auto"/>
        </w:rPr>
      </w:pPr>
      <w:r>
        <w:rPr>
          <w:rFonts w:ascii="Arial" w:cs="Arial" w:eastAsia="Arial" w:hAnsi="Arial"/>
          <w:sz w:val="16"/>
          <w:szCs w:val="16"/>
          <w:color w:val="auto"/>
        </w:rPr>
        <w:t>Some of Mereo’s employees, including its senior management, were previously employed at other biopharmaceutical or pharmaceutical companies, including its competitors or potential competitors. Some of these employees executed proprietary rights, non-disclosure and non-competition agreements in connection with such previous employment. Although Mereo tries to ensure that its employees do not use the know-how, trade secrets, or other proprietary information of others in their work for Mereo, Mereo may be subject to claims that it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167" w:lineRule="exact"/>
        <w:rPr>
          <w:sz w:val="20"/>
          <w:szCs w:val="20"/>
          <w:color w:val="auto"/>
        </w:rPr>
      </w:pPr>
    </w:p>
    <w:p>
      <w:pPr>
        <w:ind w:left="440" w:right="100" w:firstLine="423"/>
        <w:spacing w:after="0" w:line="278" w:lineRule="auto"/>
        <w:rPr>
          <w:sz w:val="20"/>
          <w:szCs w:val="20"/>
          <w:color w:val="auto"/>
        </w:rPr>
      </w:pPr>
      <w:r>
        <w:rPr>
          <w:rFonts w:ascii="Arial" w:cs="Arial" w:eastAsia="Arial" w:hAnsi="Arial"/>
          <w:sz w:val="16"/>
          <w:szCs w:val="16"/>
          <w:color w:val="auto"/>
        </w:rPr>
        <w:t>If Mereo fails in prosecuting or defending any such claims, in addition to paying monetary damages, it may lose valuable intellectual property rights or personnel. A loss of key research personnel or its work product could hamper or undermine Mereo’s ability to develop and commercialize its product candidates, which would severely harm its business. In addition, if such intellectual property rights were to be awarded to a third party, Mereo could be required to obtain a license from such third party to commercialize its technology or products. Such a license may not be available on commercially reasonable terms or at all, which could hamper or undermine Mereo’s ability to develop and commercialize its product candidates, which would severely harm its business. Even if Mereo successfully prosecutes or defends against such claims, litigation could result in substantial costs and distract management from the development and commercialization of Mereo’s product candidates.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Mereo’s proprietary information may be lost or it may suffer security breaches.</w:t>
      </w:r>
    </w:p>
    <w:p>
      <w:pPr>
        <w:spacing w:after="0" w:line="219" w:lineRule="exact"/>
        <w:rPr>
          <w:sz w:val="20"/>
          <w:szCs w:val="20"/>
          <w:color w:val="auto"/>
        </w:rPr>
      </w:pPr>
    </w:p>
    <w:p>
      <w:pPr>
        <w:ind w:left="440" w:right="40" w:firstLine="423"/>
        <w:spacing w:after="0" w:line="299" w:lineRule="auto"/>
        <w:rPr>
          <w:sz w:val="20"/>
          <w:szCs w:val="20"/>
          <w:color w:val="auto"/>
        </w:rPr>
      </w:pPr>
      <w:r>
        <w:rPr>
          <w:rFonts w:ascii="Arial" w:cs="Arial" w:eastAsia="Arial" w:hAnsi="Arial"/>
          <w:sz w:val="15"/>
          <w:szCs w:val="15"/>
          <w:color w:val="auto"/>
        </w:rPr>
        <w:t>In the ordinary course of Mereo’s business, it collects and stores sensitive data, including intellectual property, clinical trial data, proprietary business information, personal data and personally identifiable information of Mereo’s clinical trial subjects and employees, in Mereo’s data centers and on Mereo’s networks. The secure processing, maintenance and transmission of this information is critical to Mereo’s operations. Despite Mereo’s security measures, its information technology and infrastructure and those of its CROs or other contractors or consultants may be vulnerable to attacks by hackers or breached due to employee error, malfeasance, or other disruptions. The loss of clinical trial data from completed, ongoing, or planned trials could result in delays in Mereo’s regulatory approval efforts and significantly increase its costs to recover or reproduce the data. Although, to Mereo’s knowledge, it has not experienced any such material security breach to date, any such breach could compromise its networks and the</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980"/>
          </w:cols>
          <w:pgMar w:left="240" w:top="445" w:right="6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line="264" w:lineRule="auto"/>
        <w:rPr>
          <w:sz w:val="20"/>
          <w:szCs w:val="20"/>
          <w:color w:val="auto"/>
        </w:rPr>
      </w:pPr>
      <w:r>
        <w:rPr>
          <w:rFonts w:ascii="Arial" w:cs="Arial" w:eastAsia="Arial" w:hAnsi="Arial"/>
          <w:sz w:val="17"/>
          <w:szCs w:val="17"/>
          <w:color w:val="auto"/>
        </w:rPr>
        <w:t>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Mereo’s operations; damage its reputation; and cause a loss of confidence in Mereo and its ability to conduct clinical trials, which could adversely affect Mereo’s reputation and delay its clinical development of its product candidates.</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Employee Matters and Managing Growth</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Mereo’s future growth and ability to compete depends on retaining its key personnel and recruiting additional qualified personnel.</w:t>
      </w:r>
    </w:p>
    <w:p>
      <w:pPr>
        <w:spacing w:after="0" w:line="230" w:lineRule="exact"/>
        <w:rPr>
          <w:sz w:val="20"/>
          <w:szCs w:val="20"/>
          <w:color w:val="auto"/>
        </w:rPr>
      </w:pPr>
    </w:p>
    <w:p>
      <w:pPr>
        <w:ind w:left="440" w:right="20" w:firstLine="423"/>
        <w:spacing w:after="0" w:line="278" w:lineRule="auto"/>
        <w:rPr>
          <w:sz w:val="20"/>
          <w:szCs w:val="20"/>
          <w:color w:val="auto"/>
        </w:rPr>
      </w:pPr>
      <w:r>
        <w:rPr>
          <w:rFonts w:ascii="Arial" w:cs="Arial" w:eastAsia="Arial" w:hAnsi="Arial"/>
          <w:sz w:val="16"/>
          <w:szCs w:val="16"/>
          <w:color w:val="auto"/>
        </w:rPr>
        <w:t>Mereo’s success depends upon the continued contributions of its key management, including all of its senior management team, and scientific and technical personnel, many of whom have been instrumental for Mereo and have substantial experience with rare and specialty diseases and the biopharmaceutical and pharmaceutical industries. The loss of key managers and senior physicians or scientists could delay Mereo’s acquisition and development activities. In addition, the competition for qualified personnel in the biopharmaceutical and pharmaceutical fields is intense, and Mereo’s future success depends upon its ability to attract, retain and motivate highly skilled scientific, technical, and managerial employees. Mereo faces competition for personnel from other companies and organizations. If Mereo’s recruitment and retention efforts are unsuccessful in the future, it may be difficult for Mereo to achieve its development objectives, raise additional capital, and implement its business strategy.</w:t>
      </w:r>
    </w:p>
    <w:p>
      <w:pPr>
        <w:spacing w:after="0" w:line="166" w:lineRule="exact"/>
        <w:rPr>
          <w:sz w:val="20"/>
          <w:szCs w:val="20"/>
          <w:color w:val="auto"/>
        </w:rPr>
      </w:pPr>
    </w:p>
    <w:p>
      <w:pPr>
        <w:ind w:left="440" w:right="240" w:firstLine="423"/>
        <w:spacing w:after="0" w:line="284" w:lineRule="auto"/>
        <w:rPr>
          <w:sz w:val="20"/>
          <w:szCs w:val="20"/>
          <w:color w:val="auto"/>
        </w:rPr>
      </w:pPr>
      <w:r>
        <w:rPr>
          <w:rFonts w:ascii="Arial" w:cs="Arial" w:eastAsia="Arial" w:hAnsi="Arial"/>
          <w:sz w:val="17"/>
          <w:szCs w:val="17"/>
          <w:color w:val="auto"/>
        </w:rPr>
        <w:t>Mereo expects to expand its development, regulatory, and sales and marketing capabilities, and as a result, Mereo may encounter difficulties in managing its growth, which could disrupt its operations.</w:t>
      </w:r>
    </w:p>
    <w:p>
      <w:pPr>
        <w:spacing w:after="0" w:line="159" w:lineRule="exact"/>
        <w:rPr>
          <w:sz w:val="20"/>
          <w:szCs w:val="20"/>
          <w:color w:val="auto"/>
        </w:rPr>
      </w:pPr>
    </w:p>
    <w:p>
      <w:pPr>
        <w:ind w:left="440" w:right="40" w:firstLine="423"/>
        <w:spacing w:after="0" w:line="278" w:lineRule="auto"/>
        <w:rPr>
          <w:sz w:val="20"/>
          <w:szCs w:val="20"/>
          <w:color w:val="auto"/>
        </w:rPr>
      </w:pPr>
      <w:r>
        <w:rPr>
          <w:rFonts w:ascii="Arial" w:cs="Arial" w:eastAsia="Arial" w:hAnsi="Arial"/>
          <w:sz w:val="16"/>
          <w:szCs w:val="16"/>
          <w:color w:val="auto"/>
        </w:rPr>
        <w:t>Mereo expects to experience significant growth in the number of its employees and the scope of its operations, particularly in the areas of drug acquisition and development, regulatory affairs, and sales and marketing. To manage Mereo’s anticipated future growth, Mereo must continue to implement and improve its managerial, operational and financial systems, expand its facilities or acquire new facilities, and continue to recruit and train additional qualified personnel. Due to Mereo’s limited financial resources and the limited experience of its management team in managing a company with such anticipated growth, Mereo may not be able to effectively manage the expansion of its operations or recruit and train additional qualified personnel. The expansion of Mereo’s operations may lead to significant costs and may divert its management and business development resources. Any inability to manage growth could delay the execution of Mereo’s business plans or disrupt its operation.</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An active trading market for our ADSs may not develop.</w:t>
      </w:r>
    </w:p>
    <w:p>
      <w:pPr>
        <w:spacing w:after="0" w:line="219"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7"/>
          <w:szCs w:val="17"/>
          <w:color w:val="auto"/>
        </w:rPr>
        <w:t>While the existing ordinary shares have been traded on AIM since 2016, there was no public market for ADSs or ordinary shares in the United States prior to the completion of the Merger. Our ADSs have been listed on Nasdaq as of April 24, 2019. Mereo cannot predict the extent to which investor interest in our ADSs will lead to the development of an active trading market or how liquid that market might become. An active public market for ADSs may not develop or be sustained. If an active public market does not develop or is not sustained, it may be difficult for you to sell your ADSs at a price that is attractive to you, or at all.</w:t>
      </w:r>
    </w:p>
    <w:p>
      <w:pPr>
        <w:spacing w:after="0" w:line="180" w:lineRule="exact"/>
        <w:rPr>
          <w:sz w:val="20"/>
          <w:szCs w:val="20"/>
          <w:color w:val="auto"/>
        </w:rPr>
      </w:pPr>
    </w:p>
    <w:p>
      <w:pPr>
        <w:ind w:left="640" w:right="240"/>
        <w:spacing w:after="0" w:line="284" w:lineRule="auto"/>
        <w:rPr>
          <w:sz w:val="20"/>
          <w:szCs w:val="20"/>
          <w:color w:val="auto"/>
        </w:rPr>
      </w:pPr>
      <w:r>
        <w:rPr>
          <w:rFonts w:ascii="Arial" w:cs="Arial" w:eastAsia="Arial" w:hAnsi="Arial"/>
          <w:sz w:val="17"/>
          <w:szCs w:val="17"/>
          <w:b w:val="1"/>
          <w:bCs w:val="1"/>
          <w:i w:val="1"/>
          <w:iCs w:val="1"/>
          <w:color w:val="auto"/>
        </w:rPr>
        <w:t>The market price for ADSs and the underlying ordinary shares may be volatile and may decline regardless of Mereo’s operating performance, and the value of your investment could materially decline.</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trading price of ADSs may fluctuate, and the trading price of ordinary shares on AIM is likely to continue to fluctuate, substantially.</w:t>
      </w:r>
    </w:p>
    <w:p>
      <w:pPr>
        <w:spacing w:after="0" w:line="219" w:lineRule="exact"/>
        <w:rPr>
          <w:sz w:val="20"/>
          <w:szCs w:val="20"/>
          <w:color w:val="auto"/>
        </w:rPr>
      </w:pPr>
    </w:p>
    <w:p>
      <w:pPr>
        <w:ind w:left="440" w:right="220" w:firstLine="423"/>
        <w:spacing w:after="0" w:line="284" w:lineRule="auto"/>
        <w:rPr>
          <w:sz w:val="20"/>
          <w:szCs w:val="20"/>
          <w:color w:val="auto"/>
        </w:rPr>
      </w:pPr>
      <w:r>
        <w:rPr>
          <w:rFonts w:ascii="Arial" w:cs="Arial" w:eastAsia="Arial" w:hAnsi="Arial"/>
          <w:sz w:val="17"/>
          <w:szCs w:val="17"/>
          <w:color w:val="auto"/>
        </w:rPr>
        <w:t>The market price of ADSs and ordinary shares may fluctuate significantly in response to numerous factors, many of which are beyond Mereo’s control, including:</w:t>
      </w:r>
    </w:p>
    <w:p>
      <w:pPr>
        <w:spacing w:after="0" w:line="68" w:lineRule="exact"/>
        <w:rPr>
          <w:sz w:val="20"/>
          <w:szCs w:val="20"/>
          <w:color w:val="auto"/>
        </w:rPr>
      </w:pPr>
    </w:p>
    <w:p>
      <w:pPr>
        <w:ind w:left="1260" w:hanging="415"/>
        <w:spacing w:after="0"/>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positive or negative results from, or delays in, testing or clinical trials conducted by Mereo or its competitors;</w:t>
      </w:r>
    </w:p>
    <w:p>
      <w:pPr>
        <w:spacing w:after="0" w:line="128" w:lineRule="exact"/>
        <w:rPr>
          <w:rFonts w:ascii="Arial" w:cs="Arial" w:eastAsia="Arial" w:hAnsi="Arial"/>
          <w:sz w:val="17"/>
          <w:szCs w:val="17"/>
          <w:color w:val="auto"/>
        </w:rPr>
      </w:pPr>
    </w:p>
    <w:p>
      <w:pPr>
        <w:ind w:left="1260" w:right="60" w:hanging="415"/>
        <w:spacing w:after="0" w:line="284" w:lineRule="auto"/>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delays in entering into strategic relationships with respect to development or commercialization of Mereo’s product candidates or entry into strategic relationships on terms that are not deemed to be favorable to Mereo;</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960"/>
          </w:cols>
          <w:pgMar w:left="240" w:top="445" w:right="6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hanging="415"/>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technological innovations or commercial product introductions by Mereo or competitors;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government regulations;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developments concerning proprietary rights, including patents and litigation matters;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public concern relating to the commercial value or safety of Mereo’s product candidates;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financing or other corporate transactions;</w:t>
      </w:r>
    </w:p>
    <w:p>
      <w:pPr>
        <w:spacing w:after="0" w:line="128" w:lineRule="exact"/>
        <w:rPr>
          <w:rFonts w:ascii="Arial" w:cs="Arial" w:eastAsia="Arial" w:hAnsi="Arial"/>
          <w:sz w:val="17"/>
          <w:szCs w:val="17"/>
          <w:color w:val="auto"/>
        </w:rPr>
      </w:pPr>
    </w:p>
    <w:p>
      <w:pPr>
        <w:ind w:left="1260" w:right="120" w:hanging="415"/>
        <w:spacing w:after="0" w:line="284"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publication of research reports or comments by securities or industry analysts, and variances in Mereo’s periodic results of operations from securities analysts’ estimates;</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market conditions in the biopharmaceutical and pharmaceutical industries or in the economy as a whole;</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loss of any of Mereo’s key scientific or senior management personnel;</w:t>
      </w:r>
    </w:p>
    <w:p>
      <w:pPr>
        <w:spacing w:after="0" w:line="128" w:lineRule="exact"/>
        <w:rPr>
          <w:rFonts w:ascii="Arial" w:cs="Arial" w:eastAsia="Arial" w:hAnsi="Arial"/>
          <w:sz w:val="17"/>
          <w:szCs w:val="17"/>
          <w:color w:val="auto"/>
        </w:rPr>
      </w:pPr>
    </w:p>
    <w:p>
      <w:pPr>
        <w:ind w:left="1260" w:right="400" w:hanging="415"/>
        <w:spacing w:after="0" w:line="284" w:lineRule="auto"/>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sales of our ADSs or ordinary shares by Mereo, its senior management and board members, holders of ADSs or Mereo’s other security holders in the future;</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actions by institutional shareholders;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speculation in the press or the investment community; or</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events and factors, many of which are beyond Mereo’s control.</w:t>
      </w:r>
    </w:p>
    <w:p>
      <w:pPr>
        <w:spacing w:after="0" w:line="219"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These and other market and industry factors may cause the market price and demand for our ADSs to fluctuate substantially, regardless of Mereo’s actual operating performance, which may limit or prevent investors from readily selling ADSs or ordinary shares and may otherwise negatively affect the liquidity of ADSs and ordinary shares.</w:t>
      </w:r>
    </w:p>
    <w:p>
      <w:pPr>
        <w:spacing w:after="0" w:line="171" w:lineRule="exact"/>
        <w:rPr>
          <w:sz w:val="20"/>
          <w:szCs w:val="20"/>
          <w:color w:val="auto"/>
        </w:rPr>
      </w:pPr>
    </w:p>
    <w:p>
      <w:pPr>
        <w:ind w:left="440" w:right="20" w:firstLine="423"/>
        <w:spacing w:after="0" w:line="259" w:lineRule="auto"/>
        <w:rPr>
          <w:sz w:val="20"/>
          <w:szCs w:val="20"/>
          <w:color w:val="auto"/>
        </w:rPr>
      </w:pPr>
      <w:r>
        <w:rPr>
          <w:rFonts w:ascii="Arial" w:cs="Arial" w:eastAsia="Arial" w:hAnsi="Arial"/>
          <w:sz w:val="17"/>
          <w:szCs w:val="17"/>
          <w:color w:val="auto"/>
        </w:rPr>
        <w:t>In addition, the stock market in general, and emerging companies in particular, have experienced significant price and volume fluctuations that often have been unrelated to the operating performance of the companies affected by these fluctuations. These broad market fluctuations may adversely affect the trading price of ADSs and ordinary shares, regardless of Mereo’s operating performance. In the past in the United States, when the market price of a security has been volatile, holders of that security have often instituted securities class action litigation against the issuer of such securities. If any of the holders of ADSs or ordinary shares were to bring such a lawsuit against Mereo, Mereo could incur substantial costs defending the lawsuit and the attention of Mereo’s senior management would be diverted from the operation of Mereo’s business. Any adverse determination in litigation could also subject Mereo to significant liabilities.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Future sales of ordinary shares or ADSs could depress the market price of ADSs.</w:t>
      </w:r>
    </w:p>
    <w:p>
      <w:pPr>
        <w:spacing w:after="0" w:line="219" w:lineRule="exact"/>
        <w:rPr>
          <w:sz w:val="20"/>
          <w:szCs w:val="20"/>
          <w:color w:val="auto"/>
        </w:rPr>
      </w:pPr>
    </w:p>
    <w:p>
      <w:pPr>
        <w:ind w:left="440" w:right="140" w:firstLine="423"/>
        <w:spacing w:after="0" w:line="269" w:lineRule="auto"/>
        <w:rPr>
          <w:sz w:val="20"/>
          <w:szCs w:val="20"/>
          <w:color w:val="auto"/>
        </w:rPr>
      </w:pPr>
      <w:r>
        <w:rPr>
          <w:rFonts w:ascii="Arial" w:cs="Arial" w:eastAsia="Arial" w:hAnsi="Arial"/>
          <w:sz w:val="17"/>
          <w:szCs w:val="17"/>
          <w:color w:val="auto"/>
        </w:rPr>
        <w:t>If holders of ordinary shares or ADSs sell, or indicate an intent to sell, substantial amounts of ordinary shares or ADSs in the public markets, the trading price of ADSs or ordinary shares could decline significantly. These sales might also make it more difficult for Mereo to sell equity or equity-related securities at a time and price that it otherwise would deem appropriate.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The dual listing of ordinary shares and ADSs is costly to maintain and may adversely affect the liquidity and value of ordinary shares and ADSs.</w:t>
      </w:r>
    </w:p>
    <w:p>
      <w:pPr>
        <w:spacing w:after="0" w:line="242" w:lineRule="exact"/>
        <w:rPr>
          <w:sz w:val="20"/>
          <w:szCs w:val="20"/>
          <w:color w:val="auto"/>
        </w:rPr>
      </w:pPr>
    </w:p>
    <w:p>
      <w:pPr>
        <w:ind w:left="440" w:right="20" w:firstLine="423"/>
        <w:spacing w:after="0" w:line="279" w:lineRule="auto"/>
        <w:rPr>
          <w:sz w:val="20"/>
          <w:szCs w:val="20"/>
          <w:color w:val="auto"/>
        </w:rPr>
      </w:pPr>
      <w:r>
        <w:rPr>
          <w:rFonts w:ascii="Arial" w:cs="Arial" w:eastAsia="Arial" w:hAnsi="Arial"/>
          <w:sz w:val="16"/>
          <w:szCs w:val="16"/>
          <w:color w:val="auto"/>
        </w:rPr>
        <w:t>Our ADSs are listed for trading on Nasdaq and our ordinary shares trade on AIM. As of April 24, 2019 we have maintained a dual listing, which has generated and will continue to generate additional costs, including significant legal, accounting, investor relations, and other expenses that Mereo did not incur prior to April 24, 2019, in addition to the costs associated with the additional reporting requirements described elsewhere in this annual report. Mereo cannot predict the effect of this dual listing on the value of our ADSs and ordinary shares. However, the dual listing of ADSs and ordinary shares may dilute the liquidity of these securities in one or both markets and may adversely affect the development of an active trading market for our ADSs. The price of our ADSs could also be adversely affected by trading in ordinary shares on AIM.</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980"/>
          </w:cols>
          <w:pgMar w:left="240" w:top="445" w:right="67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Fluctuations in the exchange rate between the U.S. dollar and the pound sterling may increase the risk of holding ADSs.</w:t>
      </w:r>
    </w:p>
    <w:p>
      <w:pPr>
        <w:spacing w:after="0" w:line="219" w:lineRule="exact"/>
        <w:rPr>
          <w:sz w:val="20"/>
          <w:szCs w:val="20"/>
          <w:color w:val="auto"/>
        </w:rPr>
      </w:pPr>
    </w:p>
    <w:p>
      <w:pPr>
        <w:ind w:left="440" w:right="60" w:firstLine="423"/>
        <w:spacing w:after="0" w:line="260" w:lineRule="auto"/>
        <w:rPr>
          <w:sz w:val="20"/>
          <w:szCs w:val="20"/>
          <w:color w:val="auto"/>
        </w:rPr>
      </w:pPr>
      <w:r>
        <w:rPr>
          <w:rFonts w:ascii="Arial" w:cs="Arial" w:eastAsia="Arial" w:hAnsi="Arial"/>
          <w:sz w:val="17"/>
          <w:szCs w:val="17"/>
          <w:color w:val="auto"/>
        </w:rPr>
        <w:t>The share price of ordinary shares is quoted on AIM in pence sterling, while our ADSs trade on Nasdaq in U.S. dollars. Fluctuations in the exchange rate between the U.S. dollar and the pound sterling may result in differences between the value of our ADSs and the value of ordinary shares, which may result in heavy trading by investors seeking to exploit such differences. In addition, as a result of fluctuations in the exchange rate between the U.S. dollar and the pound sterling, the U.S. dollar equivalent of the proceeds that a holder of our ADSs would receive upon the sale in the United Kingdom of any ordinary shares withdrawn from the depositary, and the U.S. dollar equivalent of any cash dividends paid in pound sterling on ordinary shares represented by our ADSs, could also decline.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depositary for ADSs is entitled to charge holders fees for various services, including annual service fees.</w:t>
      </w:r>
    </w:p>
    <w:p>
      <w:pPr>
        <w:spacing w:after="0" w:line="219" w:lineRule="exact"/>
        <w:rPr>
          <w:sz w:val="20"/>
          <w:szCs w:val="20"/>
          <w:color w:val="auto"/>
        </w:rPr>
      </w:pPr>
    </w:p>
    <w:p>
      <w:pPr>
        <w:ind w:left="440" w:firstLine="423"/>
        <w:spacing w:after="0" w:line="258" w:lineRule="auto"/>
        <w:rPr>
          <w:sz w:val="20"/>
          <w:szCs w:val="20"/>
          <w:color w:val="auto"/>
        </w:rPr>
      </w:pPr>
      <w:r>
        <w:rPr>
          <w:rFonts w:ascii="Arial" w:cs="Arial" w:eastAsia="Arial" w:hAnsi="Arial"/>
          <w:sz w:val="17"/>
          <w:szCs w:val="17"/>
          <w:color w:val="auto"/>
        </w:rPr>
        <w:t>The depositary for ADSs is entitled to charge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service fees. In the case of ADSs issued by the depositary into The Depository Trust Company (“DTC”), the fees will be charged by the DTC participant to the account of the applicable beneficial owner in accordance with the procedures and practices of the DTC participant as in effect at the time. The depositary for ADSs will not generally be responsible for any United Kingdom stamp duty or stamp duty reserve tax arising upon the issuance or transfer of ADSs. For a discussion of the United Kingdom stamp duty and stamp duty reserve tax consequences of the issuance and transfer of ADSs, see “Item 10. Additional Information—E. Taxation—Stamp Duty and Stamp Duty Reserve Tax.”</w:t>
      </w:r>
    </w:p>
    <w:p>
      <w:pPr>
        <w:spacing w:after="0" w:line="184" w:lineRule="exact"/>
        <w:rPr>
          <w:sz w:val="20"/>
          <w:szCs w:val="20"/>
          <w:color w:val="auto"/>
        </w:rPr>
      </w:pPr>
    </w:p>
    <w:p>
      <w:pPr>
        <w:ind w:left="640" w:right="340"/>
        <w:spacing w:after="0" w:line="284"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research or unfavorable research about Mereo’s business, the price and trading volume of ordinary shares and ADSs could decline.</w:t>
      </w:r>
    </w:p>
    <w:p>
      <w:pPr>
        <w:spacing w:after="0" w:line="159" w:lineRule="exact"/>
        <w:rPr>
          <w:sz w:val="20"/>
          <w:szCs w:val="20"/>
          <w:color w:val="auto"/>
        </w:rPr>
      </w:pPr>
    </w:p>
    <w:p>
      <w:pPr>
        <w:jc w:val="both"/>
        <w:ind w:left="440" w:firstLine="423"/>
        <w:spacing w:after="0" w:line="261" w:lineRule="auto"/>
        <w:rPr>
          <w:sz w:val="20"/>
          <w:szCs w:val="20"/>
          <w:color w:val="auto"/>
        </w:rPr>
      </w:pPr>
      <w:r>
        <w:rPr>
          <w:rFonts w:ascii="Arial" w:cs="Arial" w:eastAsia="Arial" w:hAnsi="Arial"/>
          <w:sz w:val="17"/>
          <w:szCs w:val="17"/>
          <w:color w:val="auto"/>
        </w:rPr>
        <w:t>The trading market for our ordinary shares and ADSs depends in part on the research and reports that securities or industry analysts publish about Mereo or its business. If one or more of the analysts who covers Mereo downgrades our ordinary shares or ADSs or publishes incorrect or unfavorable research about Mereo’s business, the price of our ordinary shares and/or ADSs would likely decline. If one or more of these analysts ceases coverage of Mereo or fails to publish reports on it regularly, or downgrades our ordinary shares or ADSs, demand for ADSs or ordinary shares could decrease, which could cause the price of ADSs and/or ordinary shares and/or trading volume to decline.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You may be subject to limitations on the transfer of ADSs and the withdrawal of the underlying ordinary shares.</w:t>
      </w:r>
    </w:p>
    <w:p>
      <w:pPr>
        <w:spacing w:after="0" w:line="219" w:lineRule="exact"/>
        <w:rPr>
          <w:sz w:val="20"/>
          <w:szCs w:val="20"/>
          <w:color w:val="auto"/>
        </w:rPr>
      </w:pPr>
    </w:p>
    <w:p>
      <w:pPr>
        <w:ind w:left="440" w:right="20" w:firstLine="423"/>
        <w:spacing w:after="0" w:line="258" w:lineRule="auto"/>
        <w:rPr>
          <w:sz w:val="20"/>
          <w:szCs w:val="20"/>
          <w:color w:val="auto"/>
        </w:rPr>
      </w:pPr>
      <w:r>
        <w:rPr>
          <w:rFonts w:ascii="Arial" w:cs="Arial" w:eastAsia="Arial" w:hAnsi="Arial"/>
          <w:sz w:val="17"/>
          <w:szCs w:val="17"/>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Mereo’s books or the books of the depositary are closed, or at any time if Mereo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Mereo has closed its transfer books, the transfer of ordinary shares is blocked to permit voting at a shareholders’ meeting or because Mereo is paying a dividend on its ordinary shares.</w:t>
      </w:r>
    </w:p>
    <w:p>
      <w:pPr>
        <w:spacing w:after="0" w:line="184"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In addition, you may not be able to cancel your ADSs and withdraw the underlying ordinary shares when you owe money for fees, taxes and similar charges and when it is necessary to prohibit withdrawals in order to comply with any laws or governmental regulations that apply to our ADSs or to the withdrawal of our ordinary shares or other deposited securities.</w:t>
      </w:r>
    </w:p>
    <w:p>
      <w:pPr>
        <w:spacing w:after="0" w:line="171" w:lineRule="exact"/>
        <w:rPr>
          <w:sz w:val="20"/>
          <w:szCs w:val="20"/>
          <w:color w:val="auto"/>
        </w:rPr>
      </w:pPr>
    </w:p>
    <w:p>
      <w:pPr>
        <w:ind w:left="860" w:right="460"/>
        <w:spacing w:after="0" w:line="284" w:lineRule="auto"/>
        <w:rPr>
          <w:sz w:val="20"/>
          <w:szCs w:val="20"/>
          <w:color w:val="auto"/>
        </w:rPr>
      </w:pPr>
      <w:r>
        <w:rPr>
          <w:rFonts w:ascii="Arial" w:cs="Arial" w:eastAsia="Arial" w:hAnsi="Arial"/>
          <w:sz w:val="17"/>
          <w:szCs w:val="17"/>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159" w:lineRule="exact"/>
        <w:rPr>
          <w:sz w:val="20"/>
          <w:szCs w:val="20"/>
          <w:color w:val="auto"/>
        </w:rPr>
      </w:pPr>
    </w:p>
    <w:p>
      <w:pPr>
        <w:ind w:left="440" w:right="80" w:firstLine="423"/>
        <w:spacing w:after="0" w:line="264" w:lineRule="auto"/>
        <w:rPr>
          <w:sz w:val="20"/>
          <w:szCs w:val="20"/>
          <w:color w:val="auto"/>
        </w:rPr>
      </w:pPr>
      <w:r>
        <w:rPr>
          <w:rFonts w:ascii="Arial" w:cs="Arial" w:eastAsia="Arial" w:hAnsi="Arial"/>
          <w:sz w:val="17"/>
          <w:szCs w:val="17"/>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Mereo or the depositary to the fullest extent permitted by applicable law. If this jury trial waiver provision is prohibited by applicable law, an action could nevertheless proceed</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980"/>
          </w:cols>
          <w:pgMar w:left="240" w:top="445" w:right="6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line="279" w:lineRule="auto"/>
        <w:rPr>
          <w:sz w:val="20"/>
          <w:szCs w:val="20"/>
          <w:color w:val="auto"/>
        </w:rPr>
      </w:pPr>
      <w:r>
        <w:rPr>
          <w:rFonts w:ascii="Arial" w:cs="Arial" w:eastAsia="Arial" w:hAnsi="Arial"/>
          <w:sz w:val="16"/>
          <w:szCs w:val="16"/>
          <w:color w:val="auto"/>
        </w:rPr>
        <w:t>under the terms of the deposit agreement with a jury trial. Although Mereo is not aware of a specific federal decision that addresses the enforceability of a jury trial waiver in the context of U.S. federal securities laws, it is Mereo’s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Mereo believes that this is the case with respect to the deposit agreement and our ADSs.</w:t>
      </w:r>
    </w:p>
    <w:p>
      <w:pPr>
        <w:spacing w:after="0" w:line="167" w:lineRule="exact"/>
        <w:rPr>
          <w:sz w:val="20"/>
          <w:szCs w:val="20"/>
          <w:color w:val="auto"/>
        </w:rPr>
      </w:pPr>
    </w:p>
    <w:p>
      <w:pPr>
        <w:ind w:left="440" w:right="100" w:firstLine="423"/>
        <w:spacing w:after="0" w:line="261" w:lineRule="auto"/>
        <w:rPr>
          <w:sz w:val="20"/>
          <w:szCs w:val="20"/>
          <w:color w:val="auto"/>
        </w:rPr>
      </w:pPr>
      <w:r>
        <w:rPr>
          <w:rFonts w:ascii="Arial" w:cs="Arial" w:eastAsia="Arial" w:hAnsi="Arial"/>
          <w:sz w:val="17"/>
          <w:szCs w:val="17"/>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Mereo or the depositary of compliance with any provision of U.S. federal securities laws and the rules and regulations promulgated thereunder.</w:t>
      </w:r>
    </w:p>
    <w:p>
      <w:pPr>
        <w:spacing w:after="0" w:line="180" w:lineRule="exact"/>
        <w:rPr>
          <w:sz w:val="20"/>
          <w:szCs w:val="20"/>
          <w:color w:val="auto"/>
        </w:rPr>
      </w:pPr>
    </w:p>
    <w:p>
      <w:pPr>
        <w:ind w:left="440" w:right="100" w:firstLine="423"/>
        <w:spacing w:after="0" w:line="259" w:lineRule="auto"/>
        <w:rPr>
          <w:sz w:val="20"/>
          <w:szCs w:val="20"/>
          <w:color w:val="auto"/>
        </w:rPr>
      </w:pPr>
      <w:r>
        <w:rPr>
          <w:rFonts w:ascii="Arial" w:cs="Arial" w:eastAsia="Arial" w:hAnsi="Arial"/>
          <w:sz w:val="17"/>
          <w:szCs w:val="17"/>
          <w:color w:val="auto"/>
        </w:rPr>
        <w:t>If any holder or beneficial owner of ADSs brings a claim against Mereo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Mereo or the depositary. If a lawsuit is brought against Mereo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1" w:lineRule="exact"/>
        <w:rPr>
          <w:sz w:val="20"/>
          <w:szCs w:val="20"/>
          <w:color w:val="auto"/>
        </w:rPr>
      </w:pPr>
    </w:p>
    <w:p>
      <w:pPr>
        <w:ind w:left="640" w:right="320"/>
        <w:spacing w:after="0" w:line="284" w:lineRule="auto"/>
        <w:rPr>
          <w:sz w:val="20"/>
          <w:szCs w:val="20"/>
          <w:color w:val="auto"/>
        </w:rPr>
      </w:pPr>
      <w:r>
        <w:rPr>
          <w:rFonts w:ascii="Arial" w:cs="Arial" w:eastAsia="Arial" w:hAnsi="Arial"/>
          <w:sz w:val="17"/>
          <w:szCs w:val="17"/>
          <w:b w:val="1"/>
          <w:bCs w:val="1"/>
          <w:i w:val="1"/>
          <w:iCs w:val="1"/>
          <w:color w:val="auto"/>
        </w:rPr>
        <w:t>You may not receive distributions on ordinary shares represented by ADSs or any value for them if it is unlawful or impractical to make them available to holders of ADSs.</w:t>
      </w:r>
    </w:p>
    <w:p>
      <w:pPr>
        <w:spacing w:after="0" w:line="159" w:lineRule="exact"/>
        <w:rPr>
          <w:sz w:val="20"/>
          <w:szCs w:val="20"/>
          <w:color w:val="auto"/>
        </w:rPr>
      </w:pPr>
    </w:p>
    <w:p>
      <w:pPr>
        <w:ind w:left="440" w:right="60" w:firstLine="423"/>
        <w:spacing w:after="0" w:line="259" w:lineRule="auto"/>
        <w:rPr>
          <w:sz w:val="20"/>
          <w:szCs w:val="20"/>
          <w:color w:val="auto"/>
        </w:rPr>
      </w:pPr>
      <w:r>
        <w:rPr>
          <w:rFonts w:ascii="Arial" w:cs="Arial" w:eastAsia="Arial" w:hAnsi="Arial"/>
          <w:sz w:val="17"/>
          <w:szCs w:val="17"/>
          <w:color w:val="auto"/>
        </w:rPr>
        <w:t>Mereo expects that the depositary for ADSs will agree to pay to you or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Mereo has no obligation to take any other action to permit the distribution of ADSs, ordinary shares, rights or anything else to holders of ADSs. This means that you may not receive the distributions Mereo makes on our ordinary shares or any value from them if it is unlawful or impractical to make them available to you. These restrictions may have a material adverse effect on the value of ADSs.</w:t>
      </w:r>
    </w:p>
    <w:p>
      <w:pPr>
        <w:spacing w:after="0" w:line="181" w:lineRule="exact"/>
        <w:rPr>
          <w:sz w:val="20"/>
          <w:szCs w:val="20"/>
          <w:color w:val="auto"/>
        </w:rPr>
      </w:pPr>
    </w:p>
    <w:p>
      <w:pPr>
        <w:ind w:left="640" w:right="340"/>
        <w:spacing w:after="0" w:line="284" w:lineRule="auto"/>
        <w:rPr>
          <w:sz w:val="20"/>
          <w:szCs w:val="20"/>
          <w:color w:val="auto"/>
        </w:rPr>
      </w:pPr>
      <w:r>
        <w:rPr>
          <w:rFonts w:ascii="Arial" w:cs="Arial" w:eastAsia="Arial" w:hAnsi="Arial"/>
          <w:sz w:val="17"/>
          <w:szCs w:val="17"/>
          <w:b w:val="1"/>
          <w:bCs w:val="1"/>
          <w:i w:val="1"/>
          <w:iCs w:val="1"/>
          <w:color w:val="auto"/>
        </w:rPr>
        <w:t>It may be difficult for you to bring any action or enforce any judgment obtained in the United States against Mereo or members of the Mereo Board, which may limit the remedies otherwise available to you.</w:t>
      </w:r>
    </w:p>
    <w:p>
      <w:pPr>
        <w:spacing w:after="0" w:line="159" w:lineRule="exact"/>
        <w:rPr>
          <w:sz w:val="20"/>
          <w:szCs w:val="20"/>
          <w:color w:val="auto"/>
        </w:rPr>
      </w:pPr>
    </w:p>
    <w:p>
      <w:pPr>
        <w:ind w:left="440" w:firstLine="423"/>
        <w:spacing w:after="0" w:line="278" w:lineRule="auto"/>
        <w:rPr>
          <w:sz w:val="20"/>
          <w:szCs w:val="20"/>
          <w:color w:val="auto"/>
        </w:rPr>
      </w:pPr>
      <w:r>
        <w:rPr>
          <w:rFonts w:ascii="Arial" w:cs="Arial" w:eastAsia="Arial" w:hAnsi="Arial"/>
          <w:sz w:val="16"/>
          <w:szCs w:val="16"/>
          <w:color w:val="auto"/>
        </w:rPr>
        <w:t>Mereo is incorporated as a public limited company in England and Wales, and the majority of Mereo’s assets are located outside the United States. In addition, the majority of the members of the board of directors of Mereo (the “Mereo Board”) are nationals and residents of countries, including the United Kingdom, outside of the United States. Most or all of the assets of these individuals are located outside the United States. As a result, it may be difficult or impossible for you to bring an action against Mereo or against these individuals in the United States if you believe your rights have been infringed under the securities laws or otherwise. In addition, a United Kingdom court may prevent you from enforcing a judgment of a U.S. court against Mereo or these individuals based on the securities laws of the United States or any state thereof. A United Kingdom court may not allow you to bring an action against Mereo or its directors based on the securities laws of the United States or any state thereof.</w:t>
      </w:r>
    </w:p>
    <w:p>
      <w:pPr>
        <w:spacing w:after="0" w:line="166" w:lineRule="exact"/>
        <w:rPr>
          <w:sz w:val="20"/>
          <w:szCs w:val="20"/>
          <w:color w:val="auto"/>
        </w:rPr>
      </w:pPr>
    </w:p>
    <w:p>
      <w:pPr>
        <w:ind w:left="640" w:right="620"/>
        <w:spacing w:after="0" w:line="284" w:lineRule="auto"/>
        <w:rPr>
          <w:sz w:val="20"/>
          <w:szCs w:val="20"/>
          <w:color w:val="auto"/>
        </w:rPr>
      </w:pPr>
      <w:r>
        <w:rPr>
          <w:rFonts w:ascii="Arial" w:cs="Arial" w:eastAsia="Arial" w:hAnsi="Arial"/>
          <w:sz w:val="17"/>
          <w:szCs w:val="17"/>
          <w:b w:val="1"/>
          <w:bCs w:val="1"/>
          <w:i w:val="1"/>
          <w:iCs w:val="1"/>
          <w:color w:val="auto"/>
        </w:rPr>
        <w:t>Shareholders in countries other than the United Kingdom will suffer dilution if they are unable to participate in future preemptive equity offerings.</w:t>
      </w:r>
    </w:p>
    <w:p>
      <w:pPr>
        <w:spacing w:after="0" w:line="159" w:lineRule="exact"/>
        <w:rPr>
          <w:sz w:val="20"/>
          <w:szCs w:val="20"/>
          <w:color w:val="auto"/>
        </w:rPr>
      </w:pPr>
    </w:p>
    <w:p>
      <w:pPr>
        <w:ind w:left="440" w:right="80" w:firstLine="423"/>
        <w:spacing w:after="0" w:line="285" w:lineRule="auto"/>
        <w:rPr>
          <w:sz w:val="20"/>
          <w:szCs w:val="20"/>
          <w:color w:val="auto"/>
        </w:rPr>
      </w:pPr>
      <w:r>
        <w:rPr>
          <w:rFonts w:ascii="Arial" w:cs="Arial" w:eastAsia="Arial" w:hAnsi="Arial"/>
          <w:sz w:val="16"/>
          <w:szCs w:val="16"/>
          <w:color w:val="auto"/>
        </w:rPr>
        <w:t>Under English law, shareholders usually have preemptive rights to subscribe on a pro rata basis in the issuance of new shares for cash. The exercise of preemptive rights by certain shareholders not resident in the United Kingdom may be restricted by applicable law or practice in the United Kingdom and overseas jurisdictions. In particular, the exercise of preemptive rights by U.S. shareholders would be prohibited unless that rights offering is registered under the Securities Act or an exemption from the registration requirements of the Securities Act applies. Furthermore,</w:t>
      </w:r>
    </w:p>
    <w:p>
      <w:pPr>
        <w:spacing w:after="0" w:line="9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980"/>
          </w:cols>
          <w:pgMar w:left="240" w:top="445" w:right="67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40"/>
        <w:spacing w:after="0" w:line="260" w:lineRule="auto"/>
        <w:rPr>
          <w:sz w:val="20"/>
          <w:szCs w:val="20"/>
          <w:color w:val="auto"/>
        </w:rPr>
      </w:pPr>
      <w:r>
        <w:rPr>
          <w:rFonts w:ascii="Arial" w:cs="Arial" w:eastAsia="Arial" w:hAnsi="Arial"/>
          <w:sz w:val="17"/>
          <w:szCs w:val="17"/>
          <w:color w:val="auto"/>
        </w:rPr>
        <w:t>under the deposit agreement for our ADSs, the depositary generally will not offer those rights to holders of ADSs unless both the rights and the underlying securities to be distributed to holders of ADSs are either registered under the Securities Act, or exempt from registration under the Securities Act with respect to all holders of ADSs. If no exemption applies and Mereo determines not to register the rights offering, shareholders in the United States may not be able or permitted to exercise their preemptive rights. Mereo is also permitted under English law to disapply preemptive rights (subject to the approval of its shareholders by special resolution) and thereby exclude certain shareholders, such as overseas shareholders, from participating in a rights offering (usually to avoid a breach of local securities laws).</w:t>
      </w:r>
    </w:p>
    <w:p>
      <w:pPr>
        <w:spacing w:after="0" w:line="180" w:lineRule="exact"/>
        <w:rPr>
          <w:sz w:val="20"/>
          <w:szCs w:val="20"/>
          <w:color w:val="auto"/>
        </w:rPr>
      </w:pPr>
    </w:p>
    <w:p>
      <w:pPr>
        <w:ind w:left="640" w:right="320"/>
        <w:spacing w:after="0" w:line="284" w:lineRule="auto"/>
        <w:rPr>
          <w:sz w:val="20"/>
          <w:szCs w:val="20"/>
          <w:color w:val="auto"/>
        </w:rPr>
      </w:pPr>
      <w:r>
        <w:rPr>
          <w:rFonts w:ascii="Arial" w:cs="Arial" w:eastAsia="Arial" w:hAnsi="Arial"/>
          <w:sz w:val="17"/>
          <w:szCs w:val="17"/>
          <w:b w:val="1"/>
          <w:bCs w:val="1"/>
          <w:i w:val="1"/>
          <w:iCs w:val="1"/>
          <w:color w:val="auto"/>
        </w:rPr>
        <w:t>Holders of ADSs may not have the same voting rights as holders of ordinary shares and may not receive voting materials in time to be able to exercise their right to vote.</w:t>
      </w:r>
    </w:p>
    <w:p>
      <w:pPr>
        <w:spacing w:after="0" w:line="159"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Holders of ADSs are not be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80" w:lineRule="exact"/>
        <w:rPr>
          <w:sz w:val="20"/>
          <w:szCs w:val="20"/>
          <w:color w:val="auto"/>
        </w:rPr>
      </w:pPr>
    </w:p>
    <w:p>
      <w:pPr>
        <w:ind w:left="640" w:right="120"/>
        <w:spacing w:after="0" w:line="284" w:lineRule="auto"/>
        <w:rPr>
          <w:sz w:val="20"/>
          <w:szCs w:val="20"/>
          <w:color w:val="auto"/>
        </w:rPr>
      </w:pPr>
      <w:r>
        <w:rPr>
          <w:rFonts w:ascii="Arial" w:cs="Arial" w:eastAsia="Arial" w:hAnsi="Arial"/>
          <w:sz w:val="17"/>
          <w:szCs w:val="17"/>
          <w:b w:val="1"/>
          <w:bCs w:val="1"/>
          <w:i w:val="1"/>
          <w:iCs w:val="1"/>
          <w:color w:val="auto"/>
        </w:rPr>
        <w:t>Because Mereo does not anticipate paying any cash dividends on ADSs or ordinary shares in the foreseeable future, capital appreciation, if any, will be your sole source of gains and you may never receive a return on your investment.</w:t>
      </w:r>
    </w:p>
    <w:p>
      <w:pPr>
        <w:spacing w:after="0" w:line="159" w:lineRule="exact"/>
        <w:rPr>
          <w:sz w:val="20"/>
          <w:szCs w:val="20"/>
          <w:color w:val="auto"/>
        </w:rPr>
      </w:pPr>
    </w:p>
    <w:p>
      <w:pPr>
        <w:ind w:left="440" w:right="160" w:firstLine="423"/>
        <w:spacing w:after="0" w:line="260" w:lineRule="auto"/>
        <w:rPr>
          <w:sz w:val="20"/>
          <w:szCs w:val="20"/>
          <w:color w:val="auto"/>
        </w:rPr>
      </w:pPr>
      <w:r>
        <w:rPr>
          <w:rFonts w:ascii="Arial" w:cs="Arial" w:eastAsia="Arial" w:hAnsi="Arial"/>
          <w:sz w:val="17"/>
          <w:szCs w:val="17"/>
          <w:color w:val="auto"/>
        </w:rPr>
        <w:t>Under English law, a company’s accumulated realized profits must exceed its accumulated realized losses on a non-consolidated basis before dividends can be paid. Therefore, Mereo must have distributable profits before issuing a dividend. Mereo has not paid dividends in the past on its ordinary shares. Further, Mereo intends to retain future earnings, if any, for use in its business and does not anticipate paying any cash dividends in the foreseeable future. In addition, Mereo’s credit facility prohibits it from paying dividends on its equity securities, and any future debt agreements may likewise preclude Mereo from paying dividends. As a result, capital appreciation, if any, on ADSs or ordinary shares will be your sole source of gains for the foreseeable future.</w:t>
      </w:r>
    </w:p>
    <w:p>
      <w:pPr>
        <w:spacing w:after="0" w:line="180" w:lineRule="exact"/>
        <w:rPr>
          <w:sz w:val="20"/>
          <w:szCs w:val="20"/>
          <w:color w:val="auto"/>
        </w:rPr>
      </w:pPr>
    </w:p>
    <w:p>
      <w:pPr>
        <w:ind w:left="640" w:right="440"/>
        <w:spacing w:after="0" w:line="316" w:lineRule="auto"/>
        <w:rPr>
          <w:sz w:val="20"/>
          <w:szCs w:val="20"/>
          <w:color w:val="auto"/>
        </w:rPr>
      </w:pPr>
      <w:r>
        <w:rPr>
          <w:rFonts w:ascii="Arial" w:cs="Arial" w:eastAsia="Arial" w:hAnsi="Arial"/>
          <w:sz w:val="16"/>
          <w:szCs w:val="16"/>
          <w:b w:val="1"/>
          <w:bCs w:val="1"/>
          <w:i w:val="1"/>
          <w:iCs w:val="1"/>
          <w:color w:val="auto"/>
        </w:rPr>
        <w:t>Mereo is a “foreign private issuer” under the rules and regulations of the SEC and, as a result, is exempt from a number of rules under the Exchange Act and is permitted to file less information with the SEC than a company incorporated in the United States.</w:t>
      </w:r>
    </w:p>
    <w:p>
      <w:pPr>
        <w:spacing w:after="0" w:line="137" w:lineRule="exact"/>
        <w:rPr>
          <w:sz w:val="20"/>
          <w:szCs w:val="20"/>
          <w:color w:val="auto"/>
        </w:rPr>
      </w:pPr>
    </w:p>
    <w:p>
      <w:pPr>
        <w:ind w:left="440" w:right="300" w:firstLine="423"/>
        <w:spacing w:after="0" w:line="269" w:lineRule="auto"/>
        <w:rPr>
          <w:sz w:val="20"/>
          <w:szCs w:val="20"/>
          <w:color w:val="auto"/>
        </w:rPr>
      </w:pPr>
      <w:r>
        <w:rPr>
          <w:rFonts w:ascii="Arial" w:cs="Arial" w:eastAsia="Arial" w:hAnsi="Arial"/>
          <w:sz w:val="17"/>
          <w:szCs w:val="17"/>
          <w:color w:val="auto"/>
        </w:rPr>
        <w:t>Mereo is incorporated as a public limited company in England and Wales and is deemed to be a “foreign private issuer” under the rules and regulations of the SEC. As a foreign private issuer, Mereo is exempt from certain rules under the Exchange Act that would otherwise apply if Mereo were a company incorporated in the United States, including:</w:t>
      </w:r>
    </w:p>
    <w:p>
      <w:pPr>
        <w:spacing w:after="0" w:line="81" w:lineRule="exact"/>
        <w:rPr>
          <w:sz w:val="20"/>
          <w:szCs w:val="20"/>
          <w:color w:val="auto"/>
        </w:rPr>
      </w:pPr>
    </w:p>
    <w:p>
      <w:pPr>
        <w:ind w:left="1260" w:right="100" w:hanging="415"/>
        <w:spacing w:after="0" w:line="284" w:lineRule="auto"/>
        <w:tabs>
          <w:tab w:leader="none" w:pos="1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requirement to file periodic reports and financial statements with the SEC as frequently or as promptly as United States companies with securities registered under the Exchange Act;</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requirement to file financial statements prepared in accordance with U.S. GAAP;</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proxy rules, which impose certain disclosure and procedural requirements for proxy solicitations; and</w:t>
      </w:r>
    </w:p>
    <w:p>
      <w:pPr>
        <w:spacing w:after="0" w:line="128" w:lineRule="exact"/>
        <w:rPr>
          <w:rFonts w:ascii="Arial" w:cs="Arial" w:eastAsia="Arial" w:hAnsi="Arial"/>
          <w:sz w:val="17"/>
          <w:szCs w:val="17"/>
          <w:color w:val="auto"/>
        </w:rPr>
      </w:pPr>
    </w:p>
    <w:p>
      <w:pPr>
        <w:ind w:left="1260" w:right="20" w:hanging="415"/>
        <w:spacing w:after="0" w:line="284" w:lineRule="auto"/>
        <w:tabs>
          <w:tab w:leader="none" w:pos="1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requirement to comply with Regulation Fair Disclosure (“Regulation FD”), which imposes certain restrictions on the selective disclosure of material information.</w:t>
      </w:r>
    </w:p>
    <w:p>
      <w:pPr>
        <w:spacing w:after="0" w:line="159" w:lineRule="exact"/>
        <w:rPr>
          <w:sz w:val="20"/>
          <w:szCs w:val="20"/>
          <w:color w:val="auto"/>
        </w:rPr>
      </w:pPr>
    </w:p>
    <w:p>
      <w:pPr>
        <w:ind w:left="440" w:right="160" w:firstLine="423"/>
        <w:spacing w:after="0" w:line="316" w:lineRule="auto"/>
        <w:rPr>
          <w:sz w:val="20"/>
          <w:szCs w:val="20"/>
          <w:color w:val="auto"/>
        </w:rPr>
      </w:pPr>
      <w:r>
        <w:rPr>
          <w:rFonts w:ascii="Arial" w:cs="Arial" w:eastAsia="Arial" w:hAnsi="Arial"/>
          <w:sz w:val="16"/>
          <w:szCs w:val="16"/>
          <w:color w:val="auto"/>
        </w:rPr>
        <w:t>In addition, Mereo’s officers, directors and principal shareholders are exempt from the reporting and “short-swing” profit recovery provisions of Section 16 of the Exchange Act and the related rules with respect to their purchases and sales of our ADSs and ordinary shares.</w:t>
      </w:r>
    </w:p>
    <w:p>
      <w:pPr>
        <w:spacing w:after="0" w:line="137" w:lineRule="exact"/>
        <w:rPr>
          <w:sz w:val="20"/>
          <w:szCs w:val="20"/>
          <w:color w:val="auto"/>
        </w:rPr>
      </w:pPr>
    </w:p>
    <w:p>
      <w:pPr>
        <w:ind w:left="640" w:right="80"/>
        <w:spacing w:after="0" w:line="284" w:lineRule="auto"/>
        <w:rPr>
          <w:sz w:val="20"/>
          <w:szCs w:val="20"/>
          <w:color w:val="auto"/>
        </w:rPr>
      </w:pPr>
      <w:r>
        <w:rPr>
          <w:rFonts w:ascii="Arial" w:cs="Arial" w:eastAsia="Arial" w:hAnsi="Arial"/>
          <w:sz w:val="17"/>
          <w:szCs w:val="17"/>
          <w:b w:val="1"/>
          <w:bCs w:val="1"/>
          <w:i w:val="1"/>
          <w:iCs w:val="1"/>
          <w:color w:val="auto"/>
        </w:rPr>
        <w:t>As a foreign private issuer, Mereo is not required to comply with some of the corporate governance standards of Nasdaq applicable to companies incorporated in the United States.</w:t>
      </w:r>
    </w:p>
    <w:p>
      <w:pPr>
        <w:spacing w:after="0" w:line="159"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The Mereo Board is required to meet certain corporate governance standards under Nasdaq Listing Rules, including the requirement to maintain an audit committee comprised of three or more directors satisfying the</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980"/>
          </w:cols>
          <w:pgMar w:left="240" w:top="445" w:right="6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60"/>
        <w:spacing w:after="0" w:line="259" w:lineRule="auto"/>
        <w:rPr>
          <w:sz w:val="20"/>
          <w:szCs w:val="20"/>
          <w:color w:val="auto"/>
        </w:rPr>
      </w:pPr>
      <w:r>
        <w:rPr>
          <w:rFonts w:ascii="Arial" w:cs="Arial" w:eastAsia="Arial" w:hAnsi="Arial"/>
          <w:sz w:val="17"/>
          <w:szCs w:val="17"/>
          <w:color w:val="auto"/>
        </w:rPr>
        <w:t>independence standards of Nasdaq applicable to audit committee members. While foreign private issuers are not required to comply with most of the other corporate governance rules of Nasdaq, Mereo believes it currently complies with, and intends to continue to comply with, the majority of such requirements, including the requirements to maintain a majority of independent directors and nominating and compensation committees of its board of directors comprised solely of independent directors. Mereo is required to follow the AIM rules and Corporate Governance Code published by the Quoted Companies Alliance. As a result, holders of our ADSs may not be afforded the benefits of the corporate governance standards of Nasdaq to the same extent applicable to companies incorporated in the United States. See “Item 16G. Corporate governance—Foreign Private Issuer Exemption” elsewhere in this annual report.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Additional reporting requirements may apply if Mereo loses its status as a foreign private issuer.</w:t>
      </w:r>
    </w:p>
    <w:p>
      <w:pPr>
        <w:spacing w:after="0" w:line="219" w:lineRule="exact"/>
        <w:rPr>
          <w:sz w:val="20"/>
          <w:szCs w:val="20"/>
          <w:color w:val="auto"/>
        </w:rPr>
      </w:pPr>
    </w:p>
    <w:p>
      <w:pPr>
        <w:ind w:left="440" w:right="20" w:firstLine="423"/>
        <w:spacing w:after="0" w:line="269" w:lineRule="auto"/>
        <w:rPr>
          <w:sz w:val="20"/>
          <w:szCs w:val="20"/>
          <w:color w:val="auto"/>
        </w:rPr>
      </w:pPr>
      <w:r>
        <w:rPr>
          <w:rFonts w:ascii="Arial" w:cs="Arial" w:eastAsia="Arial" w:hAnsi="Arial"/>
          <w:sz w:val="17"/>
          <w:szCs w:val="17"/>
          <w:color w:val="auto"/>
        </w:rPr>
        <w:t>If Mereo loses its status as a “foreign private issuer” under the rules and regulations of the SEC at some future time, then it will no longer be exempt from such rules and, among other things, will be required to file periodic reports and financial statements as if it were a company incorporated in the United States. The costs incurred in fulfilling these additional regulatory requirements could be substantial.</w:t>
      </w:r>
    </w:p>
    <w:p>
      <w:pPr>
        <w:spacing w:after="0" w:line="171" w:lineRule="exact"/>
        <w:rPr>
          <w:sz w:val="20"/>
          <w:szCs w:val="20"/>
          <w:color w:val="auto"/>
        </w:rPr>
      </w:pPr>
    </w:p>
    <w:p>
      <w:pPr>
        <w:ind w:left="640" w:right="240"/>
        <w:spacing w:after="0" w:line="269" w:lineRule="auto"/>
        <w:rPr>
          <w:sz w:val="20"/>
          <w:szCs w:val="20"/>
          <w:color w:val="auto"/>
        </w:rPr>
      </w:pPr>
      <w:r>
        <w:rPr>
          <w:rFonts w:ascii="Arial" w:cs="Arial" w:eastAsia="Arial" w:hAnsi="Arial"/>
          <w:sz w:val="17"/>
          <w:szCs w:val="17"/>
          <w:b w:val="1"/>
          <w:bCs w:val="1"/>
          <w:i w:val="1"/>
          <w:iCs w:val="1"/>
          <w:color w:val="auto"/>
        </w:rPr>
        <w:t>Although Mereo’s reporting obligations as a foreign private issuer are fewer than those of a public company incorporated in the United States, Mereo’s costs of complying with its SEC reporting requirements are significant, and its management is required to devote substantial time to complying with SEC regulations.</w:t>
      </w:r>
    </w:p>
    <w:p>
      <w:pPr>
        <w:spacing w:after="0" w:line="171" w:lineRule="exact"/>
        <w:rPr>
          <w:sz w:val="20"/>
          <w:szCs w:val="20"/>
          <w:color w:val="auto"/>
        </w:rPr>
      </w:pPr>
    </w:p>
    <w:p>
      <w:pPr>
        <w:ind w:left="440" w:firstLine="423"/>
        <w:spacing w:after="0" w:line="275" w:lineRule="auto"/>
        <w:rPr>
          <w:sz w:val="20"/>
          <w:szCs w:val="20"/>
          <w:color w:val="auto"/>
        </w:rPr>
      </w:pPr>
      <w:r>
        <w:rPr>
          <w:rFonts w:ascii="Arial" w:cs="Arial" w:eastAsia="Arial" w:hAnsi="Arial"/>
          <w:sz w:val="16"/>
          <w:szCs w:val="16"/>
          <w:color w:val="auto"/>
        </w:rPr>
        <w:t>Mereo is a foreign private issuer and subject to certain SEC reporting requirements. As such, and particularly after Mereo no longer qualifies as an Emerging Growth Company, Mereo expects to incur significant legal, accounting, and other expenses that it did not incur previously, including costs associated with its SEC reporting requirements under the Exchange Act and compliance with the requirements of Section 404 of the Sarbanes-Oxley Act of 2002 (“Section 404”). Mereo’s senior management and other personnel needs to devote a substantial amount of time to these compliance initiatives. Moreover, these rules and regulations increase Mereo’s legal and financial compliance costs and make some activities more time-consuming and costly. For example, these rules and regulations may make it more expensive for Mereo to obtain director and officer liability insurance, which in turn could make it more difficult for Mereo to attract and retain qualified senior management personnel or members for the Mereo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Failure to establish and maintain effective internal controls could have a material adverse effect on Mereo’s business and stock price.</w:t>
      </w:r>
    </w:p>
    <w:p>
      <w:pPr>
        <w:spacing w:after="0" w:line="230" w:lineRule="exact"/>
        <w:rPr>
          <w:sz w:val="20"/>
          <w:szCs w:val="20"/>
          <w:color w:val="auto"/>
        </w:rPr>
      </w:pPr>
    </w:p>
    <w:p>
      <w:pPr>
        <w:ind w:left="440" w:right="60" w:firstLine="423"/>
        <w:spacing w:after="0" w:line="295" w:lineRule="auto"/>
        <w:rPr>
          <w:sz w:val="20"/>
          <w:szCs w:val="20"/>
          <w:color w:val="auto"/>
        </w:rPr>
      </w:pPr>
      <w:r>
        <w:rPr>
          <w:rFonts w:ascii="Arial" w:cs="Arial" w:eastAsia="Arial" w:hAnsi="Arial"/>
          <w:sz w:val="15"/>
          <w:szCs w:val="15"/>
          <w:color w:val="auto"/>
        </w:rPr>
        <w:t>Pursuant to Section 404, Mereo is required to furnish a report by its senior management on its internal control over financial reporting. However, while Mereo remains an Emerging Growth Company, it will not be required to include an attestation report on internal control over financial reporting issued by its independent registered public accounting firm. To prepare for eventual compliance with Section 404, once Mereo no longer qualifies as an Emerging Growth Company, Mereo will be engaged in a process to document and evaluate its internal control over financial reporting, which is both costly and challenging. In this regard, Mereo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Mereo’s efforts, there is a risk that it will not be able to conclude, within the prescribed timeframe or at all, that its internal control over financial reporting is effective as required by Section 404. If Mereo identifies one or more material weaknesses, it could result in an adverse reaction in the financial markets due to a loss of confidence in the reliability of Mereo’s financial statements.</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000"/>
          </w:cols>
          <w:pgMar w:left="240" w:top="445" w:right="6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right="80"/>
        <w:spacing w:after="0" w:line="304" w:lineRule="auto"/>
        <w:rPr>
          <w:sz w:val="20"/>
          <w:szCs w:val="20"/>
          <w:color w:val="auto"/>
        </w:rPr>
      </w:pPr>
      <w:r>
        <w:rPr>
          <w:rFonts w:ascii="Arial" w:cs="Arial" w:eastAsia="Arial" w:hAnsi="Arial"/>
          <w:sz w:val="15"/>
          <w:szCs w:val="15"/>
          <w:b w:val="1"/>
          <w:bCs w:val="1"/>
          <w:i w:val="1"/>
          <w:iCs w:val="1"/>
          <w:color w:val="auto"/>
        </w:rPr>
        <w:t>Mereo’s consolidated financial statements are prepared in accordance with IFRS. OncoMed prepared its consolidated financial statements in accordance with U.S. GAAP. The conversion of OncoMed’s historical consolidated financial statements into IFRS and the preparation of Mereo’s future consolidated financial statements in accordance with IFRS following the Merger could result in material changes in the reported results of operations, financial position and cash flows of the OncoMed business compared with amounts that it had previously reported (or would have reported in the future) as a stand-alone business in accordance with U.S. GAAP.</w:t>
      </w:r>
    </w:p>
    <w:p>
      <w:pPr>
        <w:spacing w:after="0" w:line="151" w:lineRule="exact"/>
        <w:rPr>
          <w:sz w:val="20"/>
          <w:szCs w:val="20"/>
          <w:color w:val="auto"/>
        </w:rPr>
      </w:pPr>
    </w:p>
    <w:p>
      <w:pPr>
        <w:ind w:left="440" w:firstLine="423"/>
        <w:spacing w:after="0" w:line="258" w:lineRule="auto"/>
        <w:rPr>
          <w:sz w:val="20"/>
          <w:szCs w:val="20"/>
          <w:color w:val="auto"/>
        </w:rPr>
      </w:pPr>
      <w:r>
        <w:rPr>
          <w:rFonts w:ascii="Arial" w:cs="Arial" w:eastAsia="Arial" w:hAnsi="Arial"/>
          <w:sz w:val="17"/>
          <w:szCs w:val="17"/>
          <w:color w:val="auto"/>
        </w:rPr>
        <w:t>Mereo’s consolidated financial statements are prepared in accordance with IFRS. OncoMed prepared its consolidated financial statements in accordance with U.S. GAAP. Significant differences exist between IFRS and U.S. GAAP that were relevant to OncoMed. Furthermore, significant adjustments may be made to reflect the fair value of the assets and liabilities acquired from OncoMed following the Merger in accordance with business combination accounting under IFRS. Such adjustments include, but are not limited to, the recognition of identifiable intangible assets, the remeasurement of property, plant and equipment, the recognition or adjustment of certain contingent liabilities, deferred revenues and related income tax effects. Accordingly, the conversion of OncoMed’s historical consolidated financial statements into IFRS and the preparation of Mereo’s future consolidated financial statements in accordance with IFRS following the Merger could result in material changes in the reported results of operations, financial position and cash flows of the OncoMed business compared with amounts that it previously reported (or would have reported in the future) as a stand-alone business in accordance with U.S. GAAP.</w:t>
      </w:r>
    </w:p>
    <w:p>
      <w:pPr>
        <w:spacing w:after="0" w:line="181" w:lineRule="exact"/>
        <w:rPr>
          <w:sz w:val="20"/>
          <w:szCs w:val="20"/>
          <w:color w:val="auto"/>
        </w:rPr>
      </w:pPr>
    </w:p>
    <w:p>
      <w:pPr>
        <w:ind w:left="640" w:right="120"/>
        <w:spacing w:after="0" w:line="354" w:lineRule="auto"/>
        <w:rPr>
          <w:sz w:val="20"/>
          <w:szCs w:val="20"/>
          <w:color w:val="auto"/>
        </w:rPr>
      </w:pPr>
      <w:r>
        <w:rPr>
          <w:rFonts w:ascii="Arial" w:cs="Arial" w:eastAsia="Arial" w:hAnsi="Arial"/>
          <w:sz w:val="15"/>
          <w:szCs w:val="15"/>
          <w:b w:val="1"/>
          <w:bCs w:val="1"/>
          <w:i w:val="1"/>
          <w:iCs w:val="1"/>
          <w:color w:val="auto"/>
        </w:rPr>
        <w:t>The executive officers, board of directors and certain of Mereo’s existing shareholders own a majority or a significant portion of Merger and, as a result, have control or significant influence over Mereo and your interests may conflict with the interests of these shareholders.</w:t>
      </w:r>
    </w:p>
    <w:p>
      <w:pPr>
        <w:spacing w:after="0" w:line="113" w:lineRule="exact"/>
        <w:rPr>
          <w:sz w:val="20"/>
          <w:szCs w:val="20"/>
          <w:color w:val="auto"/>
        </w:rPr>
      </w:pPr>
    </w:p>
    <w:p>
      <w:pPr>
        <w:ind w:left="440" w:right="20" w:firstLine="423"/>
        <w:spacing w:after="0" w:line="274" w:lineRule="auto"/>
        <w:rPr>
          <w:sz w:val="20"/>
          <w:szCs w:val="20"/>
          <w:color w:val="auto"/>
        </w:rPr>
      </w:pPr>
      <w:r>
        <w:rPr>
          <w:rFonts w:ascii="Arial" w:cs="Arial" w:eastAsia="Arial" w:hAnsi="Arial"/>
          <w:sz w:val="16"/>
          <w:szCs w:val="16"/>
          <w:color w:val="auto"/>
        </w:rPr>
        <w:t>Mereo’s executive officers, board of directors and significant shareholders and their respective affiliates, in the aggregate, beneficially own approximately 8.6% of Mereo’s outstanding ordinary shares (including ordinary shares in the form of our ADSs). Depending on the level of attendance at Mereo’s general meetings of shareholders, these shareholders either alone or voting together as a group may be in a position to control or significantly influence the outcome of decisions taken at any such general meeting. Any shareholder or group of shareholders controlling more than 50% of the share capital present and voting at Mereo’s general meetings of shareholders may control any shareholder resolution requiring a simple majority, including the appointment of board members, certain decisions relating to Mereo’s capital structure and the approval of certain significant corporate transactions. Any shareholder or group of shareholders controlling more than 75% of the share capital present and voting at Mereo’s general meetings of shareholders may control any shareholder resolution amending Mereo’s articles of association (the “Articles”). These shareholders may have interests that differ from yours and may vote in a way with which you disagree and which may be adverse to your interests. Among other consequences, this concentration of ownership may have the effect of delaying or preventing a change in control and might therefore negatively affect the market price of our ADSs and ordinary shares.</w:t>
      </w:r>
    </w:p>
    <w:p>
      <w:pPr>
        <w:spacing w:after="0" w:line="176" w:lineRule="exact"/>
        <w:rPr>
          <w:sz w:val="20"/>
          <w:szCs w:val="20"/>
          <w:color w:val="auto"/>
        </w:rPr>
      </w:pPr>
    </w:p>
    <w:p>
      <w:pPr>
        <w:ind w:left="640" w:right="220"/>
        <w:spacing w:after="0" w:line="284" w:lineRule="auto"/>
        <w:rPr>
          <w:sz w:val="20"/>
          <w:szCs w:val="20"/>
          <w:color w:val="auto"/>
        </w:rPr>
      </w:pPr>
      <w:r>
        <w:rPr>
          <w:rFonts w:ascii="Arial" w:cs="Arial" w:eastAsia="Arial" w:hAnsi="Arial"/>
          <w:sz w:val="17"/>
          <w:szCs w:val="17"/>
          <w:b w:val="1"/>
          <w:bCs w:val="1"/>
          <w:i w:val="1"/>
          <w:iCs w:val="1"/>
          <w:color w:val="auto"/>
        </w:rPr>
        <w:t>If Mereo is a passive foreign investment company (“PFIC”), you could be subject to adverse U.S. federal income tax consequences if you are a U.S. investor.</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In general, a non-U.S. corporation will be a PFIC for any taxable year in which (i) 75% or more of its gross income consists of passive income or</w:t>
      </w:r>
    </w:p>
    <w:p>
      <w:pPr>
        <w:spacing w:after="0" w:line="47" w:lineRule="exact"/>
        <w:rPr>
          <w:sz w:val="20"/>
          <w:szCs w:val="20"/>
          <w:color w:val="auto"/>
        </w:rPr>
      </w:pPr>
    </w:p>
    <w:p>
      <w:pPr>
        <w:ind w:left="440" w:right="60" w:hanging="9"/>
        <w:spacing w:after="0" w:line="276" w:lineRule="auto"/>
        <w:tabs>
          <w:tab w:leader="none" w:pos="694" w:val="left"/>
        </w:tabs>
        <w:numPr>
          <w:ilvl w:val="0"/>
          <w:numId w:val="39"/>
        </w:numPr>
        <w:rPr>
          <w:rFonts w:ascii="Arial" w:cs="Arial" w:eastAsia="Arial" w:hAnsi="Arial"/>
          <w:sz w:val="16"/>
          <w:szCs w:val="16"/>
          <w:color w:val="auto"/>
        </w:rPr>
      </w:pPr>
      <w:r>
        <w:rPr>
          <w:rFonts w:ascii="Arial" w:cs="Arial" w:eastAsia="Arial" w:hAnsi="Arial"/>
          <w:sz w:val="16"/>
          <w:szCs w:val="16"/>
          <w:color w:val="auto"/>
        </w:rPr>
        <w:t>50% or more of the average quarterly value of its assets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is an active asset under the PFIC rules to the extent attributable to activities that produce active income.</w:t>
      </w:r>
    </w:p>
    <w:p>
      <w:pPr>
        <w:spacing w:after="0" w:line="168" w:lineRule="exact"/>
        <w:rPr>
          <w:sz w:val="20"/>
          <w:szCs w:val="20"/>
          <w:color w:val="auto"/>
        </w:rPr>
      </w:pPr>
    </w:p>
    <w:p>
      <w:pPr>
        <w:ind w:left="440" w:right="120" w:firstLine="423"/>
        <w:spacing w:after="0" w:line="281" w:lineRule="auto"/>
        <w:rPr>
          <w:sz w:val="20"/>
          <w:szCs w:val="20"/>
          <w:color w:val="auto"/>
        </w:rPr>
      </w:pPr>
      <w:r>
        <w:rPr>
          <w:rFonts w:ascii="Arial" w:cs="Arial" w:eastAsia="Arial" w:hAnsi="Arial"/>
          <w:sz w:val="16"/>
          <w:szCs w:val="16"/>
          <w:color w:val="auto"/>
        </w:rPr>
        <w:t>Following the Merger with OncoMed, the assets shown on Mereo’s consolidated balance sheet are expected to contain a significant amount of cash and cash equivalents in the current taxable year and for the foreseeable future (taking into account OncoMed assets acquired as a result of the Merger). Therefore, whether Mereo will satisfy the asset test for the current or any future taxable year generally will depend largely on the quarterly value of its goodwill, and on how quickly it utilizes the cash in its business. Because (i) the value of its goodwill may be determined by reference to the market price of its shares or ADSs, which may be volatile given the nature and early stage of its</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000"/>
          </w:cols>
          <w:pgMar w:left="240" w:top="445" w:right="65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60"/>
        <w:spacing w:after="0" w:line="269" w:lineRule="auto"/>
        <w:rPr>
          <w:sz w:val="20"/>
          <w:szCs w:val="20"/>
          <w:color w:val="auto"/>
        </w:rPr>
      </w:pPr>
      <w:r>
        <w:rPr>
          <w:rFonts w:ascii="Arial" w:cs="Arial" w:eastAsia="Arial" w:hAnsi="Arial"/>
          <w:sz w:val="17"/>
          <w:szCs w:val="17"/>
          <w:color w:val="auto"/>
        </w:rPr>
        <w:t>business, (ii) Mereo expects to continue to hold a significant amount of cash and (iii) a company’s PFIC status is an annual determination that can be made only after the end of each taxable year, Mereo cannot express a view as to whether it will be a PFIC for the current or any future taxable year. It is therefore possible that Mereo will be a PFIC for its current or any future taxable year.</w:t>
      </w:r>
    </w:p>
    <w:p>
      <w:pPr>
        <w:spacing w:after="0" w:line="171" w:lineRule="exact"/>
        <w:rPr>
          <w:sz w:val="20"/>
          <w:szCs w:val="20"/>
          <w:color w:val="auto"/>
        </w:rPr>
      </w:pPr>
    </w:p>
    <w:p>
      <w:pPr>
        <w:ind w:left="440" w:right="200" w:firstLine="423"/>
        <w:spacing w:after="0" w:line="269" w:lineRule="auto"/>
        <w:rPr>
          <w:sz w:val="20"/>
          <w:szCs w:val="20"/>
          <w:color w:val="auto"/>
        </w:rPr>
      </w:pPr>
      <w:r>
        <w:rPr>
          <w:rFonts w:ascii="Arial" w:cs="Arial" w:eastAsia="Arial" w:hAnsi="Arial"/>
          <w:sz w:val="17"/>
          <w:szCs w:val="17"/>
          <w:color w:val="auto"/>
        </w:rPr>
        <w:t>If Mereo were a PFIC for any taxable year during which a U.S. investor holds ADSs or ordinary shares, certain adverse U.S. federal income tax consequences could apply to such U.S. investor. See “Item 10. Additional Information—E. Taxation—Material U.S. Federal Income Tax Considerations.”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the Merger with OncoMed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 may not fully realize the anticipated benefits of the Merger or realize such benefits within the timing anticipated.</w:t>
      </w:r>
    </w:p>
    <w:p>
      <w:pPr>
        <w:spacing w:after="0" w:line="219" w:lineRule="exact"/>
        <w:rPr>
          <w:sz w:val="20"/>
          <w:szCs w:val="20"/>
          <w:color w:val="auto"/>
        </w:rPr>
      </w:pPr>
    </w:p>
    <w:p>
      <w:pPr>
        <w:ind w:left="440" w:right="80" w:firstLine="423"/>
        <w:spacing w:after="0" w:line="264" w:lineRule="auto"/>
        <w:rPr>
          <w:sz w:val="20"/>
          <w:szCs w:val="20"/>
          <w:color w:val="auto"/>
        </w:rPr>
      </w:pPr>
      <w:r>
        <w:rPr>
          <w:rFonts w:ascii="Arial" w:cs="Arial" w:eastAsia="Arial" w:hAnsi="Arial"/>
          <w:sz w:val="17"/>
          <w:szCs w:val="17"/>
          <w:color w:val="auto"/>
        </w:rPr>
        <w:t>Mereo entered into the Merger with OncoMed because Mereo believed that the Merger would be beneficial to Mereo and its shareholders. Mereo may not be able to achieve the anticipated long-term strategic benefits of the Merger within the timing anticipated or at all. Any delays and challenges that may be encountered in completing the post-Merger process of consolidation could have an adverse effect on the business and results of operations of Mereo, and may affect the value of our ADSs and ordinary shares.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 may have failed to discover undisclosed liabilities of OncoMed.</w:t>
      </w:r>
    </w:p>
    <w:p>
      <w:pPr>
        <w:spacing w:after="0" w:line="219" w:lineRule="exact"/>
        <w:rPr>
          <w:sz w:val="20"/>
          <w:szCs w:val="20"/>
          <w:color w:val="auto"/>
        </w:rPr>
      </w:pPr>
    </w:p>
    <w:p>
      <w:pPr>
        <w:ind w:left="440" w:right="240" w:firstLine="423"/>
        <w:spacing w:after="0" w:line="264" w:lineRule="auto"/>
        <w:rPr>
          <w:sz w:val="20"/>
          <w:szCs w:val="20"/>
          <w:color w:val="auto"/>
        </w:rPr>
      </w:pPr>
      <w:r>
        <w:rPr>
          <w:rFonts w:ascii="Arial" w:cs="Arial" w:eastAsia="Arial" w:hAnsi="Arial"/>
          <w:sz w:val="17"/>
          <w:szCs w:val="17"/>
          <w:color w:val="auto"/>
        </w:rPr>
        <w:t>Mereo’s investigations and due diligence review of OncoMed may have failed to discover undisclosed liabilities of OncoMed. If OncoMed has undisclosed liabilities, Mereo as a successor owner may be responsible for such undisclosed liabilities. Such undisclosed liabilities could have an adverse effect on the business and results of operations of Mereo and its subsidiaries and may adversely affect the value of our ADSs and ordinary shares.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Mereo’s goodwill or other intangible assets may become impaired, which could result in material non-cash charges to our results of operations.</w:t>
      </w:r>
    </w:p>
    <w:p>
      <w:pPr>
        <w:spacing w:after="0" w:line="242" w:lineRule="exact"/>
        <w:rPr>
          <w:sz w:val="20"/>
          <w:szCs w:val="20"/>
          <w:color w:val="auto"/>
        </w:rPr>
      </w:pPr>
    </w:p>
    <w:p>
      <w:pPr>
        <w:ind w:left="440" w:right="100" w:firstLine="423"/>
        <w:spacing w:after="0" w:line="260" w:lineRule="auto"/>
        <w:rPr>
          <w:sz w:val="20"/>
          <w:szCs w:val="20"/>
          <w:color w:val="auto"/>
        </w:rPr>
      </w:pPr>
      <w:r>
        <w:rPr>
          <w:rFonts w:ascii="Arial" w:cs="Arial" w:eastAsia="Arial" w:hAnsi="Arial"/>
          <w:sz w:val="17"/>
          <w:szCs w:val="17"/>
          <w:color w:val="auto"/>
        </w:rPr>
        <w:t>Mereo has a substantial amount of goodwill and other intangible assets resulting from the Merger. At least annually, or whenever events or changes in circumstances indicate a potential impairment in the carrying value as defined by IFRS, Mereo will evaluate this goodwill for impairment based on the recoverable value, being the higher of fair value less costs to sell and value in use, of the cash generating units to which goodwill has been allocated. Estimated fair values could change if there are changes in Mereo’s capital structure, cost of debt, interest rates, capital expenditure levels, operating cash flows or market capitalization. Impairments of goodwill or other intangible assets could require material non-cash charges to Mereo’s results of operations.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 may have operational challenges in managing OncoMed’s business and staff following the Merger.</w:t>
      </w:r>
    </w:p>
    <w:p>
      <w:pPr>
        <w:spacing w:after="0" w:line="219" w:lineRule="exact"/>
        <w:rPr>
          <w:sz w:val="20"/>
          <w:szCs w:val="20"/>
          <w:color w:val="auto"/>
        </w:rPr>
      </w:pPr>
    </w:p>
    <w:p>
      <w:pPr>
        <w:ind w:left="440" w:firstLine="423"/>
        <w:spacing w:after="0" w:line="279" w:lineRule="auto"/>
        <w:rPr>
          <w:sz w:val="20"/>
          <w:szCs w:val="20"/>
          <w:color w:val="auto"/>
        </w:rPr>
      </w:pPr>
      <w:r>
        <w:rPr>
          <w:rFonts w:ascii="Arial" w:cs="Arial" w:eastAsia="Arial" w:hAnsi="Arial"/>
          <w:sz w:val="16"/>
          <w:szCs w:val="16"/>
          <w:color w:val="auto"/>
        </w:rPr>
        <w:t>Mergers inherently have risks including misjudging key elements of an acquisition or failing to integrate it in an efficient and timely manner that would disrupt operations. In addition, as OncoMed is located in a different country and time zone, this also brings inherent management challenges. Mereo is taking over existing ongoing clinical trials, which although are being conducted by reputable third party CRO contractors, remain Mereo’s responsibility as the parent of OncoMed. Mereo must also fully integrate OncoMed’s retained employees within Mereo’s existing management structure. Mereo may face operational challenges in managing OncoMed’s business and staff following the Merger which could have an adverse effect on the business and results of operations of Mereo, and may affect the value of our ADSs and ordinary shares.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OncoMed’s ability to utilize its net operating loss carryforwards and certain other tax attributes may be limited.</w:t>
      </w:r>
    </w:p>
    <w:p>
      <w:pPr>
        <w:spacing w:after="0" w:line="219" w:lineRule="exact"/>
        <w:rPr>
          <w:sz w:val="20"/>
          <w:szCs w:val="20"/>
          <w:color w:val="auto"/>
        </w:rPr>
      </w:pPr>
    </w:p>
    <w:p>
      <w:pPr>
        <w:ind w:left="440" w:right="100" w:firstLine="423"/>
        <w:spacing w:after="0" w:line="285" w:lineRule="auto"/>
        <w:rPr>
          <w:sz w:val="20"/>
          <w:szCs w:val="20"/>
          <w:color w:val="auto"/>
        </w:rPr>
      </w:pPr>
      <w:r>
        <w:rPr>
          <w:rFonts w:ascii="Arial" w:cs="Arial" w:eastAsia="Arial" w:hAnsi="Arial"/>
          <w:sz w:val="16"/>
          <w:szCs w:val="16"/>
          <w:color w:val="auto"/>
        </w:rPr>
        <w:t>Under Sections 382 and 383 of Internal Revenue Code of 1986, as amended (the “Code”),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ownership by “5% shareholders” that exceeds 50 percentage points over a rolling three-year period. Similar rules may apply under state tax laws.</w:t>
      </w:r>
    </w:p>
    <w:p>
      <w:pPr>
        <w:spacing w:after="0" w:line="162" w:lineRule="exact"/>
        <w:rPr>
          <w:sz w:val="20"/>
          <w:szCs w:val="20"/>
          <w:color w:val="auto"/>
        </w:rPr>
      </w:pPr>
    </w:p>
    <w:p>
      <w:pPr>
        <w:ind w:left="440" w:right="340" w:firstLine="423"/>
        <w:spacing w:after="0" w:line="284" w:lineRule="auto"/>
        <w:rPr>
          <w:sz w:val="20"/>
          <w:szCs w:val="20"/>
          <w:color w:val="auto"/>
        </w:rPr>
      </w:pPr>
      <w:r>
        <w:rPr>
          <w:rFonts w:ascii="Arial" w:cs="Arial" w:eastAsia="Arial" w:hAnsi="Arial"/>
          <w:sz w:val="17"/>
          <w:szCs w:val="17"/>
          <w:color w:val="auto"/>
        </w:rPr>
        <w:t>At December 31, 2018, OncoMed had federal net operating loss carryforwards related to the 2018 tax year, amounting to $39.1 million which carryforward indefinitely and $228.6 million which begin to expire in 2023. At</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980"/>
          </w:cols>
          <w:pgMar w:left="240" w:top="445" w:right="67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2018, OncoMed had state net operating loss carryforwards of $97.2 million, which begin to expire in 2028, if not utilized. At</w:t>
      </w:r>
    </w:p>
    <w:p>
      <w:pPr>
        <w:spacing w:after="0" w:line="24" w:lineRule="exact"/>
        <w:rPr>
          <w:sz w:val="20"/>
          <w:szCs w:val="20"/>
          <w:color w:val="auto"/>
        </w:rPr>
      </w:pPr>
    </w:p>
    <w:p>
      <w:pPr>
        <w:ind w:left="440" w:right="100"/>
        <w:spacing w:after="0" w:line="259" w:lineRule="auto"/>
        <w:rPr>
          <w:sz w:val="20"/>
          <w:szCs w:val="20"/>
          <w:color w:val="auto"/>
        </w:rPr>
      </w:pPr>
      <w:r>
        <w:rPr>
          <w:rFonts w:ascii="Arial" w:cs="Arial" w:eastAsia="Arial" w:hAnsi="Arial"/>
          <w:sz w:val="17"/>
          <w:szCs w:val="17"/>
          <w:color w:val="auto"/>
        </w:rPr>
        <w:t>December 31, 2018, OncoMed also had federal and California research and development credit carryforwards aggregating approximately $25.4 million and $19.8 million, respectively. The federal credits will expire in 2025, if not utilized. California research and development credits have no expiration date. At December 31, 2018, OncoMed also had federal orphan drug credit and AMT carryforwards of approximately $39.3 million and $1.5 million, respectively. The federal orphan drug credits will begin to expire in 2034, if not utilized.</w:t>
      </w:r>
    </w:p>
    <w:p>
      <w:pPr>
        <w:spacing w:after="0" w:line="179" w:lineRule="exact"/>
        <w:rPr>
          <w:sz w:val="20"/>
          <w:szCs w:val="20"/>
          <w:color w:val="auto"/>
        </w:rPr>
      </w:pPr>
    </w:p>
    <w:p>
      <w:pPr>
        <w:ind w:left="440" w:right="200" w:firstLine="423"/>
        <w:spacing w:after="0" w:line="261" w:lineRule="auto"/>
        <w:rPr>
          <w:sz w:val="20"/>
          <w:szCs w:val="20"/>
          <w:color w:val="auto"/>
        </w:rPr>
      </w:pPr>
      <w:r>
        <w:rPr>
          <w:rFonts w:ascii="Arial" w:cs="Arial" w:eastAsia="Arial" w:hAnsi="Arial"/>
          <w:sz w:val="17"/>
          <w:szCs w:val="17"/>
          <w:color w:val="auto"/>
        </w:rPr>
        <w:t>Mereo anticipates that the Merger will be likely to count as an “ownership change” although this has not yet been confirmed with federal tax authorities which may impact OncoMed’s ability to fully realize the benefit of its net operating loss carryforwards. If that is the case, then OncoMed may be further limited in its ability to use its net operating loss carryforwards and other tax assets to reduce taxes owed on the net taxable income that Oncomed earns. Any such limitations on the ability to use its net operating loss carryforwards and other tax assets could adversely impact OncoMed’s business, financial condition and operating results.</w:t>
      </w:r>
    </w:p>
    <w:p>
      <w:pPr>
        <w:spacing w:after="0" w:line="317"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4.A. History and Development of the Company</w:t>
      </w:r>
    </w:p>
    <w:p>
      <w:pPr>
        <w:spacing w:after="0" w:line="121" w:lineRule="exact"/>
        <w:rPr>
          <w:sz w:val="20"/>
          <w:szCs w:val="20"/>
          <w:color w:val="auto"/>
        </w:rPr>
      </w:pPr>
    </w:p>
    <w:p>
      <w:pPr>
        <w:ind w:left="440" w:right="120" w:firstLine="423"/>
        <w:spacing w:after="0" w:line="278" w:lineRule="auto"/>
        <w:rPr>
          <w:sz w:val="20"/>
          <w:szCs w:val="20"/>
          <w:color w:val="auto"/>
        </w:rPr>
      </w:pPr>
      <w:r>
        <w:rPr>
          <w:rFonts w:ascii="Arial" w:cs="Arial" w:eastAsia="Arial" w:hAnsi="Arial"/>
          <w:sz w:val="16"/>
          <w:szCs w:val="16"/>
          <w:color w:val="auto"/>
        </w:rPr>
        <w:t>Our legal and commercial name is Mereo BioPharma Group plc. Our company was incorporated on March 10, 2015, and was registered as a private limited company under the laws of England and Wales with the company number 09481161. On June 3, 2016, we were re-registered as a public limited company under the laws of England and Wales. Our principal executive offices are located at 4th Floor, 1 Cavendish Place, London, W1G 0QF, United Kingdom and our telephone number is +44 333 023 7300. Our website is www.mereobiopharma.com. Information on Mereo’s website is not incorporated by reference into or otherwise part of this annual report. We have included our website address in this annual report solely for informational purposes. The SEC also maintains a website that contains reports, proxy and information statements and other information regarding issuers that file electronically with the SEC. The address of this website is http://www.sec.gov.</w:t>
      </w:r>
    </w:p>
    <w:p>
      <w:pPr>
        <w:spacing w:after="0" w:line="166"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Mereo’s portfolio consists of six clinical-stage product candidates, four of which were acquired from large pharmaceutical companies and two anti-cancer product candidates which we acquired in the Merger. Mereo does not have any approved products and, as a result, has not generated any revenue from product sales. On April 23, 2019, we completed the Merger with OncoMed. Mereo MergerCo One Inc., a Delaware corporation and direct, wholly-owned subsidiary of Mereo US Holdings Inc., a Delaware corporation and direct, wholly-owned subsidiary of Mereo, was merged with and into OncoMed. OncoMed now operates as an indirect, wholly-owned subsidiary of Mereo.</w:t>
      </w:r>
    </w:p>
    <w:p>
      <w:pPr>
        <w:spacing w:after="0" w:line="180" w:lineRule="exact"/>
        <w:rPr>
          <w:sz w:val="20"/>
          <w:szCs w:val="20"/>
          <w:color w:val="auto"/>
        </w:rPr>
      </w:pPr>
    </w:p>
    <w:p>
      <w:pPr>
        <w:ind w:left="440" w:right="200" w:firstLine="423"/>
        <w:spacing w:after="0" w:line="284" w:lineRule="auto"/>
        <w:rPr>
          <w:sz w:val="20"/>
          <w:szCs w:val="20"/>
          <w:color w:val="auto"/>
        </w:rPr>
      </w:pPr>
      <w:r>
        <w:rPr>
          <w:rFonts w:ascii="Arial" w:cs="Arial" w:eastAsia="Arial" w:hAnsi="Arial"/>
          <w:sz w:val="17"/>
          <w:szCs w:val="17"/>
          <w:color w:val="auto"/>
        </w:rPr>
        <w:t>Since June 9, 2016, Mereo ordinary shares have traded on AIM under the symbol “MPH.” On April 24, 2019, our ADSs commenced trading on Nasdaq under the symbol “MREO.”</w:t>
      </w:r>
    </w:p>
    <w:p>
      <w:pPr>
        <w:spacing w:after="0" w:line="159" w:lineRule="exact"/>
        <w:rPr>
          <w:sz w:val="20"/>
          <w:szCs w:val="20"/>
          <w:color w:val="auto"/>
        </w:rPr>
      </w:pPr>
    </w:p>
    <w:p>
      <w:pPr>
        <w:ind w:left="440" w:right="80" w:firstLine="423"/>
        <w:spacing w:after="0" w:line="269" w:lineRule="auto"/>
        <w:rPr>
          <w:sz w:val="20"/>
          <w:szCs w:val="20"/>
          <w:color w:val="auto"/>
        </w:rPr>
      </w:pPr>
      <w:r>
        <w:rPr>
          <w:rFonts w:ascii="Arial" w:cs="Arial" w:eastAsia="Arial" w:hAnsi="Arial"/>
          <w:sz w:val="17"/>
          <w:szCs w:val="17"/>
          <w:color w:val="auto"/>
        </w:rPr>
        <w:t>We are an Emerging Growth Company.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of 2002.</w:t>
      </w:r>
    </w:p>
    <w:p>
      <w:pPr>
        <w:spacing w:after="0" w:line="171" w:lineRule="exact"/>
        <w:rPr>
          <w:sz w:val="20"/>
          <w:szCs w:val="20"/>
          <w:color w:val="auto"/>
        </w:rPr>
      </w:pPr>
    </w:p>
    <w:p>
      <w:pPr>
        <w:ind w:left="440" w:right="240" w:firstLine="423"/>
        <w:spacing w:after="0" w:line="285" w:lineRule="auto"/>
        <w:rPr>
          <w:sz w:val="20"/>
          <w:szCs w:val="20"/>
          <w:color w:val="auto"/>
        </w:rPr>
      </w:pPr>
      <w:r>
        <w:rPr>
          <w:rFonts w:ascii="Arial" w:cs="Arial" w:eastAsia="Arial" w:hAnsi="Arial"/>
          <w:sz w:val="16"/>
          <w:szCs w:val="16"/>
          <w:color w:val="auto"/>
        </w:rPr>
        <w:t>We will remain an Emerging Growth Company until the earliest of: (i) the last day of our fiscal year during which we have total annual gross revenues of at least $1.07 billion; (ii) the last day of our fiscal year following the fifth anniversary of the closing of our initial public offering; (iii) the date on which we have, during the previous three-year period, issued more than $1.0 billion in non-convertible debt; (iv) the date on which we are deemed to be a Large Accelerated Filer under the Exchange Act, with at least $700 million of equity securities held by non-affiliates.</w:t>
      </w:r>
    </w:p>
    <w:p>
      <w:pPr>
        <w:spacing w:after="0" w:line="162" w:lineRule="exact"/>
        <w:rPr>
          <w:sz w:val="20"/>
          <w:szCs w:val="20"/>
          <w:color w:val="auto"/>
        </w:rPr>
      </w:pPr>
    </w:p>
    <w:p>
      <w:pPr>
        <w:ind w:left="440" w:right="600" w:firstLine="423"/>
        <w:spacing w:after="0" w:line="284" w:lineRule="auto"/>
        <w:rPr>
          <w:sz w:val="20"/>
          <w:szCs w:val="20"/>
          <w:color w:val="auto"/>
        </w:rPr>
      </w:pPr>
      <w:r>
        <w:rPr>
          <w:rFonts w:ascii="Arial" w:cs="Arial" w:eastAsia="Arial" w:hAnsi="Arial"/>
          <w:sz w:val="17"/>
          <w:szCs w:val="17"/>
          <w:color w:val="auto"/>
        </w:rPr>
        <w:t>For information regarding our capital expenditures, see “Item 5. Operating and Financial Review and Prospects—B. Liquidity and Capital Resources.”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4.B. Business Overview</w:t>
      </w:r>
    </w:p>
    <w:p>
      <w:pPr>
        <w:spacing w:after="0" w:line="121" w:lineRule="exact"/>
        <w:rPr>
          <w:sz w:val="20"/>
          <w:szCs w:val="20"/>
          <w:color w:val="auto"/>
        </w:rPr>
      </w:pPr>
    </w:p>
    <w:p>
      <w:pPr>
        <w:ind w:left="440" w:right="20" w:firstLine="423"/>
        <w:spacing w:after="0" w:line="260" w:lineRule="auto"/>
        <w:rPr>
          <w:sz w:val="20"/>
          <w:szCs w:val="20"/>
          <w:color w:val="auto"/>
        </w:rPr>
      </w:pPr>
      <w:r>
        <w:rPr>
          <w:rFonts w:ascii="Arial" w:cs="Arial" w:eastAsia="Arial" w:hAnsi="Arial"/>
          <w:sz w:val="17"/>
          <w:szCs w:val="17"/>
          <w:color w:val="auto"/>
        </w:rPr>
        <w:t>We are a biopharmaceutical company focused on the development and commercialization of innovative therapeutics that aim to improve outcomes for patients with rare diseases. Our portfolio consists of six clinical-stage product candidates, four of which were acquired from large pharmaceutical companies and two anti-cancer product candidates which we acquired in the Merger. We are developing BPS-804 for the treatment of OI, MPH-966 for the treatment of severe AATD, BCT-197 for the treatment of AECOPD, and BGS-649 for the treatment of HH, in obese men. Each of Mereo’s product candidates has generated positive clinical data for its target indication or for a related indication. Our two anti-cancer therapeutic candidates, OMP-305B83 and OMP-313M32, are currently in clinical development.</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000"/>
          </w:cols>
          <w:pgMar w:left="240" w:top="445" w:right="65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We believe our portfolio is well diversified because each of our product candidates employs a different mechanism of action and targets a separate indication. We intend to develop and directly commercialize our rare disease product candidates and anti-cancer therapeutic candidates. For our specialty disease product candidates and two anti-cancer therapeutic candidates which we acquired in the Merger, we intend to seek strategic relationships for further clinical development and commercialization.</w:t>
      </w:r>
    </w:p>
    <w:p>
      <w:pPr>
        <w:spacing w:after="0" w:line="176" w:lineRule="exact"/>
        <w:rPr>
          <w:sz w:val="20"/>
          <w:szCs w:val="20"/>
          <w:color w:val="auto"/>
        </w:rPr>
      </w:pPr>
    </w:p>
    <w:p>
      <w:pPr>
        <w:ind w:left="440" w:firstLine="423"/>
        <w:spacing w:after="0" w:line="304" w:lineRule="auto"/>
        <w:rPr>
          <w:sz w:val="20"/>
          <w:szCs w:val="20"/>
          <w:color w:val="auto"/>
        </w:rPr>
      </w:pPr>
      <w:r>
        <w:rPr>
          <w:rFonts w:ascii="Arial" w:cs="Arial" w:eastAsia="Arial" w:hAnsi="Arial"/>
          <w:sz w:val="15"/>
          <w:szCs w:val="15"/>
          <w:color w:val="auto"/>
        </w:rPr>
        <w:t>Our strategy is to selectively acquire product candidates that have already received significant investment from pharmaceutical companies and that have substantial pre-clinical, clinical, and manufacturing data packages. Since our formation in March 2015, we have successfully executed on this strategy by acquiring our six clinical-stage product candidates, four of which were acquired from large pharmaceutical companies and two anti-cancer product candidates which we acquired in the Merger. We have commenced or completed large, randomized, placebo-controlled Phase 2 clinical trials for four of our product candidates and are in the process of conducting Phase 1 clinical trials for the product candidates acquired in the Merger.</w:t>
      </w:r>
    </w:p>
    <w:p>
      <w:pPr>
        <w:spacing w:after="0" w:line="151" w:lineRule="exact"/>
        <w:rPr>
          <w:sz w:val="20"/>
          <w:szCs w:val="20"/>
          <w:color w:val="auto"/>
        </w:rPr>
      </w:pPr>
    </w:p>
    <w:p>
      <w:pPr>
        <w:ind w:left="440" w:right="80" w:firstLine="423"/>
        <w:spacing w:after="0" w:line="321" w:lineRule="auto"/>
        <w:rPr>
          <w:sz w:val="20"/>
          <w:szCs w:val="20"/>
          <w:color w:val="auto"/>
        </w:rPr>
      </w:pPr>
      <w:r>
        <w:rPr>
          <w:rFonts w:ascii="Arial" w:cs="Arial" w:eastAsia="Arial" w:hAnsi="Arial"/>
          <w:sz w:val="15"/>
          <w:szCs w:val="15"/>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Mereo Pipeline</w:t>
      </w:r>
    </w:p>
    <w:p>
      <w:pPr>
        <w:spacing w:after="0" w:line="121" w:lineRule="exact"/>
        <w:rPr>
          <w:sz w:val="20"/>
          <w:szCs w:val="20"/>
          <w:color w:val="auto"/>
        </w:rPr>
      </w:pPr>
    </w:p>
    <w:p>
      <w:pPr>
        <w:ind w:left="440" w:right="180" w:firstLine="423"/>
        <w:spacing w:after="0" w:line="284" w:lineRule="auto"/>
        <w:rPr>
          <w:sz w:val="20"/>
          <w:szCs w:val="20"/>
          <w:color w:val="auto"/>
        </w:rPr>
      </w:pPr>
      <w:r>
        <w:rPr>
          <w:rFonts w:ascii="Arial" w:cs="Arial" w:eastAsia="Arial" w:hAnsi="Arial"/>
          <w:sz w:val="17"/>
          <w:szCs w:val="17"/>
          <w:color w:val="auto"/>
        </w:rPr>
        <w:t>The following table summarizes our pipeline for our rare disease products and non-rare disease products. Mereo has global commercial rights to BPS-804, MPH-966, BCT-197, BGS-649 and to OMP-305B83.</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Rare Disease Products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163195</wp:posOffset>
            </wp:positionV>
            <wp:extent cx="5114290" cy="2186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14290"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Non-Rare Disease Products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163195</wp:posOffset>
            </wp:positionV>
            <wp:extent cx="4908550" cy="2705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08550" cy="2705100"/>
                    </a:xfrm>
                    <a:prstGeom prst="rect">
                      <a:avLst/>
                    </a:prstGeom>
                    <a:noFill/>
                  </pic:spPr>
                </pic:pic>
              </a:graphicData>
            </a:graphic>
          </wp:anchor>
        </w:drawing>
      </w:r>
    </w:p>
    <w:p>
      <w:pPr>
        <w:sectPr>
          <w:pgSz w:w="11900" w:h="16838" w:orient="portrait"/>
          <w:cols w:equalWidth="0" w:num="1">
            <w:col w:w="11000"/>
          </w:cols>
          <w:pgMar w:left="240" w:top="44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000"/>
          </w:cols>
          <w:pgMar w:left="240" w:top="445" w:right="659" w:bottom="1440" w:gutter="0" w:footer="0" w:header="0"/>
          <w:type w:val="continuous"/>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Rare Disease Product Candidates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Our portfolio consists of the following rare disease product candidates:</w:t>
      </w:r>
    </w:p>
    <w:p>
      <w:pPr>
        <w:spacing w:after="0" w:line="122" w:lineRule="exact"/>
        <w:rPr>
          <w:sz w:val="20"/>
          <w:szCs w:val="20"/>
          <w:color w:val="auto"/>
        </w:rPr>
      </w:pPr>
    </w:p>
    <w:p>
      <w:pPr>
        <w:ind w:left="840" w:right="40" w:hanging="409"/>
        <w:spacing w:after="0" w:line="281" w:lineRule="auto"/>
        <w:tabs>
          <w:tab w:leader="none" w:pos="84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BPS-804: </w:t>
      </w:r>
      <w:r>
        <w:rPr>
          <w:rFonts w:ascii="Arial" w:cs="Arial" w:eastAsia="Arial" w:hAnsi="Arial"/>
          <w:sz w:val="16"/>
          <w:szCs w:val="16"/>
          <w:color w:val="auto"/>
        </w:rPr>
        <w:t>BPS-804, or setrusumab, is a novel antibody Mereo is developing as a treatment for OI, a rare genetic disease that results in bones that</w:t>
      </w:r>
      <w:r>
        <w:rPr>
          <w:rFonts w:ascii="Arial" w:cs="Arial" w:eastAsia="Arial" w:hAnsi="Arial"/>
          <w:sz w:val="16"/>
          <w:szCs w:val="16"/>
          <w:b w:val="1"/>
          <w:bCs w:val="1"/>
          <w:color w:val="auto"/>
        </w:rPr>
        <w:t xml:space="preserve"> </w:t>
      </w:r>
      <w:r>
        <w:rPr>
          <w:rFonts w:ascii="Arial" w:cs="Arial" w:eastAsia="Arial" w:hAnsi="Arial"/>
          <w:sz w:val="16"/>
          <w:szCs w:val="16"/>
          <w:color w:val="auto"/>
        </w:rPr>
        <w:t>can break easily and is commonly known as brittle bone disease. OI is a debilitating orphan disease for which there are no treatments approved by the FDA or EMA. It is estimated that OI affects a minimum of 20,000 people in the United States and approximately 32,000 people in Germany, Spain, France, Italy, and the United Kingdom. BPS-804 is designed to inhibit sclerostin, a protein that inhibits the activity of bone-forming cells. Mereo believes BPS-804’s mechanism of action is well suited for the treatment of OI and has the potential to become a novel treatment option for patients that could reduce fractures and improve patient quality of life.</w:t>
      </w:r>
    </w:p>
    <w:p>
      <w:pPr>
        <w:spacing w:after="0" w:line="60" w:lineRule="exact"/>
        <w:rPr>
          <w:rFonts w:ascii="Arial" w:cs="Arial" w:eastAsia="Arial" w:hAnsi="Arial"/>
          <w:sz w:val="16"/>
          <w:szCs w:val="16"/>
          <w:color w:val="auto"/>
        </w:rPr>
      </w:pPr>
    </w:p>
    <w:p>
      <w:pPr>
        <w:ind w:left="860"/>
        <w:spacing w:after="0" w:line="274" w:lineRule="auto"/>
        <w:rPr>
          <w:rFonts w:ascii="Arial" w:cs="Arial" w:eastAsia="Arial" w:hAnsi="Arial"/>
          <w:sz w:val="16"/>
          <w:szCs w:val="16"/>
          <w:color w:val="auto"/>
        </w:rPr>
      </w:pPr>
      <w:r>
        <w:rPr>
          <w:rFonts w:ascii="Arial" w:cs="Arial" w:eastAsia="Arial" w:hAnsi="Arial"/>
          <w:sz w:val="16"/>
          <w:szCs w:val="16"/>
          <w:color w:val="auto"/>
        </w:rPr>
        <w:t>In 2016, Mereo obtained orphan drug designation in OI for BPS-804 in the United States and the EU, and in February 2017, BPS-804 was accepted into the adaptive pathways program in the EU and, in November 2017, into the PRIME scheme of the EMA. Prior to Mereo’s acquisition of BPS-804, Novartis conducted four clinical trials in 106 patients and healthy volunteers. A Phase 2 clinical trial of BPS-804 showed statistically significant improvements in bone formation biomarkers and bone mineral density. In May 2017, Mereo initiated a Phase 2b clinical trial for BPS-804 in adults in the United States, Europe and Canada. The trial is randomized with three blinded arms to establish the dose response curve and an open label arm at the top dose. Mereo expects to report top-line 6-month data from the open label arm in the second quarter of 2019 and top-line 12-month data from the three blinded arms by the end of 2019. Mereo expects the results from this trial, if favorable, along with validation of its use of high resolution peripheral quantitative computerized tomography (“HRpQCT”) as a biomarker for fracture, may be sufficient to support the submission of a Conditional Marketing Authorisation (“CMA”), to the EMA for BPS-804 for the treatment of adults with OI in the EU. Mereo has also agreed on a pediatric investigational plan for BPS-804 with the EMA and intends to commence a Phase 3 clinical trial of BPS-804 in children with OI in 2019, with fracture rate as the primary endpoint. Mereo expects the results from this trial, if favorable, may be sufficient to validate the use of HRpQCT and support the submission of a MAA, to the EMA for BPS-804 for the treatment of children with severe OI in the EU.</w:t>
      </w:r>
    </w:p>
    <w:p>
      <w:pPr>
        <w:spacing w:after="0" w:line="66" w:lineRule="exact"/>
        <w:rPr>
          <w:rFonts w:ascii="Arial" w:cs="Arial" w:eastAsia="Arial" w:hAnsi="Arial"/>
          <w:sz w:val="16"/>
          <w:szCs w:val="16"/>
          <w:color w:val="auto"/>
        </w:rPr>
      </w:pPr>
    </w:p>
    <w:p>
      <w:pPr>
        <w:ind w:left="860"/>
        <w:spacing w:after="0" w:line="295" w:lineRule="auto"/>
        <w:rPr>
          <w:rFonts w:ascii="Arial" w:cs="Arial" w:eastAsia="Arial" w:hAnsi="Arial"/>
          <w:sz w:val="16"/>
          <w:szCs w:val="16"/>
          <w:color w:val="auto"/>
        </w:rPr>
      </w:pPr>
      <w:r>
        <w:rPr>
          <w:rFonts w:ascii="Arial" w:cs="Arial" w:eastAsia="Arial" w:hAnsi="Arial"/>
          <w:sz w:val="15"/>
          <w:szCs w:val="15"/>
          <w:color w:val="auto"/>
        </w:rPr>
        <w:t>In the United States, the FDA in the first quarter of 2018 denied Mereo’s request for a Type C meeting to discuss the initiation of a pediatric Phase 3 study for BPS-804 for the treatment of patients with severe OI. The FDA cited a serious cardiovascular safety concern in adults treated with sclerostin inhibitors that had yet to be resolved and informed Mereo that a risk/benefit assessment for sclerostin inhibitors could not be completed at that time. The FDA further recommended that Mereo not submit its proposed pediatric protocol until the cardiovascular safety issue had been adequately addressed and favorably resolved. In January 2019 the FDA held an advisory committee meeting, which voted 18-1 to approve another sclerostin inhibitor and in April 2019, the FDA approved the drug. Mereo believes the FDA now has fuller data on the cardiovascular safety issue and plans to re-engage with the FDA in 2019 to discuss the expansion of the pediatric Phase 3 study for BPS-804 for the treatment of patients with severe OI to include sites in the United States. Mereo does not believe the FDA’s previous concern was related to BPS-804. In any case, the FDA’s position does not impact Mereo’s ability to conduct its clinical development activities of BPS-804 for children with severe OI or Mereo’s clinical development activities of BPS-804 in Europe, the United States and Canada for adults with OI.</w:t>
      </w:r>
    </w:p>
    <w:p>
      <w:pPr>
        <w:spacing w:after="0" w:line="62" w:lineRule="exact"/>
        <w:rPr>
          <w:rFonts w:ascii="Arial" w:cs="Arial" w:eastAsia="Arial" w:hAnsi="Arial"/>
          <w:sz w:val="16"/>
          <w:szCs w:val="16"/>
          <w:color w:val="auto"/>
        </w:rPr>
      </w:pPr>
    </w:p>
    <w:p>
      <w:pPr>
        <w:ind w:left="840" w:right="40" w:hanging="409"/>
        <w:spacing w:after="0" w:line="325" w:lineRule="auto"/>
        <w:tabs>
          <w:tab w:leader="none" w:pos="840"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MPH-966: </w:t>
      </w:r>
      <w:r>
        <w:rPr>
          <w:rFonts w:ascii="Arial" w:cs="Arial" w:eastAsia="Arial" w:hAnsi="Arial"/>
          <w:sz w:val="15"/>
          <w:szCs w:val="15"/>
          <w:color w:val="auto"/>
        </w:rPr>
        <w:t>MPH-966, or alvelestat, is a novel, oral small molecule Mereo is developing for the treatment of severe AATD, a potentially life-threatening rare, genetic condition caused by a lack of alpha-1 antitrypsin (“AAT”), a protein that protects the lungs from enzymatic degradation. This degradation leads to severe debilitating diseases, including early-onset pulmonary emphysema, a disease that irreversibly destroys the tissues</w:t>
      </w:r>
    </w:p>
    <w:p>
      <w:pPr>
        <w:spacing w:after="0" w:line="6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980"/>
          </w:cols>
          <w:pgMar w:left="240" w:top="445" w:right="6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40" w:right="140"/>
        <w:spacing w:after="0" w:line="269" w:lineRule="auto"/>
        <w:rPr>
          <w:sz w:val="20"/>
          <w:szCs w:val="20"/>
          <w:color w:val="auto"/>
        </w:rPr>
      </w:pPr>
      <w:r>
        <w:rPr>
          <w:rFonts w:ascii="Arial" w:cs="Arial" w:eastAsia="Arial" w:hAnsi="Arial"/>
          <w:sz w:val="17"/>
          <w:szCs w:val="17"/>
          <w:color w:val="auto"/>
        </w:rPr>
        <w:t>that support lung function. There are an estimated 50,000 patients in North America and 60,000 patients in Europe with severe AATD. MPH-966 is designed to inhibit neutrophil elastase (“NE”), a neutrophil protease, which is a key enzyme involved in the destruction of lung tissue. Mereo believes the inhibition of NE has the potential to protect AATD patients from further lung damage.</w:t>
      </w:r>
    </w:p>
    <w:p>
      <w:pPr>
        <w:spacing w:after="0" w:line="68" w:lineRule="exact"/>
        <w:rPr>
          <w:sz w:val="20"/>
          <w:szCs w:val="20"/>
          <w:color w:val="auto"/>
        </w:rPr>
      </w:pPr>
    </w:p>
    <w:p>
      <w:pPr>
        <w:ind w:left="860" w:right="20"/>
        <w:spacing w:after="0" w:line="285" w:lineRule="auto"/>
        <w:rPr>
          <w:sz w:val="20"/>
          <w:szCs w:val="20"/>
          <w:color w:val="auto"/>
        </w:rPr>
      </w:pPr>
      <w:r>
        <w:rPr>
          <w:rFonts w:ascii="Arial" w:cs="Arial" w:eastAsia="Arial" w:hAnsi="Arial"/>
          <w:sz w:val="16"/>
          <w:szCs w:val="16"/>
          <w:color w:val="auto"/>
        </w:rPr>
        <w:t>Prior to Mereo’s license of MPH-966, AstraZeneca conducted 12 clinical trials involving 1,776 subjects, including trials in bronchiectasis and cystic fibrosis (“CF”). Although these trials were conducted in diseases other than AATD, Mereo believes the data demonstrated potential clinical benefit and biomarker evidence of treatment effect for AATD patients. Mereo has initiated a Phase 2 proof-of-concept clinical trial in patients with severe AATD in the United States and the EU and expects to report top-line data from this trial in the fourth quarter of 2019.</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Non-Rare Disease Product Candidates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Our portfolio consists of the following non-rare disease product candidates:</w:t>
      </w:r>
    </w:p>
    <w:p>
      <w:pPr>
        <w:spacing w:after="0" w:line="122" w:lineRule="exact"/>
        <w:rPr>
          <w:sz w:val="20"/>
          <w:szCs w:val="20"/>
          <w:color w:val="auto"/>
        </w:rPr>
      </w:pPr>
    </w:p>
    <w:p>
      <w:pPr>
        <w:ind w:left="840" w:right="120" w:hanging="409"/>
        <w:spacing w:after="0" w:line="283" w:lineRule="auto"/>
        <w:tabs>
          <w:tab w:leader="none" w:pos="84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BCT-197: </w:t>
      </w:r>
      <w:r>
        <w:rPr>
          <w:rFonts w:ascii="Arial" w:cs="Arial" w:eastAsia="Arial" w:hAnsi="Arial"/>
          <w:sz w:val="16"/>
          <w:szCs w:val="16"/>
          <w:color w:val="auto"/>
        </w:rPr>
        <w:t>BCT-197, or acumapimod, is a p38 MAP kinase inhibitor Mereo is developing as an oral first-line acute therapy for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AECOPD. Chronic obstructive pulmonary disease (“COPD”) is a non-fully-reversible, progressive lung disease in which inflammation plays a central role. There are an estimated 16 million people in the United States and 13 million people in Europe diagnosed with COPD. Of all hospital admissions in the United States related to COPD, approximately 63% are for AECOPD patients. Mereo believes BCT-197 offers a potential new treatment for controlling inflammation by targeting pathways that drive the pathological mechanism behind AECOPD.</w:t>
      </w:r>
    </w:p>
    <w:p>
      <w:pPr>
        <w:spacing w:after="0" w:line="60" w:lineRule="exact"/>
        <w:rPr>
          <w:rFonts w:ascii="Arial" w:cs="Arial" w:eastAsia="Arial" w:hAnsi="Arial"/>
          <w:sz w:val="16"/>
          <w:szCs w:val="16"/>
          <w:color w:val="auto"/>
        </w:rPr>
      </w:pPr>
    </w:p>
    <w:p>
      <w:pPr>
        <w:ind w:left="860" w:right="160"/>
        <w:spacing w:after="0" w:line="321" w:lineRule="auto"/>
        <w:rPr>
          <w:rFonts w:ascii="Arial" w:cs="Arial" w:eastAsia="Arial" w:hAnsi="Arial"/>
          <w:sz w:val="16"/>
          <w:szCs w:val="16"/>
          <w:color w:val="auto"/>
        </w:rPr>
      </w:pPr>
      <w:r>
        <w:rPr>
          <w:rFonts w:ascii="Arial" w:cs="Arial" w:eastAsia="Arial" w:hAnsi="Arial"/>
          <w:sz w:val="15"/>
          <w:szCs w:val="15"/>
          <w:color w:val="auto"/>
        </w:rPr>
        <w:t>Since there are currently no approved therapies in the United States or the EU to treat AECOPD, Mereo believes that there is significant medical need for a drug which is disease-modifying. Mereo believes BCT-197 could potentially prevent AECOPD instead of just treating the symptoms and has the potential to improve quality of life, slow the progression of the disease, and significantly reduce direct healthcare costs.</w:t>
      </w:r>
    </w:p>
    <w:p>
      <w:pPr>
        <w:spacing w:after="0" w:line="33" w:lineRule="exact"/>
        <w:rPr>
          <w:rFonts w:ascii="Arial" w:cs="Arial" w:eastAsia="Arial" w:hAnsi="Arial"/>
          <w:sz w:val="16"/>
          <w:szCs w:val="16"/>
          <w:color w:val="auto"/>
        </w:rPr>
      </w:pPr>
    </w:p>
    <w:p>
      <w:pPr>
        <w:jc w:val="both"/>
        <w:ind w:left="860" w:right="120"/>
        <w:spacing w:after="0" w:line="269" w:lineRule="auto"/>
        <w:rPr>
          <w:rFonts w:ascii="Arial" w:cs="Arial" w:eastAsia="Arial" w:hAnsi="Arial"/>
          <w:sz w:val="16"/>
          <w:szCs w:val="16"/>
          <w:color w:val="auto"/>
        </w:rPr>
      </w:pPr>
      <w:r>
        <w:rPr>
          <w:rFonts w:ascii="Arial" w:cs="Arial" w:eastAsia="Arial" w:hAnsi="Arial"/>
          <w:sz w:val="17"/>
          <w:szCs w:val="17"/>
          <w:color w:val="auto"/>
        </w:rPr>
        <w:t>Prior to Mereo’s acquisition of BCT-197, Novartis conducted five clinical trials in 459 patients and healthy volunteers, including a Phase 2a trial in AECOPD patients that showed a clinically meaningful improvement in lung function at all doses and a statistically significant improvement in lung function at the highest dose.</w:t>
      </w:r>
    </w:p>
    <w:p>
      <w:pPr>
        <w:spacing w:after="0" w:line="67" w:lineRule="exact"/>
        <w:rPr>
          <w:rFonts w:ascii="Arial" w:cs="Arial" w:eastAsia="Arial" w:hAnsi="Arial"/>
          <w:sz w:val="16"/>
          <w:szCs w:val="16"/>
          <w:color w:val="auto"/>
        </w:rPr>
      </w:pPr>
    </w:p>
    <w:p>
      <w:pPr>
        <w:ind w:left="860"/>
        <w:spacing w:after="0" w:line="276" w:lineRule="auto"/>
        <w:rPr>
          <w:rFonts w:ascii="Arial" w:cs="Arial" w:eastAsia="Arial" w:hAnsi="Arial"/>
          <w:sz w:val="16"/>
          <w:szCs w:val="16"/>
          <w:color w:val="auto"/>
        </w:rPr>
      </w:pPr>
      <w:r>
        <w:rPr>
          <w:rFonts w:ascii="Arial" w:cs="Arial" w:eastAsia="Arial" w:hAnsi="Arial"/>
          <w:sz w:val="16"/>
          <w:szCs w:val="16"/>
          <w:color w:val="auto"/>
        </w:rPr>
        <w:t>Mereo conducted a Phase 2 dose-ranging clinical trial for BCT-197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In addition, dose-dependent, statistically significant reductions in high sensitivity C-reactive protein (“hsCRP”) and fibrinogen were shown with treatment with BCT-197, with hsCRP remaining suppressed through the 26-week observation period. Treatment with BCT-197 also showed a statistically significant reduction in the number of COPD exacerbations that required hospitalization. Consistent with these results, there was a significant reduction in the use of corticosteroid and antibiotics in the follow-up portion of the study. In addition, BCT-197 was reported to be safe and well tolerated. Based on these results, Mereo plans to enter into one or more strategic relationships with third parties for further clinical development and, if approved, commercialization, of BCT-197.</w:t>
      </w:r>
    </w:p>
    <w:p>
      <w:pPr>
        <w:spacing w:after="0" w:line="63" w:lineRule="exact"/>
        <w:rPr>
          <w:rFonts w:ascii="Arial" w:cs="Arial" w:eastAsia="Arial" w:hAnsi="Arial"/>
          <w:sz w:val="16"/>
          <w:szCs w:val="16"/>
          <w:color w:val="auto"/>
        </w:rPr>
      </w:pPr>
    </w:p>
    <w:p>
      <w:pPr>
        <w:ind w:left="860" w:right="240"/>
        <w:spacing w:after="0" w:line="269" w:lineRule="auto"/>
        <w:rPr>
          <w:rFonts w:ascii="Arial" w:cs="Arial" w:eastAsia="Arial" w:hAnsi="Arial"/>
          <w:sz w:val="16"/>
          <w:szCs w:val="16"/>
          <w:color w:val="auto"/>
        </w:rPr>
      </w:pPr>
      <w:r>
        <w:rPr>
          <w:rFonts w:ascii="Arial" w:cs="Arial" w:eastAsia="Arial" w:hAnsi="Arial"/>
          <w:sz w:val="17"/>
          <w:szCs w:val="17"/>
          <w:color w:val="auto"/>
        </w:rPr>
        <w:t>In addition, in April 2019, Mereo announced a successful end of Phase 2 meeting with the FDA regarding BCT-197. In the meeting, Mereo and the FDA discussed, and agreed in principle, an outline for the design of a pivotal Phase 3 clinical trial program to support the development of BCT-197 as a five-day treatment regimen for patients undergoing severe exacerbations of COPD.</w:t>
      </w:r>
    </w:p>
    <w:p>
      <w:pPr>
        <w:spacing w:after="0" w:line="74" w:lineRule="exact"/>
        <w:rPr>
          <w:rFonts w:ascii="Arial" w:cs="Arial" w:eastAsia="Arial" w:hAnsi="Arial"/>
          <w:sz w:val="16"/>
          <w:szCs w:val="16"/>
          <w:color w:val="auto"/>
        </w:rPr>
      </w:pPr>
    </w:p>
    <w:p>
      <w:pPr>
        <w:ind w:left="840" w:right="80" w:hanging="409"/>
        <w:spacing w:after="0" w:line="260" w:lineRule="auto"/>
        <w:tabs>
          <w:tab w:leader="none" w:pos="84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BGS-649: </w:t>
      </w:r>
      <w:r>
        <w:rPr>
          <w:rFonts w:ascii="Arial" w:cs="Arial" w:eastAsia="Arial" w:hAnsi="Arial"/>
          <w:sz w:val="17"/>
          <w:szCs w:val="17"/>
          <w:color w:val="auto"/>
        </w:rPr>
        <w:t>BGS-649, or leflutrozole, is a once-weekly oral therapy Mereo is developing for the treatment of HH in obese men. HH is a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syndrome that results from inadequate levels of testosterone. Based on World Health Organization (“WHO”), estimates and scientific data, Mereo estimates there are approximately seven million cases of HH in obese men in the United States and approximately five million cases of HH in obese men in Europe. In these men, a decline in testosterone is exacerbated by high levels of the aromatase enzyme, which is present in fat tissue and leads to a reduction in testosterone. BGS-649 is designed to inhibit the aromatase enzyme and is being developed to restore normal levels of testosterone without causing excessively high testosterone levels or reducing the levels of luteinizing hormone (“LH”), or follicle stimulating hormone (“FSH”). Both LH</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000"/>
          </w:cols>
          <w:pgMar w:left="240" w:top="445" w:right="6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840" w:right="20"/>
        <w:spacing w:after="0" w:line="269" w:lineRule="auto"/>
        <w:rPr>
          <w:sz w:val="20"/>
          <w:szCs w:val="20"/>
          <w:color w:val="auto"/>
        </w:rPr>
      </w:pPr>
      <w:r>
        <w:rPr>
          <w:rFonts w:ascii="Arial" w:cs="Arial" w:eastAsia="Arial" w:hAnsi="Arial"/>
          <w:sz w:val="17"/>
          <w:szCs w:val="17"/>
          <w:color w:val="auto"/>
        </w:rPr>
        <w:t>and FSH play key roles in sperm formation and LH plays a key role in endogenous testosterone formation. In contrast to current therapies for HH, which involve the exogenous administration of testosterone and lead to further down regulation of LH and FSH, Mereo believes that BGS-649, by preserving sperm formation through LH and FSH production, may present a benefit to patients.</w:t>
      </w:r>
    </w:p>
    <w:p>
      <w:pPr>
        <w:spacing w:after="0" w:line="68" w:lineRule="exact"/>
        <w:rPr>
          <w:sz w:val="20"/>
          <w:szCs w:val="20"/>
          <w:color w:val="auto"/>
        </w:rPr>
      </w:pPr>
    </w:p>
    <w:p>
      <w:pPr>
        <w:ind w:left="860" w:right="180"/>
        <w:spacing w:after="0" w:line="269" w:lineRule="auto"/>
        <w:rPr>
          <w:sz w:val="20"/>
          <w:szCs w:val="20"/>
          <w:color w:val="auto"/>
        </w:rPr>
      </w:pPr>
      <w:r>
        <w:rPr>
          <w:rFonts w:ascii="Arial" w:cs="Arial" w:eastAsia="Arial" w:hAnsi="Arial"/>
          <w:sz w:val="17"/>
          <w:szCs w:val="17"/>
          <w:color w:val="auto"/>
        </w:rPr>
        <w:t>Prior to Mereo’s acquisition of BGS-649, Novartis conducted seven clinical trials in 131 patients and healthy volunteers, including a Phase 2 proof-of-concept trial for HH in obese men in which BGS-649 normalized testosterone levels in all patients and demonstrated an increase in LH and FSH levels.</w:t>
      </w:r>
    </w:p>
    <w:p>
      <w:pPr>
        <w:spacing w:after="0" w:line="68" w:lineRule="exact"/>
        <w:rPr>
          <w:sz w:val="20"/>
          <w:szCs w:val="20"/>
          <w:color w:val="auto"/>
        </w:rPr>
      </w:pPr>
    </w:p>
    <w:p>
      <w:pPr>
        <w:ind w:left="860" w:right="40"/>
        <w:spacing w:after="0" w:line="294" w:lineRule="auto"/>
        <w:rPr>
          <w:sz w:val="20"/>
          <w:szCs w:val="20"/>
          <w:color w:val="auto"/>
        </w:rPr>
      </w:pPr>
      <w:r>
        <w:rPr>
          <w:rFonts w:ascii="Arial" w:cs="Arial" w:eastAsia="Arial" w:hAnsi="Arial"/>
          <w:sz w:val="15"/>
          <w:szCs w:val="15"/>
          <w:color w:val="auto"/>
        </w:rPr>
        <w:t>In March 2018, Mereo reported top-line data from its completed Phase 2b dose-ranging clinical trial of BGS-649 for the treatment of HH in obese men. The trial enrolled 271 patients who were administered placebo or one of three doses of BGS-649. The trial met its primary endpoint of normalizing testosterone levels in at least 75% of subjects after 24 weeks of treatment and all of the secondary endpoints, including normalizing testosterone in at least 90% of patients after 24 weeks of treatment at the two highest doses and improvement in LH and FSH levels at all three doses. BGS-649 was reported to be well-tolerated in the trial. A subset of 143 patients entered into a six-month safety extension study, with 88 patients completing the additional six months of treatment. The safety extension study was designed to examine if BGS-649 resulted in a pre-specified reduction in bone mineral density at 48 weeks following the initial 24 weeks treatment. In December 2018, Mereo reported positive results from the safety extension study for BGS-649. The study was successful in demonstrating that none of the doses of BGS-649 met the lower bound (95% confidence interval) of the pre-specified safety criterion of a greater than 3% reduction in lumbar spine bone mineral density after 48 weeks of treatment. In addition, there was no shift into clinical categories of osteopenia or osteoporosis, with no evidence of development of new osteopenia. The efficacy end points of testosterone, LH and FSH also showed improvements consistent with the main Phase 2b study. Mereo intends to explore strategic relationships with third parties for the further development and/or commercialization of BGS-649.</w:t>
      </w:r>
    </w:p>
    <w:p>
      <w:pPr>
        <w:spacing w:after="0" w:line="61" w:lineRule="exact"/>
        <w:rPr>
          <w:sz w:val="20"/>
          <w:szCs w:val="20"/>
          <w:color w:val="auto"/>
        </w:rPr>
      </w:pPr>
    </w:p>
    <w:p>
      <w:pPr>
        <w:ind w:left="840" w:hanging="409"/>
        <w:spacing w:after="0" w:line="259" w:lineRule="auto"/>
        <w:tabs>
          <w:tab w:leader="none" w:pos="84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 xml:space="preserve">OMP-305B83: </w:t>
      </w:r>
      <w:r>
        <w:rPr>
          <w:rFonts w:ascii="Arial" w:cs="Arial" w:eastAsia="Arial" w:hAnsi="Arial"/>
          <w:sz w:val="17"/>
          <w:szCs w:val="17"/>
          <w:color w:val="auto"/>
        </w:rPr>
        <w:t>OMP-305B83, or navicixizumab, is an anti-DLL4/VEGF bispecific antibody that targets both DLL4 in the Notch cancer stem cell</w:t>
      </w:r>
      <w:r>
        <w:rPr>
          <w:rFonts w:ascii="Arial" w:cs="Arial" w:eastAsia="Arial" w:hAnsi="Arial"/>
          <w:sz w:val="17"/>
          <w:szCs w:val="17"/>
          <w:b w:val="1"/>
          <w:bCs w:val="1"/>
          <w:color w:val="auto"/>
        </w:rPr>
        <w:t xml:space="preserve"> </w:t>
      </w:r>
      <w:r>
        <w:rPr>
          <w:rFonts w:ascii="Arial" w:cs="Arial" w:eastAsia="Arial" w:hAnsi="Arial"/>
          <w:sz w:val="17"/>
          <w:szCs w:val="17"/>
          <w:color w:val="auto"/>
        </w:rPr>
        <w:t>pathway and vascular endothelial growth factor (“VEGF”). We acquired this therapeutic candidate in the Merger with OncoMed. This antibody is intended to have anti-angiogenic plus anti-cancer stem cell activity. In a Phase 1a clinical trial, navicixizumab demonstrated single-agent anti-tumor activity and was safe enough to be administered on a regular basis. We are currently conducting a Phase 1b clinical trial of navicixizumab in combination with paclitaxel in patients with heavily pre-treated platinum-resistant ovarian cancer. Interim Phase 1b results were presented at the European Society for Medical Oncology in the fourth quarter of 2018. The patients had received a median of four prior therapies, all of whom had received prior paclitaxel and 69% had received prior bevacizumab. 22 of the 26 patients (85%) treated with the regimen experienced clinical benefit. Notably 11 of the 26 patients (42%) achieved a partial response and the median progression-free survival was 5.4 months (95% Cl: 3.5-8 months).</w:t>
      </w:r>
    </w:p>
    <w:p>
      <w:pPr>
        <w:spacing w:after="0" w:line="75" w:lineRule="exact"/>
        <w:rPr>
          <w:rFonts w:ascii="Arial" w:cs="Arial" w:eastAsia="Arial" w:hAnsi="Arial"/>
          <w:sz w:val="17"/>
          <w:szCs w:val="17"/>
          <w:color w:val="auto"/>
        </w:rPr>
      </w:pPr>
    </w:p>
    <w:p>
      <w:pPr>
        <w:ind w:left="860"/>
        <w:spacing w:after="0" w:line="284" w:lineRule="auto"/>
        <w:rPr>
          <w:rFonts w:ascii="Arial" w:cs="Arial" w:eastAsia="Arial" w:hAnsi="Arial"/>
          <w:sz w:val="17"/>
          <w:szCs w:val="17"/>
          <w:color w:val="auto"/>
        </w:rPr>
      </w:pPr>
      <w:r>
        <w:rPr>
          <w:rFonts w:ascii="Arial" w:cs="Arial" w:eastAsia="Arial" w:hAnsi="Arial"/>
          <w:sz w:val="17"/>
          <w:szCs w:val="17"/>
          <w:color w:val="auto"/>
        </w:rPr>
        <w:t>We plan to undertake regulatory interactions in the U.S. to determine the next steps for navicixizumab in platinum resistant ovarian cancer patients who have received at least two prior therapies and to pursue partnering of the program in parallel.</w:t>
      </w:r>
    </w:p>
    <w:p>
      <w:pPr>
        <w:spacing w:after="0" w:line="62" w:lineRule="exact"/>
        <w:rPr>
          <w:rFonts w:ascii="Arial" w:cs="Arial" w:eastAsia="Arial" w:hAnsi="Arial"/>
          <w:sz w:val="17"/>
          <w:szCs w:val="17"/>
          <w:color w:val="auto"/>
        </w:rPr>
      </w:pPr>
    </w:p>
    <w:p>
      <w:pPr>
        <w:ind w:left="840" w:right="40" w:hanging="409"/>
        <w:spacing w:after="0" w:line="259" w:lineRule="auto"/>
        <w:tabs>
          <w:tab w:leader="none" w:pos="84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 xml:space="preserve">OMP-313M32: </w:t>
      </w:r>
      <w:r>
        <w:rPr>
          <w:rFonts w:ascii="Arial" w:cs="Arial" w:eastAsia="Arial" w:hAnsi="Arial"/>
          <w:sz w:val="17"/>
          <w:szCs w:val="17"/>
          <w:color w:val="auto"/>
        </w:rPr>
        <w:t>OMP-313M32, or etigilimab, is an anti-TIGIT therapeutic candidate intended to activate the immune system through multiple</w:t>
      </w:r>
      <w:r>
        <w:rPr>
          <w:rFonts w:ascii="Arial" w:cs="Arial" w:eastAsia="Arial" w:hAnsi="Arial"/>
          <w:sz w:val="17"/>
          <w:szCs w:val="17"/>
          <w:b w:val="1"/>
          <w:bCs w:val="1"/>
          <w:color w:val="auto"/>
        </w:rPr>
        <w:t xml:space="preserve"> </w:t>
      </w:r>
      <w:r>
        <w:rPr>
          <w:rFonts w:ascii="Arial" w:cs="Arial" w:eastAsia="Arial" w:hAnsi="Arial"/>
          <w:sz w:val="17"/>
          <w:szCs w:val="17"/>
          <w:color w:val="auto"/>
        </w:rPr>
        <w:t>mechanisms and enable anti-tumor activity. TIGIT (T-cell immunoreceptor with Ig and ITIM domains) is an inhibitory receptor that is thought to stop T-cells from attacking tumor cells. We acquired this therapeutic candidate in the Merger with OncoMed. A Phase 1a/b clinical trial enrolled patients with advanced solid tumors into either a Phase 1a single-agent portion (dose escalation in all patients and expansion in selected tumor types) or Phase 1b combination portion in selected tumor types with nivolumab (dose escalation) 18 patients were treated in the dose escalation study with doses up to 20mg/kg every two weeks. Tumor types included colorectal cancer (6), endometrial cancer (2), pancreatic cancer (1) and 8 other tumor types. No dose limiting toxicities were observed and the recommended Phase 2 dose was the top dose of 20mg/kg biweekly. The dose escalation in Phase 1b are ongoing.</w:t>
      </w:r>
    </w:p>
    <w:p>
      <w:pPr>
        <w:spacing w:after="0" w:line="79" w:lineRule="exact"/>
        <w:rPr>
          <w:rFonts w:ascii="Arial" w:cs="Arial" w:eastAsia="Arial" w:hAnsi="Arial"/>
          <w:sz w:val="17"/>
          <w:szCs w:val="17"/>
          <w:color w:val="auto"/>
        </w:rPr>
      </w:pPr>
    </w:p>
    <w:p>
      <w:pPr>
        <w:ind w:left="860" w:right="20"/>
        <w:spacing w:after="0" w:line="261" w:lineRule="auto"/>
        <w:rPr>
          <w:rFonts w:ascii="Arial" w:cs="Arial" w:eastAsia="Arial" w:hAnsi="Arial"/>
          <w:sz w:val="17"/>
          <w:szCs w:val="17"/>
          <w:color w:val="auto"/>
        </w:rPr>
      </w:pPr>
      <w:r>
        <w:rPr>
          <w:rFonts w:ascii="Arial" w:cs="Arial" w:eastAsia="Arial" w:hAnsi="Arial"/>
          <w:sz w:val="17"/>
          <w:szCs w:val="17"/>
          <w:color w:val="auto"/>
        </w:rPr>
        <w:t>The TIGIT program is subject to an exclusive license option with Celgene Corporation (“Celgene”) as part of a Master Research and Collaboration Agreement by and among Celgene and OncoMed, dated December 2, 2013 (the “Collaboration Agreement”). If Celgene exercises its option under the Collaboration Agreement, OncoMed would receive a $35.0 million up-front option fee and, potentially, additional future development milestones and royalties. See “Item 4. Information On the Company—B. Business Overview—Material Agreements—Collaboration Agreement with Celgene.”</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980"/>
          </w:cols>
          <w:pgMar w:left="240" w:top="445" w:right="6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Mereo’s Strategy</w:t>
      </w:r>
    </w:p>
    <w:p>
      <w:pPr>
        <w:spacing w:after="0" w:line="121" w:lineRule="exact"/>
        <w:rPr>
          <w:sz w:val="20"/>
          <w:szCs w:val="20"/>
          <w:color w:val="auto"/>
        </w:rPr>
      </w:pPr>
    </w:p>
    <w:p>
      <w:pPr>
        <w:ind w:left="440" w:right="340" w:firstLine="423"/>
        <w:spacing w:after="0" w:line="284" w:lineRule="auto"/>
        <w:rPr>
          <w:sz w:val="20"/>
          <w:szCs w:val="20"/>
          <w:color w:val="auto"/>
        </w:rPr>
      </w:pPr>
      <w:r>
        <w:rPr>
          <w:rFonts w:ascii="Arial" w:cs="Arial" w:eastAsia="Arial" w:hAnsi="Arial"/>
          <w:sz w:val="17"/>
          <w:szCs w:val="17"/>
          <w:color w:val="auto"/>
        </w:rPr>
        <w:t>Mereo intends to become a leading biopharmaceutical company developing innovative therapeutics that aim to improve outcomes for patients with rare bone, respiratory and endocrine diseases. The key elements of Mereo’s strategy to achieve this goal include:</w:t>
      </w:r>
    </w:p>
    <w:p>
      <w:pPr>
        <w:spacing w:after="0" w:line="68" w:lineRule="exact"/>
        <w:rPr>
          <w:sz w:val="20"/>
          <w:szCs w:val="20"/>
          <w:color w:val="auto"/>
        </w:rPr>
      </w:pPr>
    </w:p>
    <w:p>
      <w:pPr>
        <w:ind w:left="840" w:right="120" w:hanging="409"/>
        <w:spacing w:after="0" w:line="257" w:lineRule="auto"/>
        <w:tabs>
          <w:tab w:leader="none" w:pos="84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Rapidly develop and directly commercialize Mereo’s rare disease product candidates. </w:t>
      </w:r>
      <w:r>
        <w:rPr>
          <w:rFonts w:ascii="Arial" w:cs="Arial" w:eastAsia="Arial" w:hAnsi="Arial"/>
          <w:sz w:val="17"/>
          <w:szCs w:val="17"/>
          <w:color w:val="auto"/>
        </w:rPr>
        <w:t>Mereo has commenced a Phase 2b clinical trial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BPS-804 for the treatment of OI in adults in the United States, Europe and Canada. If the results from this trial are favorable and Mereo’s use of HRpQCT as a biomarker for fracture is validated, Mereo intends to submit a CMA to the EMA for the treatment of adults with OI in the EU. Mereo also intends to commence a Phase 3 clinical trial of BPS-804 for the treatment of OI in children in 2019. Mereo expects that the results from this trial, if favorable, will be sufficient to validate its use of HRpQCT and support the submission of a MAA to the EMA for BPS-804 for the treatment of children with severe OI in the EU. Mereo has commenced a Phase 2 clinical trial of MPH-966 for the treatment of severe AATD and expect to report top-line data in the fourth quarter of 2019. If the results are favorable and pending regulatory feedback, Mereo intends to continue to develop MPH-966 toward approval and commercialization. For BPS-804 and MPH-966, if approved, and for any future product candidates for rare diseases, Mereo intends either to establish a sales and marketing organization with technical expertise and supporting distribution capabilities to commercialize these product candidates in major markets or potentially to outsource aspects of these functions to third parties.</w:t>
      </w:r>
    </w:p>
    <w:p>
      <w:pPr>
        <w:spacing w:after="0" w:line="93" w:lineRule="exact"/>
        <w:rPr>
          <w:rFonts w:ascii="Arial" w:cs="Arial" w:eastAsia="Arial" w:hAnsi="Arial"/>
          <w:sz w:val="17"/>
          <w:szCs w:val="17"/>
          <w:color w:val="auto"/>
        </w:rPr>
      </w:pPr>
    </w:p>
    <w:p>
      <w:pPr>
        <w:ind w:left="840" w:right="120" w:hanging="409"/>
        <w:spacing w:after="0" w:line="278" w:lineRule="auto"/>
        <w:tabs>
          <w:tab w:leader="none" w:pos="84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Efficiently advance Mereo’s specialty disease product candidates and explore strategic relationships with third parties for further clinical development and/or commercialization. </w:t>
      </w:r>
      <w:r>
        <w:rPr>
          <w:rFonts w:ascii="Arial" w:cs="Arial" w:eastAsia="Arial" w:hAnsi="Arial"/>
          <w:sz w:val="16"/>
          <w:szCs w:val="16"/>
          <w:color w:val="auto"/>
        </w:rPr>
        <w:t>Based on the results from Mereo’s Phase 2 clinical trial of BCT-197, Mereo plans to enter into one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strategic relationships with third parties for BCT-197 to undertake the next phase of clinical development and, if approved, commercialization. In March 2018, Mereo reported top-line Phase 2b data for BGS-649 for the treatment of HH and in December 2018, Mereo reported positive results from the safety extension study for BGS-649. Mereo intends to explore strategic relationships with third parties for the further development and commercialization of BGS-649. In addition, we plan to enter into strategic relationships with third parties for the further development of OMP-305B83 and OMP-313M32, which we acquired in the Merger.</w:t>
      </w:r>
    </w:p>
    <w:p>
      <w:pPr>
        <w:spacing w:after="0" w:line="74" w:lineRule="exact"/>
        <w:rPr>
          <w:rFonts w:ascii="Arial" w:cs="Arial" w:eastAsia="Arial" w:hAnsi="Arial"/>
          <w:sz w:val="16"/>
          <w:szCs w:val="16"/>
          <w:color w:val="auto"/>
        </w:rPr>
      </w:pPr>
    </w:p>
    <w:p>
      <w:pPr>
        <w:jc w:val="both"/>
        <w:ind w:left="840" w:hanging="409"/>
        <w:spacing w:after="0" w:line="293" w:lineRule="auto"/>
        <w:tabs>
          <w:tab w:leader="none" w:pos="84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our current anti-cancer therapeutic candidates in clinical trials to determine their utility as treatments for cancer. </w:t>
      </w:r>
      <w:r>
        <w:rPr>
          <w:rFonts w:ascii="Arial" w:cs="Arial" w:eastAsia="Arial" w:hAnsi="Arial"/>
          <w:sz w:val="16"/>
          <w:szCs w:val="16"/>
          <w:color w:val="auto"/>
        </w:rPr>
        <w:t>Our Phase 1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trials with navicixizumab and etigilimab are designed to establish the maximum tolerated dose and safety profile, identify a therapeutic index, and look for initial indications of efficacy and biomarker effects of our drugs alone or as part of a combination regimen.</w:t>
      </w:r>
    </w:p>
    <w:p>
      <w:pPr>
        <w:spacing w:after="0" w:line="64" w:lineRule="exact"/>
        <w:rPr>
          <w:rFonts w:ascii="Arial" w:cs="Arial" w:eastAsia="Arial" w:hAnsi="Arial"/>
          <w:sz w:val="16"/>
          <w:szCs w:val="16"/>
          <w:color w:val="auto"/>
        </w:rPr>
      </w:pPr>
    </w:p>
    <w:p>
      <w:pPr>
        <w:ind w:left="840" w:right="120" w:hanging="409"/>
        <w:spacing w:after="0" w:line="297" w:lineRule="auto"/>
        <w:tabs>
          <w:tab w:leader="none" w:pos="840" w:val="left"/>
        </w:tabs>
        <w:numPr>
          <w:ilvl w:val="0"/>
          <w:numId w:val="4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Leverage Mereo’s expertise in business development to expand its pipeline of product candidates. </w:t>
      </w:r>
      <w:r>
        <w:rPr>
          <w:rFonts w:ascii="Arial" w:cs="Arial" w:eastAsia="Arial" w:hAnsi="Arial"/>
          <w:sz w:val="15"/>
          <w:szCs w:val="15"/>
          <w:color w:val="auto"/>
        </w:rPr>
        <w:t>Mereo’s senior management team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extensive relationships with large pharmaceutical and biotechnology companies, as evidenced by the acquisition of four of Mereo’s clinical-stage product candidates. Mereo intends to leverage these relationships to grow its pipeline with a focus on rare bone, endocrine, and respiratory diseases. Mereo intends to continue to identify, acquire, develop, and ultimately commercialize novel product candidates that have received significant investment from large pharmaceutical companies. Mereo will continue to focus on acquiring product candidates with either proof-of-concept clinical data in its target indication or with clinical data in a related disease and a strong scientific rationale that supports development in its target indication. Using a disciplined approach, Mereo intends to continue building a diverse portfolio of product candidates that it believes have compelling market potential, robust pre-clinical, clinical, and manufacturing data packages, and a clear regulatory pathway.</w:t>
      </w:r>
    </w:p>
    <w:p>
      <w:pPr>
        <w:spacing w:after="0" w:line="66" w:lineRule="exact"/>
        <w:rPr>
          <w:rFonts w:ascii="Arial" w:cs="Arial" w:eastAsia="Arial" w:hAnsi="Arial"/>
          <w:sz w:val="15"/>
          <w:szCs w:val="15"/>
          <w:color w:val="auto"/>
        </w:rPr>
      </w:pPr>
    </w:p>
    <w:p>
      <w:pPr>
        <w:ind w:left="840" w:right="20" w:hanging="409"/>
        <w:spacing w:after="0" w:line="279" w:lineRule="auto"/>
        <w:tabs>
          <w:tab w:leader="none" w:pos="84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be a partner of choice for large pharmaceutical and biotechnology companies. </w:t>
      </w:r>
      <w:r>
        <w:rPr>
          <w:rFonts w:ascii="Arial" w:cs="Arial" w:eastAsia="Arial" w:hAnsi="Arial"/>
          <w:sz w:val="16"/>
          <w:szCs w:val="16"/>
          <w:color w:val="auto"/>
        </w:rPr>
        <w:t>Mereo believes that it is a preferred partner for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and biotechnology companies as it seeks to unlock the potential in its development pipelines and deliver therapeutics to patients in areas of high unmet medical need. Mereo has strong relationships with these companies, as evidenced by its agreements with Novartis and AstraZeneca, and a track record of structuring transactions that enable Mereo to leverage its core development capabilities while creating value for all stakeholders. Mereo intends to continue to enter into strategic relationships that align its interests with those of large pharmaceutical and biotechnology companies and that it believes to be mutually beneficial.</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000"/>
          </w:cols>
          <w:pgMar w:left="240" w:top="445" w:right="65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BPS-804 (setrusumab) for the Treatment of Osteogenesis Imperfecta</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Overview</w:t>
      </w:r>
    </w:p>
    <w:p>
      <w:pPr>
        <w:spacing w:after="0" w:line="115"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Mereo is developing BPS-804 (setrusumab) for the treatment of OI. BPS-804 is a novel, intravenously administered antibody that is designed to inhibit sclerostin, a protein that inhibits the activity of bone-forming cells, known as osteoblasts. Mereo believes that by blocking sclerostin, BPS-804 has the potential to induce or increase osteoblast function and maturation of these cells, increasing bone formation and reducing bone resorption, thereby reducing fractures in OI patients.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Background of Osteogenesis Imperfecta</w:t>
      </w:r>
    </w:p>
    <w:p>
      <w:pPr>
        <w:spacing w:after="0" w:line="115" w:lineRule="exact"/>
        <w:rPr>
          <w:sz w:val="20"/>
          <w:szCs w:val="20"/>
          <w:color w:val="auto"/>
        </w:rPr>
      </w:pPr>
    </w:p>
    <w:p>
      <w:pPr>
        <w:ind w:left="440" w:right="80" w:firstLine="423"/>
        <w:spacing w:after="0" w:line="301" w:lineRule="auto"/>
        <w:rPr>
          <w:sz w:val="20"/>
          <w:szCs w:val="20"/>
          <w:color w:val="auto"/>
        </w:rPr>
      </w:pPr>
      <w:r>
        <w:rPr>
          <w:rFonts w:ascii="Arial" w:cs="Arial" w:eastAsia="Arial" w:hAnsi="Arial"/>
          <w:sz w:val="15"/>
          <w:szCs w:val="15"/>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 minimum of 20,000 people, an incidence rate of 6.2 out of 100,000, in the United States, according to estimates by the Osteogenesis Imperfecta Foundation, and approximately 32,000 people, an incidence rate of 10 out of 100,000, in Germany, Spain, France, Italy, and the United Kingdom, according to estimates by Orphanet.</w:t>
      </w:r>
    </w:p>
    <w:p>
      <w:pPr>
        <w:spacing w:after="0" w:line="152" w:lineRule="exact"/>
        <w:rPr>
          <w:sz w:val="20"/>
          <w:szCs w:val="20"/>
          <w:color w:val="auto"/>
        </w:rPr>
      </w:pPr>
    </w:p>
    <w:p>
      <w:pPr>
        <w:ind w:left="440" w:right="20" w:firstLine="423"/>
        <w:spacing w:after="0" w:line="261" w:lineRule="auto"/>
        <w:rPr>
          <w:sz w:val="20"/>
          <w:szCs w:val="20"/>
          <w:color w:val="auto"/>
        </w:rPr>
      </w:pPr>
      <w:r>
        <w:rPr>
          <w:rFonts w:ascii="Arial" w:cs="Arial" w:eastAsia="Arial" w:hAnsi="Arial"/>
          <w:sz w:val="17"/>
          <w:szCs w:val="17"/>
          <w:color w:val="auto"/>
        </w:rPr>
        <w:t>There are eight recognized forms of OI, designated type I through type VIII. Type I is the least severe form, while type II is the most severe and frequently causes death at or shortly after birth. The most prevalent form of OI is type I, which is estimated to occur in approximately 50% to 60% of OI patients. The less severe forms of OI, such as type I and type IV, are characterized by broken bones, often as a result of minor trauma. Patients typically have a blue or gray tint to the sclera, the part of the eye that is usually white, and are at risk of hearing loss in adulthood. Individuals affected by less severe types of OI are usually of normal height and have normal life spans.</w:t>
      </w:r>
    </w:p>
    <w:p>
      <w:pPr>
        <w:spacing w:after="0" w:line="180" w:lineRule="exact"/>
        <w:rPr>
          <w:sz w:val="20"/>
          <w:szCs w:val="20"/>
          <w:color w:val="auto"/>
        </w:rPr>
      </w:pPr>
    </w:p>
    <w:p>
      <w:pPr>
        <w:ind w:left="440" w:right="100" w:firstLine="423"/>
        <w:spacing w:after="0" w:line="261" w:lineRule="auto"/>
        <w:rPr>
          <w:sz w:val="20"/>
          <w:szCs w:val="20"/>
          <w:color w:val="auto"/>
        </w:rPr>
      </w:pPr>
      <w:r>
        <w:rPr>
          <w:rFonts w:ascii="Arial" w:cs="Arial" w:eastAsia="Arial" w:hAnsi="Arial"/>
          <w:sz w:val="17"/>
          <w:szCs w:val="17"/>
          <w:color w:val="auto"/>
        </w:rPr>
        <w:t>In addition to the features of less severe forms of OI, type III patients are characterized by frequent bone fractures starting even before birth, respiratory problems, short stature, a disorder of tooth development, and reduced life expectancy as a result of respiratory failure. Type III OI is characterized by extreme growth deficiency and typically scoliosis, and patients may require wheelchairs for mobility. 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Current Treatment Landscape for Osteogenesis Imperfecta</w:t>
      </w:r>
    </w:p>
    <w:p>
      <w:pPr>
        <w:spacing w:after="0" w:line="115" w:lineRule="exact"/>
        <w:rPr>
          <w:sz w:val="20"/>
          <w:szCs w:val="20"/>
          <w:color w:val="auto"/>
        </w:rPr>
      </w:pPr>
    </w:p>
    <w:p>
      <w:pPr>
        <w:ind w:left="440" w:right="600" w:firstLine="423"/>
        <w:spacing w:after="0" w:line="269" w:lineRule="auto"/>
        <w:rPr>
          <w:sz w:val="20"/>
          <w:szCs w:val="20"/>
          <w:color w:val="auto"/>
        </w:rPr>
      </w:pPr>
      <w:r>
        <w:rPr>
          <w:rFonts w:ascii="Arial" w:cs="Arial" w:eastAsia="Arial" w:hAnsi="Arial"/>
          <w:sz w:val="17"/>
          <w:szCs w:val="17"/>
          <w:color w:val="auto"/>
        </w:rPr>
        <w:t>There are no therapies approved by the FDA or EMA for the treatment of OI. The only treatments available to OI patients are the acute management of fractures as they occur and bisphosphonate drugs, which are not approved for this indication but are commonly used off-label in children.</w:t>
      </w:r>
    </w:p>
    <w:p>
      <w:pPr>
        <w:spacing w:after="0" w:line="171" w:lineRule="exact"/>
        <w:rPr>
          <w:sz w:val="20"/>
          <w:szCs w:val="20"/>
          <w:color w:val="auto"/>
        </w:rPr>
      </w:pPr>
    </w:p>
    <w:p>
      <w:pPr>
        <w:ind w:left="440" w:right="120" w:firstLine="423"/>
        <w:spacing w:after="0" w:line="264" w:lineRule="auto"/>
        <w:rPr>
          <w:sz w:val="20"/>
          <w:szCs w:val="20"/>
          <w:color w:val="auto"/>
        </w:rPr>
      </w:pPr>
      <w:r>
        <w:rPr>
          <w:rFonts w:ascii="Arial" w:cs="Arial" w:eastAsia="Arial" w:hAnsi="Arial"/>
          <w:sz w:val="17"/>
          <w:szCs w:val="17"/>
          <w:color w:val="auto"/>
        </w:rPr>
        <w:t>Current treatment of OI is directed towards management of fractures with casting or surgical fixation. Following either of these, physical therapy will often be required. Preventative surgeries, such as intramedullary, or in-bone, nailing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176" w:lineRule="exact"/>
        <w:rPr>
          <w:sz w:val="20"/>
          <w:szCs w:val="20"/>
          <w:color w:val="auto"/>
        </w:rPr>
      </w:pPr>
    </w:p>
    <w:p>
      <w:pPr>
        <w:ind w:left="440" w:right="20" w:firstLine="423"/>
        <w:spacing w:after="0" w:line="279" w:lineRule="auto"/>
        <w:rPr>
          <w:sz w:val="20"/>
          <w:szCs w:val="20"/>
          <w:color w:val="auto"/>
        </w:rPr>
      </w:pPr>
      <w:r>
        <w:rPr>
          <w:rFonts w:ascii="Arial" w:cs="Arial" w:eastAsia="Arial" w:hAnsi="Arial"/>
          <w:sz w:val="16"/>
          <w:szCs w:val="16"/>
          <w:color w:val="auto"/>
        </w:rPr>
        <w:t>Some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Mereo is not aware of any long-term clinical studies demonstrating an improvement in fractures in adults and the effect of long-term therapy with these drugs remains unclear. Therefore, Mereo believes the effect of bisphosphonate drugs on fractures, growth, bone deformity, mobility, and pain remains unclear in both adults and children. Despite not being approved, bisphosphonates are effectively the standard of care in children, especially those with more severe disease.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980"/>
          </w:cols>
          <w:pgMar w:left="240" w:top="445" w:right="67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Mereo’s Approach</w:t>
      </w:r>
    </w:p>
    <w:p>
      <w:pPr>
        <w:spacing w:after="0" w:line="115" w:lineRule="exact"/>
        <w:rPr>
          <w:sz w:val="20"/>
          <w:szCs w:val="20"/>
          <w:color w:val="auto"/>
        </w:rPr>
      </w:pPr>
    </w:p>
    <w:p>
      <w:pPr>
        <w:ind w:left="440" w:right="240" w:firstLine="423"/>
        <w:spacing w:after="0" w:line="261" w:lineRule="auto"/>
        <w:rPr>
          <w:sz w:val="20"/>
          <w:szCs w:val="20"/>
          <w:color w:val="auto"/>
        </w:rPr>
      </w:pPr>
      <w:r>
        <w:rPr>
          <w:rFonts w:ascii="Arial" w:cs="Arial" w:eastAsia="Arial" w:hAnsi="Arial"/>
          <w:sz w:val="17"/>
          <w:szCs w:val="17"/>
          <w:color w:val="auto"/>
        </w:rPr>
        <w:t>Mereo’s product candidate for treating OI is BPS-804, a fully human monoclonal antibody that is designed to inhibit sclerostin. Sclerostin is produced in osteocytes, which are mature bone cells that are thought to be the mechanoreceptor cells that regulate the activity of bone-building osteoblasts and bone-resorbing osteoclasts. Sclerostin inhibits the activity of osteoblasts. Mereo believes that by blocking sclerostin, BPS-804 has the potential to induce or increase osteoblast activity and maturation of these cells, increasing bone formation and reducing bone resorption, thereby reducing fractures in OI patients.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Clinical Development of BPS-804</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table summarizes the historical, current and planned clinical trials of BPS-804:</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Historical Trials</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Current Trials</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Planned Trials</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2"/>
              </w:rPr>
              <w:t>Subjects</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Planned</w:t>
            </w: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77"/>
              </w:rPr>
              <w:t>Phase</w:t>
            </w:r>
          </w:p>
        </w:tc>
        <w:tc>
          <w:tcPr>
            <w:tcW w:w="60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Population</w:t>
            </w:r>
          </w:p>
        </w:tc>
        <w:tc>
          <w:tcPr>
            <w:tcW w:w="90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9"/>
              </w:rPr>
              <w:t>Treated with</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Phase</w:t>
            </w:r>
          </w:p>
        </w:tc>
        <w:tc>
          <w:tcPr>
            <w:tcW w:w="22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Population</w:t>
            </w: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Enrollment</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Phase</w:t>
            </w: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Population</w:t>
            </w:r>
          </w:p>
        </w:tc>
        <w:tc>
          <w:tcPr>
            <w:tcW w:w="900" w:type="dxa"/>
            <w:vAlign w:val="bottom"/>
            <w:gridSpan w:val="2"/>
            <w:vMerge w:val="continue"/>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Target Start</w:t>
            </w:r>
          </w:p>
        </w:tc>
        <w:tc>
          <w:tcPr>
            <w:tcW w:w="0" w:type="dxa"/>
            <w:vAlign w:val="bottom"/>
          </w:tcPr>
          <w:p>
            <w:pPr>
              <w:spacing w:after="0"/>
              <w:rPr>
                <w:sz w:val="1"/>
                <w:szCs w:val="1"/>
                <w:color w:val="auto"/>
              </w:rPr>
            </w:pPr>
          </w:p>
        </w:tc>
      </w:tr>
      <w:tr>
        <w:trPr>
          <w:trHeight w:val="172"/>
        </w:trPr>
        <w:tc>
          <w:tcPr>
            <w:tcW w:w="340" w:type="dxa"/>
            <w:vAlign w:val="bottom"/>
            <w:tcBorders>
              <w:bottom w:val="single" w:sz="8" w:color="auto"/>
            </w:tcBorders>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900" w:type="dxa"/>
            <w:vAlign w:val="bottom"/>
            <w:gridSpan w:val="2"/>
          </w:tcPr>
          <w:p>
            <w:pPr>
              <w:jc w:val="center"/>
              <w:ind w:right="160"/>
              <w:spacing w:after="0" w:line="152" w:lineRule="exact"/>
              <w:rPr>
                <w:sz w:val="20"/>
                <w:szCs w:val="20"/>
                <w:color w:val="auto"/>
              </w:rPr>
            </w:pPr>
            <w:r>
              <w:rPr>
                <w:rFonts w:ascii="Arial" w:cs="Arial" w:eastAsia="Arial" w:hAnsi="Arial"/>
                <w:sz w:val="14"/>
                <w:szCs w:val="14"/>
                <w:b w:val="1"/>
                <w:bCs w:val="1"/>
                <w:color w:val="auto"/>
                <w:w w:val="87"/>
              </w:rPr>
              <w:t>BPS-804</w:t>
            </w: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0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2"/>
              </w:rPr>
              <w:t>Enrollment</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4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7"/>
                <w:szCs w:val="17"/>
                <w:color w:val="auto"/>
              </w:rPr>
              <w:t>Phase 1</w:t>
            </w:r>
          </w:p>
        </w:tc>
        <w:tc>
          <w:tcPr>
            <w:tcW w:w="4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w w:val="91"/>
              </w:rPr>
              <w:t>Healthy Volunteers</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w w:val="94"/>
              </w:rPr>
              <w:t>30</w:t>
            </w: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60"/>
              <w:spacing w:after="0" w:line="180" w:lineRule="exact"/>
              <w:rPr>
                <w:sz w:val="20"/>
                <w:szCs w:val="20"/>
                <w:color w:val="auto"/>
              </w:rPr>
            </w:pPr>
            <w:r>
              <w:rPr>
                <w:rFonts w:ascii="Arial" w:cs="Arial" w:eastAsia="Arial" w:hAnsi="Arial"/>
                <w:sz w:val="17"/>
                <w:szCs w:val="17"/>
                <w:color w:val="auto"/>
                <w:w w:val="83"/>
              </w:rPr>
              <w:t>Phase 2b</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40"/>
              <w:spacing w:after="0" w:line="180" w:lineRule="exact"/>
              <w:rPr>
                <w:sz w:val="20"/>
                <w:szCs w:val="20"/>
                <w:color w:val="auto"/>
              </w:rPr>
            </w:pPr>
            <w:r>
              <w:rPr>
                <w:rFonts w:ascii="Arial" w:cs="Arial" w:eastAsia="Arial" w:hAnsi="Arial"/>
                <w:sz w:val="17"/>
                <w:szCs w:val="17"/>
                <w:color w:val="auto"/>
                <w:w w:val="95"/>
              </w:rPr>
              <w:t>OI (adult)</w:t>
            </w: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82"/>
              <w:spacing w:after="0" w:line="180" w:lineRule="exact"/>
              <w:rPr>
                <w:sz w:val="20"/>
                <w:szCs w:val="20"/>
                <w:color w:val="auto"/>
              </w:rPr>
            </w:pPr>
            <w:r>
              <w:rPr>
                <w:rFonts w:ascii="Arial" w:cs="Arial" w:eastAsia="Arial" w:hAnsi="Arial"/>
                <w:sz w:val="17"/>
                <w:szCs w:val="17"/>
                <w:color w:val="auto"/>
              </w:rPr>
              <w:t>112</w:t>
            </w: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60"/>
              <w:spacing w:after="0" w:line="180" w:lineRule="exact"/>
              <w:rPr>
                <w:sz w:val="20"/>
                <w:szCs w:val="20"/>
                <w:color w:val="auto"/>
              </w:rPr>
            </w:pPr>
            <w:r>
              <w:rPr>
                <w:rFonts w:ascii="Arial" w:cs="Arial" w:eastAsia="Arial" w:hAnsi="Arial"/>
                <w:sz w:val="17"/>
                <w:szCs w:val="17"/>
                <w:color w:val="auto"/>
                <w:w w:val="83"/>
              </w:rPr>
              <w:t>Phase 3</w:t>
            </w: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ind w:left="60"/>
              <w:spacing w:after="0" w:line="180" w:lineRule="exact"/>
              <w:rPr>
                <w:sz w:val="20"/>
                <w:szCs w:val="20"/>
                <w:color w:val="auto"/>
              </w:rPr>
            </w:pPr>
            <w:r>
              <w:rPr>
                <w:rFonts w:ascii="Arial" w:cs="Arial" w:eastAsia="Arial" w:hAnsi="Arial"/>
                <w:sz w:val="17"/>
                <w:szCs w:val="17"/>
                <w:color w:val="auto"/>
                <w:w w:val="93"/>
              </w:rPr>
              <w:t>OI (pediatrics)</w:t>
            </w: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45"/>
              <w:spacing w:after="0" w:line="180" w:lineRule="exact"/>
              <w:rPr>
                <w:sz w:val="20"/>
                <w:szCs w:val="20"/>
                <w:color w:val="auto"/>
              </w:rPr>
            </w:pPr>
            <w:r>
              <w:rPr>
                <w:rFonts w:ascii="Arial" w:cs="Arial" w:eastAsia="Arial" w:hAnsi="Arial"/>
                <w:sz w:val="17"/>
                <w:szCs w:val="17"/>
                <w:color w:val="auto"/>
              </w:rPr>
              <w:t>~160</w:t>
            </w: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w w:val="86"/>
              </w:rPr>
              <w:t>Phase 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0"/>
              </w:rPr>
              <w:t>(postmenopausal</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4"/>
              </w:rPr>
              <w:t>ready in EU</w:t>
            </w:r>
          </w:p>
        </w:tc>
        <w:tc>
          <w:tcPr>
            <w:tcW w:w="0" w:type="dxa"/>
            <w:vAlign w:val="bottom"/>
          </w:tcPr>
          <w:p>
            <w:pPr>
              <w:spacing w:after="0"/>
              <w:rPr>
                <w:sz w:val="1"/>
                <w:szCs w:val="1"/>
                <w:color w:val="auto"/>
              </w:rPr>
            </w:pPr>
          </w:p>
        </w:tc>
      </w:tr>
      <w:tr>
        <w:trPr>
          <w:trHeight w:val="220"/>
        </w:trPr>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5"/>
              </w:rPr>
              <w:t>women)</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40" w:type="dxa"/>
            <w:vAlign w:val="bottom"/>
            <w:gridSpan w:val="2"/>
          </w:tcPr>
          <w:p>
            <w:pPr>
              <w:spacing w:after="0"/>
              <w:rPr>
                <w:sz w:val="20"/>
                <w:szCs w:val="20"/>
                <w:color w:val="auto"/>
              </w:rPr>
            </w:pPr>
            <w:r>
              <w:rPr>
                <w:rFonts w:ascii="Arial" w:cs="Arial" w:eastAsia="Arial" w:hAnsi="Arial"/>
                <w:sz w:val="17"/>
                <w:szCs w:val="17"/>
                <w:color w:val="auto"/>
              </w:rPr>
              <w:t>Phase 2</w:t>
            </w:r>
          </w:p>
        </w:tc>
        <w:tc>
          <w:tcPr>
            <w:tcW w:w="440" w:type="dxa"/>
            <w:vAlign w:val="bottom"/>
          </w:tcPr>
          <w:p>
            <w:pPr>
              <w:spacing w:after="0"/>
              <w:rPr>
                <w:sz w:val="18"/>
                <w:szCs w:val="18"/>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Hypophosphatasia</w:t>
            </w:r>
          </w:p>
        </w:tc>
        <w:tc>
          <w:tcPr>
            <w:tcW w:w="740" w:type="dxa"/>
            <w:vAlign w:val="bottom"/>
          </w:tcPr>
          <w:p>
            <w:pPr>
              <w:jc w:val="center"/>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Phase 2</w:t>
            </w:r>
          </w:p>
        </w:tc>
        <w:tc>
          <w:tcPr>
            <w:tcW w:w="4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5"/>
              </w:rPr>
              <w:t>Women with Low</w:t>
            </w: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3"/>
              </w:rPr>
              <w:t>Bone Mineral</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5"/>
              </w:rPr>
              <w:t>Density</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36</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40" w:type="dxa"/>
            <w:vAlign w:val="bottom"/>
            <w:gridSpan w:val="2"/>
          </w:tcPr>
          <w:p>
            <w:pPr>
              <w:spacing w:after="0"/>
              <w:rPr>
                <w:sz w:val="20"/>
                <w:szCs w:val="20"/>
                <w:color w:val="auto"/>
              </w:rPr>
            </w:pPr>
            <w:r>
              <w:rPr>
                <w:rFonts w:ascii="Arial" w:cs="Arial" w:eastAsia="Arial" w:hAnsi="Arial"/>
                <w:sz w:val="17"/>
                <w:szCs w:val="17"/>
                <w:color w:val="auto"/>
              </w:rPr>
              <w:t>Phase 2</w:t>
            </w:r>
          </w:p>
        </w:tc>
        <w:tc>
          <w:tcPr>
            <w:tcW w:w="440" w:type="dxa"/>
            <w:vAlign w:val="bottom"/>
          </w:tcPr>
          <w:p>
            <w:pPr>
              <w:spacing w:after="0"/>
              <w:rPr>
                <w:sz w:val="19"/>
                <w:szCs w:val="19"/>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7"/>
                <w:szCs w:val="17"/>
                <w:color w:val="auto"/>
                <w:w w:val="99"/>
              </w:rPr>
              <w:t>OI</w:t>
            </w:r>
          </w:p>
        </w:tc>
        <w:tc>
          <w:tcPr>
            <w:tcW w:w="740" w:type="dxa"/>
            <w:vAlign w:val="bottom"/>
          </w:tcPr>
          <w:p>
            <w:pPr>
              <w:jc w:val="center"/>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Phase 1 and Phase 2 Clinical Trials in Other Indications</w:t>
      </w:r>
    </w:p>
    <w:p>
      <w:pPr>
        <w:spacing w:after="0" w:line="115" w:lineRule="exact"/>
        <w:rPr>
          <w:sz w:val="20"/>
          <w:szCs w:val="20"/>
          <w:color w:val="auto"/>
        </w:rPr>
      </w:pPr>
    </w:p>
    <w:p>
      <w:pPr>
        <w:ind w:left="440" w:right="220" w:firstLine="423"/>
        <w:spacing w:after="0" w:line="264" w:lineRule="auto"/>
        <w:rPr>
          <w:sz w:val="20"/>
          <w:szCs w:val="20"/>
          <w:color w:val="auto"/>
        </w:rPr>
      </w:pPr>
      <w:r>
        <w:rPr>
          <w:rFonts w:ascii="Arial" w:cs="Arial" w:eastAsia="Arial" w:hAnsi="Arial"/>
          <w:sz w:val="17"/>
          <w:szCs w:val="17"/>
          <w:color w:val="auto"/>
        </w:rPr>
        <w:t>Novartis performed a Phase 1 single ascending dose trial in 30 healthy female volunteers. A range of doses of BPS-804 were administered and were shown to be well tolerated. A Phase 2 ascending dose trial was also performed in eight adult patients with hypophosphatasia, a rare disorder characterized by abnormal development of bones and teeth. Three different BPS-804 doses were administered and a positive effect on bone formation biomarkers was observed.</w:t>
      </w:r>
    </w:p>
    <w:p>
      <w:pPr>
        <w:spacing w:after="0" w:line="176" w:lineRule="exact"/>
        <w:rPr>
          <w:sz w:val="20"/>
          <w:szCs w:val="20"/>
          <w:color w:val="auto"/>
        </w:rPr>
      </w:pPr>
    </w:p>
    <w:p>
      <w:pPr>
        <w:ind w:left="440" w:right="180" w:firstLine="423"/>
        <w:spacing w:after="0" w:line="264" w:lineRule="auto"/>
        <w:rPr>
          <w:sz w:val="20"/>
          <w:szCs w:val="20"/>
          <w:color w:val="auto"/>
        </w:rPr>
      </w:pPr>
      <w:r>
        <w:rPr>
          <w:rFonts w:ascii="Arial" w:cs="Arial" w:eastAsia="Arial" w:hAnsi="Arial"/>
          <w:sz w:val="17"/>
          <w:szCs w:val="17"/>
          <w:color w:val="auto"/>
        </w:rPr>
        <w:t>Additionally, Novartis performed a Phase 2 clinical trial in a total of 44 postmenopausal women with low bone mineral density, in which 36 subjects were treated with BPS-804. The trial had four arms, with patients dosed weekly for three weeks (4 doses), monthly for three months (4 doses) and quarterly for one quarter (2 doses), and a placebo group. In this trial, BPS-804 increased bone mineral density up to 7.8%, 7.3% and 4.3% in the weekly, monthly and quarterly groups, respectively.</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Phase 2 Clinical Trial in Osteogenesis Imperfecta</w:t>
      </w:r>
    </w:p>
    <w:p>
      <w:pPr>
        <w:spacing w:after="0" w:line="115" w:lineRule="exact"/>
        <w:rPr>
          <w:sz w:val="20"/>
          <w:szCs w:val="20"/>
          <w:color w:val="auto"/>
        </w:rPr>
      </w:pPr>
    </w:p>
    <w:p>
      <w:pPr>
        <w:ind w:left="440" w:right="20" w:firstLine="423"/>
        <w:spacing w:after="0" w:line="284" w:lineRule="auto"/>
        <w:rPr>
          <w:sz w:val="20"/>
          <w:szCs w:val="20"/>
          <w:color w:val="auto"/>
        </w:rPr>
      </w:pPr>
      <w:r>
        <w:rPr>
          <w:rFonts w:ascii="Arial" w:cs="Arial" w:eastAsia="Arial" w:hAnsi="Arial"/>
          <w:sz w:val="17"/>
          <w:szCs w:val="17"/>
          <w:color w:val="auto"/>
        </w:rPr>
        <w:t>Novartis conducted a Phase 2 randomized, open-label, intra-patient dose-escalating proof-of-concept trial in the United States, Canada and Europe in adults with OI. The objectives were:</w:t>
      </w:r>
    </w:p>
    <w:p>
      <w:pPr>
        <w:spacing w:after="0" w:line="68" w:lineRule="exact"/>
        <w:rPr>
          <w:sz w:val="20"/>
          <w:szCs w:val="20"/>
          <w:color w:val="auto"/>
        </w:rPr>
      </w:pPr>
    </w:p>
    <w:p>
      <w:pPr>
        <w:ind w:left="1260" w:hanging="415"/>
        <w:spacing w:after="0"/>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evaluate safety and tolerability of BPS-804;</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to evaluate the effect of BPS-804 on lumbar spine bone mineral density measured by dual-energy X-ray absorptiometry (“DEXA”) scan; and</w:t>
      </w:r>
    </w:p>
    <w:p>
      <w:pPr>
        <w:spacing w:after="0" w:line="151" w:lineRule="exact"/>
        <w:rPr>
          <w:rFonts w:ascii="Arial" w:cs="Arial" w:eastAsia="Arial" w:hAnsi="Arial"/>
          <w:sz w:val="15"/>
          <w:szCs w:val="15"/>
          <w:color w:val="auto"/>
        </w:rPr>
      </w:pPr>
    </w:p>
    <w:p>
      <w:pPr>
        <w:ind w:left="1260" w:hanging="415"/>
        <w:spacing w:after="0"/>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determine the pharmacodynamic effect of BPS-804 when administered as multiple dose escalating intravenous infusions on:</w:t>
      </w:r>
    </w:p>
    <w:p>
      <w:pPr>
        <w:spacing w:after="0" w:line="128" w:lineRule="exact"/>
        <w:rPr>
          <w:rFonts w:ascii="Arial" w:cs="Arial" w:eastAsia="Arial" w:hAnsi="Arial"/>
          <w:sz w:val="17"/>
          <w:szCs w:val="17"/>
          <w:color w:val="auto"/>
        </w:rPr>
      </w:pPr>
    </w:p>
    <w:p>
      <w:pPr>
        <w:ind w:left="1800" w:right="480" w:hanging="527"/>
        <w:spacing w:after="0" w:line="284" w:lineRule="auto"/>
        <w:tabs>
          <w:tab w:leader="none" w:pos="18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serum bone formation markers, including procollagen 1 N-terminal propeptide (“P1NP”), procollagen 1 C terminal propeptide (“P1CP”), osteocalcin (“OC”) and bone-specific alkaline phosphatase (“BSAP”); and</w:t>
      </w:r>
    </w:p>
    <w:p>
      <w:pPr>
        <w:spacing w:after="0" w:line="9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000"/>
          </w:cols>
          <w:pgMar w:left="240" w:top="445" w:right="65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800" w:right="460" w:hanging="527"/>
        <w:spacing w:after="0" w:line="284" w:lineRule="auto"/>
        <w:tabs>
          <w:tab w:leader="none" w:pos="1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serum bone resorption markers, including C-telopeptides of type I collagen cross-links (“CTX-1”) and N-telopeptides of type I collagen cross-links.</w:t>
      </w:r>
    </w:p>
    <w:p>
      <w:pPr>
        <w:spacing w:after="0" w:line="159" w:lineRule="exact"/>
        <w:rPr>
          <w:sz w:val="20"/>
          <w:szCs w:val="20"/>
          <w:color w:val="auto"/>
        </w:rPr>
      </w:pPr>
    </w:p>
    <w:p>
      <w:pPr>
        <w:ind w:left="440" w:right="100" w:firstLine="423"/>
        <w:spacing w:after="0" w:line="285" w:lineRule="auto"/>
        <w:rPr>
          <w:sz w:val="20"/>
          <w:szCs w:val="20"/>
          <w:color w:val="auto"/>
        </w:rPr>
      </w:pPr>
      <w:r>
        <w:rPr>
          <w:rFonts w:ascii="Arial" w:cs="Arial" w:eastAsia="Arial" w:hAnsi="Arial"/>
          <w:sz w:val="16"/>
          <w:szCs w:val="16"/>
          <w:color w:val="auto"/>
        </w:rPr>
        <w:t>The trial included 14 patients with types I, III and IV OI, nine of which were treated and five of which were observed as a reference group in parallel during the trial to provide comparative data. The reference patients did not receive drug or placebo. The patients were treated with a low, medium and high dose of BPS-804 two weeks apart, over four weeks, and were followed for a total of 21 weeks after the last dose. DEXA studies were performed at day 141 and bone biomarkers were measured on days eight, 15, 29, 36, 43, 57, 85, 113 and 141, for both groups.</w:t>
      </w:r>
    </w:p>
    <w:p>
      <w:pPr>
        <w:spacing w:after="0" w:line="162" w:lineRule="exact"/>
        <w:rPr>
          <w:sz w:val="20"/>
          <w:szCs w:val="20"/>
          <w:color w:val="auto"/>
        </w:rPr>
      </w:pPr>
    </w:p>
    <w:p>
      <w:pPr>
        <w:jc w:val="both"/>
        <w:ind w:left="440" w:right="260" w:firstLine="423"/>
        <w:spacing w:after="0" w:line="269" w:lineRule="auto"/>
        <w:rPr>
          <w:sz w:val="20"/>
          <w:szCs w:val="20"/>
          <w:color w:val="auto"/>
        </w:rPr>
      </w:pPr>
      <w:r>
        <w:rPr>
          <w:rFonts w:ascii="Arial" w:cs="Arial" w:eastAsia="Arial" w:hAnsi="Arial"/>
          <w:sz w:val="17"/>
          <w:szCs w:val="17"/>
          <w:color w:val="auto"/>
        </w:rPr>
        <w:t>Treatment with BPS-804 showed a statistically significant increase in lumbar spine bone mineral density from baseline, which was sustained at day 141 of the trial, 16 weeks after the last dose of BPS-804, with a mean increase in lumbar spine bone mineral density in treated patients of 4%, as shown in the table below:</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6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BPS-804</w:t>
            </w:r>
          </w:p>
        </w:tc>
        <w:tc>
          <w:tcPr>
            <w:tcW w:w="4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Reference</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tcPr>
          <w:p>
            <w:pPr>
              <w:jc w:val="center"/>
              <w:ind w:right="300"/>
              <w:spacing w:after="0" w:line="113" w:lineRule="exact"/>
              <w:rPr>
                <w:sz w:val="20"/>
                <w:szCs w:val="20"/>
                <w:color w:val="auto"/>
              </w:rPr>
            </w:pPr>
            <w:r>
              <w:rPr>
                <w:rFonts w:ascii="Arial" w:cs="Arial" w:eastAsia="Arial" w:hAnsi="Arial"/>
                <w:sz w:val="13"/>
                <w:szCs w:val="13"/>
                <w:b w:val="1"/>
                <w:bCs w:val="1"/>
                <w:color w:val="auto"/>
                <w:w w:val="99"/>
              </w:rPr>
              <w:t>Ratio of</w:t>
            </w: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tcPr>
          <w:p>
            <w:pPr>
              <w:jc w:val="center"/>
              <w:ind w:right="320"/>
              <w:spacing w:after="0" w:line="113" w:lineRule="exact"/>
              <w:rPr>
                <w:sz w:val="20"/>
                <w:szCs w:val="20"/>
                <w:color w:val="auto"/>
              </w:rPr>
            </w:pPr>
            <w:r>
              <w:rPr>
                <w:rFonts w:ascii="Arial" w:cs="Arial" w:eastAsia="Arial" w:hAnsi="Arial"/>
                <w:sz w:val="13"/>
                <w:szCs w:val="13"/>
                <w:b w:val="1"/>
                <w:bCs w:val="1"/>
                <w:color w:val="auto"/>
                <w:w w:val="99"/>
              </w:rPr>
              <w:t>Ratio of</w:t>
            </w: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9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6"/>
              </w:rPr>
              <w:t>geometric</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2"/>
                <w:szCs w:val="12"/>
                <w:color w:val="auto"/>
              </w:rPr>
            </w:pPr>
          </w:p>
        </w:tc>
        <w:tc>
          <w:tcPr>
            <w:tcW w:w="8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6"/>
              </w:rPr>
              <w:t>geometric</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7"/>
              </w:rPr>
              <w:t>Parameter</w:t>
            </w:r>
          </w:p>
        </w:tc>
        <w:tc>
          <w:tcPr>
            <w:tcW w:w="462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9"/>
              </w:rPr>
              <w:t>mean to</w:t>
            </w: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5"/>
              </w:rPr>
              <w:t>p-value</w:t>
            </w: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9"/>
              </w:rPr>
              <w:t>mean to</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p-value</w:t>
            </w:r>
          </w:p>
        </w:tc>
        <w:tc>
          <w:tcPr>
            <w:tcW w:w="0" w:type="dxa"/>
            <w:vAlign w:val="bottom"/>
          </w:tcPr>
          <w:p>
            <w:pPr>
              <w:spacing w:after="0"/>
              <w:rPr>
                <w:sz w:val="1"/>
                <w:szCs w:val="1"/>
                <w:color w:val="auto"/>
              </w:rPr>
            </w:pPr>
          </w:p>
        </w:tc>
      </w:tr>
      <w:tr>
        <w:trPr>
          <w:trHeight w:val="157"/>
        </w:trPr>
        <w:tc>
          <w:tcPr>
            <w:tcW w:w="620" w:type="dxa"/>
            <w:vAlign w:val="bottom"/>
            <w:tcBorders>
              <w:bottom w:val="single" w:sz="8" w:color="auto"/>
            </w:tcBorders>
            <w:vMerge w:val="continue"/>
          </w:tcPr>
          <w:p>
            <w:pPr>
              <w:spacing w:after="0"/>
              <w:rPr>
                <w:sz w:val="13"/>
                <w:szCs w:val="13"/>
                <w:color w:val="auto"/>
              </w:rPr>
            </w:pPr>
          </w:p>
        </w:tc>
        <w:tc>
          <w:tcPr>
            <w:tcW w:w="4620" w:type="dxa"/>
            <w:vAlign w:val="bottom"/>
            <w:vMerge w:val="continue"/>
          </w:tcPr>
          <w:p>
            <w:pPr>
              <w:spacing w:after="0"/>
              <w:rPr>
                <w:sz w:val="13"/>
                <w:szCs w:val="13"/>
                <w:color w:val="auto"/>
              </w:rPr>
            </w:pPr>
          </w:p>
        </w:tc>
        <w:tc>
          <w:tcPr>
            <w:tcW w:w="780" w:type="dxa"/>
            <w:vAlign w:val="bottom"/>
            <w:gridSpan w:val="2"/>
          </w:tcPr>
          <w:p>
            <w:pPr>
              <w:ind w:left="100"/>
              <w:spacing w:after="0" w:line="152" w:lineRule="exact"/>
              <w:rPr>
                <w:sz w:val="20"/>
                <w:szCs w:val="20"/>
                <w:color w:val="auto"/>
              </w:rPr>
            </w:pPr>
            <w:r>
              <w:rPr>
                <w:rFonts w:ascii="Arial" w:cs="Arial" w:eastAsia="Arial" w:hAnsi="Arial"/>
                <w:sz w:val="14"/>
                <w:szCs w:val="14"/>
                <w:b w:val="1"/>
                <w:bCs w:val="1"/>
                <w:color w:val="auto"/>
              </w:rPr>
              <w:t>patients</w:t>
            </w: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2" w:lineRule="exact"/>
              <w:rPr>
                <w:sz w:val="20"/>
                <w:szCs w:val="20"/>
                <w:color w:val="auto"/>
              </w:rPr>
            </w:pPr>
            <w:r>
              <w:rPr>
                <w:rFonts w:ascii="Arial" w:cs="Arial" w:eastAsia="Arial" w:hAnsi="Arial"/>
                <w:sz w:val="14"/>
                <w:szCs w:val="14"/>
                <w:b w:val="1"/>
                <w:bCs w:val="1"/>
                <w:color w:val="auto"/>
                <w:w w:val="85"/>
              </w:rPr>
              <w:t>baseline</w:t>
            </w:r>
          </w:p>
        </w:tc>
        <w:tc>
          <w:tcPr>
            <w:tcW w:w="940" w:type="dxa"/>
            <w:vAlign w:val="bottom"/>
            <w:gridSpan w:val="2"/>
            <w:vMerge w:val="continue"/>
          </w:tcPr>
          <w:p>
            <w:pPr>
              <w:spacing w:after="0"/>
              <w:rPr>
                <w:sz w:val="13"/>
                <w:szCs w:val="13"/>
                <w:color w:val="auto"/>
              </w:rPr>
            </w:pPr>
          </w:p>
        </w:tc>
        <w:tc>
          <w:tcPr>
            <w:tcW w:w="880" w:type="dxa"/>
            <w:vAlign w:val="bottom"/>
            <w:gridSpan w:val="2"/>
          </w:tcPr>
          <w:p>
            <w:pPr>
              <w:jc w:val="center"/>
              <w:ind w:right="260"/>
              <w:spacing w:after="0" w:line="152" w:lineRule="exact"/>
              <w:rPr>
                <w:sz w:val="20"/>
                <w:szCs w:val="20"/>
                <w:color w:val="auto"/>
              </w:rPr>
            </w:pPr>
            <w:r>
              <w:rPr>
                <w:rFonts w:ascii="Arial" w:cs="Arial" w:eastAsia="Arial" w:hAnsi="Arial"/>
                <w:sz w:val="14"/>
                <w:szCs w:val="14"/>
                <w:b w:val="1"/>
                <w:bCs w:val="1"/>
                <w:color w:val="auto"/>
                <w:w w:val="85"/>
              </w:rPr>
              <w:t>patients</w:t>
            </w:r>
          </w:p>
        </w:tc>
        <w:tc>
          <w:tcPr>
            <w:tcW w:w="260" w:type="dxa"/>
            <w:vAlign w:val="bottom"/>
          </w:tcPr>
          <w:p>
            <w:pPr>
              <w:spacing w:after="0"/>
              <w:rPr>
                <w:sz w:val="13"/>
                <w:szCs w:val="13"/>
                <w:color w:val="auto"/>
              </w:rPr>
            </w:pPr>
          </w:p>
        </w:tc>
        <w:tc>
          <w:tcPr>
            <w:tcW w:w="880" w:type="dxa"/>
            <w:vAlign w:val="bottom"/>
            <w:gridSpan w:val="2"/>
          </w:tcPr>
          <w:p>
            <w:pPr>
              <w:jc w:val="center"/>
              <w:ind w:right="320"/>
              <w:spacing w:after="0" w:line="152" w:lineRule="exact"/>
              <w:rPr>
                <w:sz w:val="20"/>
                <w:szCs w:val="20"/>
                <w:color w:val="auto"/>
              </w:rPr>
            </w:pPr>
            <w:r>
              <w:rPr>
                <w:rFonts w:ascii="Arial" w:cs="Arial" w:eastAsia="Arial" w:hAnsi="Arial"/>
                <w:sz w:val="14"/>
                <w:szCs w:val="14"/>
                <w:b w:val="1"/>
                <w:bCs w:val="1"/>
                <w:color w:val="auto"/>
                <w:w w:val="85"/>
              </w:rPr>
              <w:t>baseline</w:t>
            </w: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Bone Mineral Density</w:t>
            </w: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4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w:t>
            </w:r>
          </w:p>
        </w:tc>
        <w:tc>
          <w:tcPr>
            <w:tcW w:w="12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1.04</w:t>
            </w:r>
          </w:p>
        </w:tc>
        <w:tc>
          <w:tcPr>
            <w:tcW w:w="320" w:type="dxa"/>
            <w:vAlign w:val="bottom"/>
            <w:vMerge w:val="continue"/>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line="194" w:lineRule="exact"/>
              <w:rPr>
                <w:sz w:val="20"/>
                <w:szCs w:val="20"/>
                <w:color w:val="auto"/>
              </w:rPr>
            </w:pPr>
            <w:r>
              <w:rPr>
                <w:rFonts w:ascii="Arial" w:cs="Arial" w:eastAsia="Arial" w:hAnsi="Arial"/>
                <w:sz w:val="17"/>
                <w:szCs w:val="17"/>
                <w:color w:val="auto"/>
                <w:w w:val="97"/>
              </w:rPr>
              <w:t>0.038(1)</w:t>
            </w:r>
          </w:p>
        </w:tc>
        <w:tc>
          <w:tcPr>
            <w:tcW w:w="8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4(2)</w:t>
            </w:r>
          </w:p>
        </w:tc>
        <w:tc>
          <w:tcPr>
            <w:tcW w:w="26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1.01</w:t>
            </w:r>
          </w:p>
        </w:tc>
        <w:tc>
          <w:tcPr>
            <w:tcW w:w="300" w:type="dxa"/>
            <w:vAlign w:val="bottom"/>
            <w:vMerge w:val="continue"/>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8"/>
              </w:rPr>
              <w:t>0.138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81915</wp:posOffset>
            </wp:positionV>
            <wp:extent cx="6743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49" w:lineRule="exact"/>
        <w:rPr>
          <w:sz w:val="20"/>
          <w:szCs w:val="20"/>
          <w:color w:val="auto"/>
        </w:rPr>
      </w:pPr>
    </w:p>
    <w:p>
      <w:pPr>
        <w:ind w:left="840" w:hanging="409"/>
        <w:spacing w:after="0"/>
        <w:tabs>
          <w:tab w:leader="none" w:pos="8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Statistically significant, meaning a less than 5% chance (or p-value less than 0.05) that the observed results occurred by chance alone.</w:t>
      </w:r>
    </w:p>
    <w:p>
      <w:pPr>
        <w:spacing w:after="0" w:line="24" w:lineRule="exact"/>
        <w:rPr>
          <w:rFonts w:ascii="Arial" w:cs="Arial" w:eastAsia="Arial" w:hAnsi="Arial"/>
          <w:sz w:val="17"/>
          <w:szCs w:val="17"/>
          <w:color w:val="auto"/>
        </w:rPr>
      </w:pPr>
    </w:p>
    <w:p>
      <w:pPr>
        <w:ind w:left="840" w:hanging="409"/>
        <w:spacing w:after="0"/>
        <w:tabs>
          <w:tab w:leader="none" w:pos="8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One patient in the reference group did not complete the study and is not included in the results.</w:t>
      </w:r>
    </w:p>
    <w:p>
      <w:pPr>
        <w:spacing w:after="0" w:line="206" w:lineRule="exact"/>
        <w:rPr>
          <w:sz w:val="20"/>
          <w:szCs w:val="20"/>
          <w:color w:val="auto"/>
        </w:rPr>
      </w:pPr>
    </w:p>
    <w:p>
      <w:pPr>
        <w:ind w:left="440" w:right="220" w:firstLine="423"/>
        <w:spacing w:after="0" w:line="321" w:lineRule="auto"/>
        <w:rPr>
          <w:sz w:val="20"/>
          <w:szCs w:val="20"/>
          <w:color w:val="auto"/>
        </w:rPr>
      </w:pPr>
      <w:r>
        <w:rPr>
          <w:rFonts w:ascii="Arial" w:cs="Arial" w:eastAsia="Arial" w:hAnsi="Arial"/>
          <w:sz w:val="15"/>
          <w:szCs w:val="15"/>
          <w:color w:val="auto"/>
        </w:rPr>
        <w:t>Bone turnover comprises two processes: the removal of bone and the laying down of new bone. Markers in blood can be used to assess the formation and resorption of bone. P1NP and CTX-1 are the markers of bone formation and resorption, respectively, that are recommended for clinical use and are considered the two reference markers by the International Osteoporosis Foundation and International Federation of Clinical Chemistry.</w:t>
      </w:r>
    </w:p>
    <w:p>
      <w:pPr>
        <w:spacing w:after="0" w:line="137"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Treatment with BPS-804 also showed a statistically significant improvement in all measured bone formation biomarkers at day 43 of the trial, as shown in the table below, as well as a trend of reduction in the CTX-1 biomarker of bone resorption:</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1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BPS-804</w:t>
            </w:r>
          </w:p>
        </w:tc>
        <w:tc>
          <w:tcPr>
            <w:tcW w:w="4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Reference</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Ratio of</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jc w:val="right"/>
              <w:ind w:right="340"/>
              <w:spacing w:after="0" w:line="113" w:lineRule="exact"/>
              <w:rPr>
                <w:sz w:val="20"/>
                <w:szCs w:val="20"/>
                <w:color w:val="auto"/>
              </w:rPr>
            </w:pPr>
            <w:r>
              <w:rPr>
                <w:rFonts w:ascii="Arial" w:cs="Arial" w:eastAsia="Arial" w:hAnsi="Arial"/>
                <w:sz w:val="13"/>
                <w:szCs w:val="13"/>
                <w:b w:val="1"/>
                <w:bCs w:val="1"/>
                <w:color w:val="auto"/>
              </w:rPr>
              <w:t>Ratio of</w:t>
            </w: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line="113" w:lineRule="exact"/>
              <w:rPr>
                <w:sz w:val="20"/>
                <w:szCs w:val="20"/>
                <w:color w:val="auto"/>
              </w:rPr>
            </w:pPr>
            <w:r>
              <w:rPr>
                <w:rFonts w:ascii="Arial" w:cs="Arial" w:eastAsia="Arial" w:hAnsi="Arial"/>
                <w:sz w:val="13"/>
                <w:szCs w:val="13"/>
                <w:b w:val="1"/>
                <w:bCs w:val="1"/>
                <w:color w:val="auto"/>
                <w:w w:val="99"/>
              </w:rPr>
              <w:t>Ratio of</w:t>
            </w: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3"/>
              </w:rPr>
              <w:t>geometric</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860" w:type="dxa"/>
            <w:vAlign w:val="bottom"/>
            <w:gridSpan w:val="2"/>
          </w:tcPr>
          <w:p>
            <w:pPr>
              <w:jc w:val="right"/>
              <w:ind w:right="280"/>
              <w:spacing w:after="0" w:line="143" w:lineRule="exact"/>
              <w:rPr>
                <w:sz w:val="20"/>
                <w:szCs w:val="20"/>
                <w:color w:val="auto"/>
              </w:rPr>
            </w:pPr>
            <w:r>
              <w:rPr>
                <w:rFonts w:ascii="Arial" w:cs="Arial" w:eastAsia="Arial" w:hAnsi="Arial"/>
                <w:sz w:val="14"/>
                <w:szCs w:val="14"/>
                <w:b w:val="1"/>
                <w:bCs w:val="1"/>
                <w:color w:val="auto"/>
                <w:w w:val="83"/>
              </w:rPr>
              <w:t>geometric</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8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6"/>
              </w:rPr>
              <w:t>geometric</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means 90%</w:t>
            </w:r>
          </w:p>
        </w:tc>
        <w:tc>
          <w:tcPr>
            <w:tcW w:w="0" w:type="dxa"/>
            <w:vAlign w:val="bottom"/>
          </w:tcPr>
          <w:p>
            <w:pPr>
              <w:spacing w:after="0"/>
              <w:rPr>
                <w:sz w:val="1"/>
                <w:szCs w:val="1"/>
                <w:color w:val="auto"/>
              </w:rPr>
            </w:pPr>
          </w:p>
        </w:tc>
      </w:tr>
      <w:tr>
        <w:trPr>
          <w:trHeight w:val="142"/>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89"/>
              </w:rPr>
              <w:t>Bone formation biomarker</w:t>
            </w:r>
          </w:p>
        </w:tc>
        <w:tc>
          <w:tcPr>
            <w:tcW w:w="30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40"/>
              <w:spacing w:after="0" w:line="143" w:lineRule="exact"/>
              <w:rPr>
                <w:sz w:val="20"/>
                <w:szCs w:val="20"/>
                <w:color w:val="auto"/>
              </w:rPr>
            </w:pPr>
            <w:r>
              <w:rPr>
                <w:rFonts w:ascii="Arial" w:cs="Arial" w:eastAsia="Arial" w:hAnsi="Arial"/>
                <w:sz w:val="14"/>
                <w:szCs w:val="14"/>
                <w:b w:val="1"/>
                <w:bCs w:val="1"/>
                <w:color w:val="auto"/>
                <w:w w:val="93"/>
              </w:rPr>
              <w:t>mean to</w:t>
            </w: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5"/>
              </w:rPr>
              <w:t>p-value</w:t>
            </w: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9"/>
              </w:rPr>
              <w:t>mean to</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p-value</w:t>
            </w:r>
          </w:p>
        </w:tc>
        <w:tc>
          <w:tcPr>
            <w:tcW w:w="14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confidence</w:t>
            </w:r>
          </w:p>
        </w:tc>
        <w:tc>
          <w:tcPr>
            <w:tcW w:w="0" w:type="dxa"/>
            <w:vAlign w:val="bottom"/>
          </w:tcPr>
          <w:p>
            <w:pPr>
              <w:spacing w:after="0"/>
              <w:rPr>
                <w:sz w:val="1"/>
                <w:szCs w:val="1"/>
                <w:color w:val="auto"/>
              </w:rPr>
            </w:pPr>
          </w:p>
        </w:tc>
      </w:tr>
      <w:tr>
        <w:trPr>
          <w:trHeight w:val="157"/>
        </w:trPr>
        <w:tc>
          <w:tcPr>
            <w:tcW w:w="1580" w:type="dxa"/>
            <w:vAlign w:val="bottom"/>
            <w:tcBorders>
              <w:bottom w:val="single" w:sz="8" w:color="auto"/>
            </w:tcBorders>
            <w:vMerge w:val="continue"/>
          </w:tcPr>
          <w:p>
            <w:pPr>
              <w:spacing w:after="0"/>
              <w:rPr>
                <w:sz w:val="13"/>
                <w:szCs w:val="13"/>
                <w:color w:val="auto"/>
              </w:rPr>
            </w:pPr>
          </w:p>
        </w:tc>
        <w:tc>
          <w:tcPr>
            <w:tcW w:w="3000" w:type="dxa"/>
            <w:vAlign w:val="bottom"/>
          </w:tcPr>
          <w:p>
            <w:pPr>
              <w:spacing w:after="0"/>
              <w:rPr>
                <w:sz w:val="13"/>
                <w:szCs w:val="13"/>
                <w:color w:val="auto"/>
              </w:rPr>
            </w:pPr>
          </w:p>
        </w:tc>
        <w:tc>
          <w:tcPr>
            <w:tcW w:w="760" w:type="dxa"/>
            <w:vAlign w:val="bottom"/>
            <w:gridSpan w:val="2"/>
          </w:tcPr>
          <w:p>
            <w:pPr>
              <w:ind w:left="100"/>
              <w:spacing w:after="0" w:line="152" w:lineRule="exact"/>
              <w:rPr>
                <w:sz w:val="20"/>
                <w:szCs w:val="20"/>
                <w:color w:val="auto"/>
              </w:rPr>
            </w:pPr>
            <w:r>
              <w:rPr>
                <w:rFonts w:ascii="Arial" w:cs="Arial" w:eastAsia="Arial" w:hAnsi="Arial"/>
                <w:sz w:val="14"/>
                <w:szCs w:val="14"/>
                <w:b w:val="1"/>
                <w:bCs w:val="1"/>
                <w:color w:val="auto"/>
              </w:rPr>
              <w:t>patients</w:t>
            </w:r>
          </w:p>
        </w:tc>
        <w:tc>
          <w:tcPr>
            <w:tcW w:w="180" w:type="dxa"/>
            <w:vAlign w:val="bottom"/>
          </w:tcPr>
          <w:p>
            <w:pPr>
              <w:spacing w:after="0"/>
              <w:rPr>
                <w:sz w:val="13"/>
                <w:szCs w:val="13"/>
                <w:color w:val="auto"/>
              </w:rPr>
            </w:pPr>
          </w:p>
        </w:tc>
        <w:tc>
          <w:tcPr>
            <w:tcW w:w="860" w:type="dxa"/>
            <w:vAlign w:val="bottom"/>
            <w:gridSpan w:val="2"/>
          </w:tcPr>
          <w:p>
            <w:pPr>
              <w:jc w:val="right"/>
              <w:ind w:right="340"/>
              <w:spacing w:after="0" w:line="152" w:lineRule="exact"/>
              <w:rPr>
                <w:sz w:val="20"/>
                <w:szCs w:val="20"/>
                <w:color w:val="auto"/>
              </w:rPr>
            </w:pPr>
            <w:r>
              <w:rPr>
                <w:rFonts w:ascii="Arial" w:cs="Arial" w:eastAsia="Arial" w:hAnsi="Arial"/>
                <w:sz w:val="14"/>
                <w:szCs w:val="14"/>
                <w:b w:val="1"/>
                <w:bCs w:val="1"/>
                <w:color w:val="auto"/>
                <w:w w:val="89"/>
              </w:rPr>
              <w:t>baseline</w:t>
            </w:r>
          </w:p>
        </w:tc>
        <w:tc>
          <w:tcPr>
            <w:tcW w:w="920" w:type="dxa"/>
            <w:vAlign w:val="bottom"/>
            <w:gridSpan w:val="2"/>
            <w:vMerge w:val="continue"/>
          </w:tcPr>
          <w:p>
            <w:pPr>
              <w:spacing w:after="0"/>
              <w:rPr>
                <w:sz w:val="13"/>
                <w:szCs w:val="13"/>
                <w:color w:val="auto"/>
              </w:rPr>
            </w:pPr>
          </w:p>
        </w:tc>
        <w:tc>
          <w:tcPr>
            <w:tcW w:w="740" w:type="dxa"/>
            <w:vAlign w:val="bottom"/>
            <w:gridSpan w:val="2"/>
          </w:tcPr>
          <w:p>
            <w:pPr>
              <w:jc w:val="right"/>
              <w:ind w:right="180"/>
              <w:spacing w:after="0" w:line="152" w:lineRule="exact"/>
              <w:rPr>
                <w:sz w:val="20"/>
                <w:szCs w:val="20"/>
                <w:color w:val="auto"/>
              </w:rPr>
            </w:pPr>
            <w:r>
              <w:rPr>
                <w:rFonts w:ascii="Arial" w:cs="Arial" w:eastAsia="Arial" w:hAnsi="Arial"/>
                <w:sz w:val="14"/>
                <w:szCs w:val="14"/>
                <w:b w:val="1"/>
                <w:bCs w:val="1"/>
                <w:color w:val="auto"/>
              </w:rPr>
              <w:t>patients</w:t>
            </w:r>
          </w:p>
        </w:tc>
        <w:tc>
          <w:tcPr>
            <w:tcW w:w="180" w:type="dxa"/>
            <w:vAlign w:val="bottom"/>
          </w:tcPr>
          <w:p>
            <w:pPr>
              <w:spacing w:after="0"/>
              <w:rPr>
                <w:sz w:val="13"/>
                <w:szCs w:val="13"/>
                <w:color w:val="auto"/>
              </w:rPr>
            </w:pPr>
          </w:p>
        </w:tc>
        <w:tc>
          <w:tcPr>
            <w:tcW w:w="880" w:type="dxa"/>
            <w:vAlign w:val="bottom"/>
            <w:gridSpan w:val="2"/>
          </w:tcPr>
          <w:p>
            <w:pPr>
              <w:jc w:val="center"/>
              <w:ind w:right="280"/>
              <w:spacing w:after="0" w:line="152" w:lineRule="exact"/>
              <w:rPr>
                <w:sz w:val="20"/>
                <w:szCs w:val="20"/>
                <w:color w:val="auto"/>
              </w:rPr>
            </w:pPr>
            <w:r>
              <w:rPr>
                <w:rFonts w:ascii="Arial" w:cs="Arial" w:eastAsia="Arial" w:hAnsi="Arial"/>
                <w:sz w:val="14"/>
                <w:szCs w:val="14"/>
                <w:b w:val="1"/>
                <w:bCs w:val="1"/>
                <w:color w:val="auto"/>
                <w:w w:val="85"/>
              </w:rPr>
              <w:t>baseline</w:t>
            </w:r>
          </w:p>
        </w:tc>
        <w:tc>
          <w:tcPr>
            <w:tcW w:w="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2"/>
              </w:rPr>
              <w:t>interval</w:t>
            </w: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P1NP</w:t>
            </w:r>
          </w:p>
        </w:tc>
        <w:tc>
          <w:tcPr>
            <w:tcW w:w="30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580" w:type="dxa"/>
            <w:vAlign w:val="bottom"/>
            <w:vMerge w:val="continue"/>
            <w:shd w:val="clear" w:color="auto" w:fill="CCEEFF"/>
          </w:tcPr>
          <w:p>
            <w:pPr>
              <w:spacing w:after="0"/>
              <w:rPr>
                <w:sz w:val="16"/>
                <w:szCs w:val="16"/>
                <w:color w:val="auto"/>
              </w:rPr>
            </w:pPr>
          </w:p>
        </w:tc>
        <w:tc>
          <w:tcPr>
            <w:tcW w:w="300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w:t>
            </w:r>
          </w:p>
        </w:tc>
        <w:tc>
          <w:tcPr>
            <w:tcW w:w="10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1.84</w:t>
            </w:r>
          </w:p>
        </w:tc>
        <w:tc>
          <w:tcPr>
            <w:tcW w:w="280" w:type="dxa"/>
            <w:vAlign w:val="bottom"/>
            <w:vMerge w:val="continue"/>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w w:val="97"/>
              </w:rPr>
              <w:t>0.001(1)</w:t>
            </w:r>
          </w:p>
        </w:tc>
        <w:tc>
          <w:tcPr>
            <w:tcW w:w="6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w:t>
            </w:r>
          </w:p>
        </w:tc>
        <w:tc>
          <w:tcPr>
            <w:tcW w:w="10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w w:val="84"/>
              </w:rPr>
              <w:t>1.06</w:t>
            </w:r>
          </w:p>
        </w:tc>
        <w:tc>
          <w:tcPr>
            <w:tcW w:w="30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8"/>
              </w:rPr>
              <w:t>0.651</w:t>
            </w:r>
          </w:p>
        </w:tc>
        <w:tc>
          <w:tcPr>
            <w:tcW w:w="14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07"/>
        </w:trPr>
        <w:tc>
          <w:tcPr>
            <w:tcW w:w="1580" w:type="dxa"/>
            <w:vAlign w:val="bottom"/>
          </w:tcPr>
          <w:p>
            <w:pPr>
              <w:spacing w:after="0"/>
              <w:rPr>
                <w:sz w:val="20"/>
                <w:szCs w:val="20"/>
                <w:color w:val="auto"/>
              </w:rPr>
            </w:pPr>
            <w:r>
              <w:rPr>
                <w:rFonts w:ascii="Arial" w:cs="Arial" w:eastAsia="Arial" w:hAnsi="Arial"/>
                <w:sz w:val="17"/>
                <w:szCs w:val="17"/>
                <w:color w:val="auto"/>
              </w:rPr>
              <w:t>P1CP</w:t>
            </w:r>
          </w:p>
        </w:tc>
        <w:tc>
          <w:tcPr>
            <w:tcW w:w="3760" w:type="dxa"/>
            <w:vAlign w:val="bottom"/>
            <w:gridSpan w:val="3"/>
          </w:tcPr>
          <w:p>
            <w:pPr>
              <w:jc w:val="right"/>
              <w:ind w:right="100"/>
              <w:spacing w:after="0"/>
              <w:rPr>
                <w:sz w:val="20"/>
                <w:szCs w:val="20"/>
                <w:color w:val="auto"/>
              </w:rPr>
            </w:pPr>
            <w:r>
              <w:rPr>
                <w:rFonts w:ascii="Arial" w:cs="Arial" w:eastAsia="Arial" w:hAnsi="Arial"/>
                <w:sz w:val="17"/>
                <w:szCs w:val="17"/>
                <w:color w:val="auto"/>
              </w:rPr>
              <w:t>9</w:t>
            </w:r>
          </w:p>
        </w:tc>
        <w:tc>
          <w:tcPr>
            <w:tcW w:w="1040" w:type="dxa"/>
            <w:vAlign w:val="bottom"/>
            <w:gridSpan w:val="3"/>
          </w:tcPr>
          <w:p>
            <w:pPr>
              <w:jc w:val="right"/>
              <w:ind w:right="280"/>
              <w:spacing w:after="0"/>
              <w:rPr>
                <w:sz w:val="20"/>
                <w:szCs w:val="20"/>
                <w:color w:val="auto"/>
              </w:rPr>
            </w:pPr>
            <w:r>
              <w:rPr>
                <w:rFonts w:ascii="Arial" w:cs="Arial" w:eastAsia="Arial" w:hAnsi="Arial"/>
                <w:sz w:val="17"/>
                <w:szCs w:val="17"/>
                <w:color w:val="auto"/>
              </w:rPr>
              <w:t>1.53</w:t>
            </w: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0.003(1)</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60" w:type="dxa"/>
            <w:vAlign w:val="bottom"/>
            <w:gridSpan w:val="3"/>
          </w:tcPr>
          <w:p>
            <w:pPr>
              <w:ind w:left="460"/>
              <w:spacing w:after="0"/>
              <w:rPr>
                <w:sz w:val="20"/>
                <w:szCs w:val="20"/>
                <w:color w:val="auto"/>
              </w:rPr>
            </w:pPr>
            <w:r>
              <w:rPr>
                <w:rFonts w:ascii="Arial" w:cs="Arial" w:eastAsia="Arial" w:hAnsi="Arial"/>
                <w:sz w:val="17"/>
                <w:szCs w:val="17"/>
                <w:color w:val="auto"/>
              </w:rPr>
              <w:t>1.05</w:t>
            </w: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w w:val="98"/>
              </w:rPr>
              <w:t>0.600</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7"/>
        </w:trPr>
        <w:tc>
          <w:tcPr>
            <w:tcW w:w="1580" w:type="dxa"/>
            <w:vAlign w:val="bottom"/>
            <w:shd w:val="clear" w:color="auto" w:fill="CCEEFF"/>
          </w:tcPr>
          <w:p>
            <w:pPr>
              <w:spacing w:after="0"/>
              <w:rPr>
                <w:sz w:val="20"/>
                <w:szCs w:val="20"/>
                <w:color w:val="auto"/>
              </w:rPr>
            </w:pPr>
            <w:r>
              <w:rPr>
                <w:rFonts w:ascii="Arial" w:cs="Arial" w:eastAsia="Arial" w:hAnsi="Arial"/>
                <w:sz w:val="17"/>
                <w:szCs w:val="17"/>
                <w:color w:val="auto"/>
              </w:rPr>
              <w:t>BSAP</w:t>
            </w:r>
          </w:p>
        </w:tc>
        <w:tc>
          <w:tcPr>
            <w:tcW w:w="37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1.59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7"/>
              </w:rPr>
              <w:t>0.001(1)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7"/>
                <w:szCs w:val="17"/>
                <w:color w:val="auto"/>
              </w:rPr>
              <w:t>0.87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0.582</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20"/>
        </w:trPr>
        <w:tc>
          <w:tcPr>
            <w:tcW w:w="1580" w:type="dxa"/>
            <w:vAlign w:val="bottom"/>
          </w:tcPr>
          <w:p>
            <w:pPr>
              <w:spacing w:after="0"/>
              <w:rPr>
                <w:sz w:val="20"/>
                <w:szCs w:val="20"/>
                <w:color w:val="auto"/>
              </w:rPr>
            </w:pPr>
            <w:r>
              <w:rPr>
                <w:rFonts w:ascii="Arial" w:cs="Arial" w:eastAsia="Arial" w:hAnsi="Arial"/>
                <w:sz w:val="17"/>
                <w:szCs w:val="17"/>
                <w:color w:val="auto"/>
              </w:rPr>
              <w:t>OC</w:t>
            </w:r>
          </w:p>
        </w:tc>
        <w:tc>
          <w:tcPr>
            <w:tcW w:w="3760" w:type="dxa"/>
            <w:vAlign w:val="bottom"/>
            <w:gridSpan w:val="3"/>
          </w:tcPr>
          <w:p>
            <w:pPr>
              <w:jc w:val="right"/>
              <w:ind w:right="100"/>
              <w:spacing w:after="0"/>
              <w:rPr>
                <w:sz w:val="20"/>
                <w:szCs w:val="20"/>
                <w:color w:val="auto"/>
              </w:rPr>
            </w:pPr>
            <w:r>
              <w:rPr>
                <w:rFonts w:ascii="Arial" w:cs="Arial" w:eastAsia="Arial" w:hAnsi="Arial"/>
                <w:sz w:val="17"/>
                <w:szCs w:val="17"/>
                <w:color w:val="auto"/>
              </w:rPr>
              <w:t>9</w:t>
            </w:r>
          </w:p>
        </w:tc>
        <w:tc>
          <w:tcPr>
            <w:tcW w:w="1040" w:type="dxa"/>
            <w:vAlign w:val="bottom"/>
            <w:gridSpan w:val="3"/>
          </w:tcPr>
          <w:p>
            <w:pPr>
              <w:jc w:val="right"/>
              <w:ind w:right="280"/>
              <w:spacing w:after="0"/>
              <w:rPr>
                <w:sz w:val="20"/>
                <w:szCs w:val="20"/>
                <w:color w:val="auto"/>
              </w:rPr>
            </w:pPr>
            <w:r>
              <w:rPr>
                <w:rFonts w:ascii="Arial" w:cs="Arial" w:eastAsia="Arial" w:hAnsi="Arial"/>
                <w:sz w:val="17"/>
                <w:szCs w:val="17"/>
                <w:color w:val="auto"/>
              </w:rPr>
              <w:t>1.44</w:t>
            </w:r>
          </w:p>
        </w:tc>
        <w:tc>
          <w:tcPr>
            <w:tcW w:w="920" w:type="dxa"/>
            <w:vAlign w:val="bottom"/>
            <w:gridSpan w:val="2"/>
          </w:tcPr>
          <w:p>
            <w:pPr>
              <w:jc w:val="right"/>
              <w:ind w:right="280"/>
              <w:spacing w:after="0"/>
              <w:rPr>
                <w:sz w:val="20"/>
                <w:szCs w:val="20"/>
                <w:color w:val="auto"/>
              </w:rPr>
            </w:pPr>
            <w:r>
              <w:rPr>
                <w:rFonts w:ascii="Arial" w:cs="Arial" w:eastAsia="Arial" w:hAnsi="Arial"/>
                <w:sz w:val="17"/>
                <w:szCs w:val="17"/>
                <w:color w:val="auto"/>
                <w:w w:val="97"/>
              </w:rPr>
              <w:t>0.012(1)</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1060" w:type="dxa"/>
            <w:vAlign w:val="bottom"/>
            <w:gridSpan w:val="3"/>
          </w:tcPr>
          <w:p>
            <w:pPr>
              <w:ind w:left="460"/>
              <w:spacing w:after="0"/>
              <w:rPr>
                <w:sz w:val="20"/>
                <w:szCs w:val="20"/>
                <w:color w:val="auto"/>
              </w:rPr>
            </w:pPr>
            <w:r>
              <w:rPr>
                <w:rFonts w:ascii="Arial" w:cs="Arial" w:eastAsia="Arial" w:hAnsi="Arial"/>
                <w:sz w:val="17"/>
                <w:szCs w:val="17"/>
                <w:color w:val="auto"/>
              </w:rPr>
              <w:t>0.81</w:t>
            </w: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w w:val="98"/>
              </w:rPr>
              <w:t>0.436</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74295</wp:posOffset>
            </wp:positionV>
            <wp:extent cx="6743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36" w:lineRule="exact"/>
        <w:rPr>
          <w:sz w:val="20"/>
          <w:szCs w:val="20"/>
          <w:color w:val="auto"/>
        </w:rPr>
      </w:pPr>
    </w:p>
    <w:p>
      <w:pPr>
        <w:ind w:left="840" w:hanging="409"/>
        <w:spacing w:after="0"/>
        <w:tabs>
          <w:tab w:leader="none" w:pos="8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Statistically significant.</w:t>
      </w:r>
    </w:p>
    <w:p>
      <w:pPr>
        <w:spacing w:after="0" w:line="219" w:lineRule="exact"/>
        <w:rPr>
          <w:sz w:val="20"/>
          <w:szCs w:val="20"/>
          <w:color w:val="auto"/>
        </w:rPr>
      </w:pPr>
    </w:p>
    <w:p>
      <w:pPr>
        <w:ind w:left="440" w:right="980" w:firstLine="423"/>
        <w:spacing w:after="0" w:line="284" w:lineRule="auto"/>
        <w:rPr>
          <w:sz w:val="20"/>
          <w:szCs w:val="20"/>
          <w:color w:val="auto"/>
        </w:rPr>
      </w:pPr>
      <w:r>
        <w:rPr>
          <w:rFonts w:ascii="Arial" w:cs="Arial" w:eastAsia="Arial" w:hAnsi="Arial"/>
          <w:sz w:val="17"/>
          <w:szCs w:val="17"/>
          <w:color w:val="auto"/>
        </w:rPr>
        <w:t>These results showed a statistically significant upregulation in the activity of P1NP, P1CP, BSAP, and increased OC levels, while the corresponding biomarkers remained unchanged or declined moderately in the reference group.</w:t>
      </w:r>
    </w:p>
    <w:p>
      <w:pPr>
        <w:spacing w:after="0" w:line="159"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Mereo believes that the observed increase in lumbar spine bone mineral density in patients treated with BPS-804, along with the bone biomarker data, support the bone anabolic effects of BPS-804 in adult patients with moderate OI and support the potential for BPS-804 to stimulate bone formation and reduce bone resorption after a low, medium and high dose.</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Summary of Safety Results</w:t>
      </w:r>
    </w:p>
    <w:p>
      <w:pPr>
        <w:spacing w:after="0" w:line="115" w:lineRule="exact"/>
        <w:rPr>
          <w:sz w:val="20"/>
          <w:szCs w:val="20"/>
          <w:color w:val="auto"/>
        </w:rPr>
      </w:pPr>
    </w:p>
    <w:p>
      <w:pPr>
        <w:ind w:left="440" w:right="320" w:firstLine="423"/>
        <w:spacing w:after="0" w:line="269" w:lineRule="auto"/>
        <w:rPr>
          <w:sz w:val="20"/>
          <w:szCs w:val="20"/>
          <w:color w:val="auto"/>
        </w:rPr>
      </w:pPr>
      <w:r>
        <w:rPr>
          <w:rFonts w:ascii="Arial" w:cs="Arial" w:eastAsia="Arial" w:hAnsi="Arial"/>
          <w:sz w:val="17"/>
          <w:szCs w:val="17"/>
          <w:color w:val="auto"/>
        </w:rPr>
        <w:t>In the trials conducted by Novartis, BPS-804 was generally well tolerated. In the Phase 2 OI clinical trial, there was one non-drug related significant adverse event in the reference group. The most common adverse events were headaches, influenza, arthralgia and fatigue both in patients who received BPS-804 and in the reference group.</w:t>
      </w:r>
    </w:p>
    <w:p>
      <w:pPr>
        <w:spacing w:after="0" w:line="10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000"/>
          </w:cols>
          <w:pgMar w:left="240" w:top="445" w:right="6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Current and Planned Phase 2b Clinical Trials in Osteogenesis Imperfecta</w:t>
      </w:r>
    </w:p>
    <w:p>
      <w:pPr>
        <w:spacing w:after="0" w:line="115" w:lineRule="exact"/>
        <w:rPr>
          <w:sz w:val="20"/>
          <w:szCs w:val="20"/>
          <w:color w:val="auto"/>
        </w:rPr>
      </w:pPr>
    </w:p>
    <w:p>
      <w:pPr>
        <w:ind w:left="440" w:right="240" w:firstLine="423"/>
        <w:spacing w:after="0" w:line="261" w:lineRule="auto"/>
        <w:rPr>
          <w:sz w:val="20"/>
          <w:szCs w:val="20"/>
          <w:color w:val="auto"/>
        </w:rPr>
      </w:pPr>
      <w:r>
        <w:rPr>
          <w:rFonts w:ascii="Arial" w:cs="Arial" w:eastAsia="Arial" w:hAnsi="Arial"/>
          <w:sz w:val="17"/>
          <w:szCs w:val="17"/>
          <w:color w:val="auto"/>
        </w:rPr>
        <w:t>In May 2017, Mereo commenced a Phase 2b clinical trial of BPS-804 in the United States, Europe and Canada. The Phase 2b clinical trial is a multi-center, randomized trial with three blinded arms to establish the dose response curve and an open label arm at the top dose. The trial has completed enrollment of 112 patients. Similar to the Phase 2 clinical trial conducted by Novartis, Mereo enrolled patients with type I, III and IV OI. Mereo expects top-line 6-month data from the open label arm in the first half of 2019 and top-line 12-month data from the blinded arms by the end of 2019.</w:t>
      </w:r>
    </w:p>
    <w:p>
      <w:pPr>
        <w:spacing w:after="0" w:line="180" w:lineRule="exact"/>
        <w:rPr>
          <w:sz w:val="20"/>
          <w:szCs w:val="20"/>
          <w:color w:val="auto"/>
        </w:rPr>
      </w:pPr>
    </w:p>
    <w:p>
      <w:pPr>
        <w:ind w:left="440" w:right="60" w:firstLine="423"/>
        <w:spacing w:after="0" w:line="259" w:lineRule="auto"/>
        <w:rPr>
          <w:sz w:val="20"/>
          <w:szCs w:val="20"/>
          <w:color w:val="auto"/>
        </w:rPr>
      </w:pPr>
      <w:r>
        <w:rPr>
          <w:rFonts w:ascii="Arial" w:cs="Arial" w:eastAsia="Arial" w:hAnsi="Arial"/>
          <w:sz w:val="17"/>
          <w:szCs w:val="17"/>
          <w:color w:val="auto"/>
        </w:rPr>
        <w:t>The primary endpoint of this trial is the change in trabecular volumetric bone mineral density measured by HRpQCT and change in bone strength using finite element analysis (“FEA”). HRpQCT enables the measurement of relevant parameters of bone density, microstructure, and strength. FEA uses data from HRpQCT measurements to provide a predictive measure of the whole bone strength and biomechanical risk of fracture. Additional endpoints include further measures of bone parameters measured by HRpQCT, bone turnover markers and quality of life scores. Based on Mereo’s interactions with the EMA, Mereo believes that the results from this trial, if favorable, and validation of its use of HRpQCT as a biomarker for fracture, from its planned Phase 3 trial in children with OI, will be sufficient to support the submission of a CMA for BPS-804 for the treatment of adults with OI in the EU.</w:t>
      </w:r>
    </w:p>
    <w:p>
      <w:pPr>
        <w:spacing w:after="0" w:line="181" w:lineRule="exact"/>
        <w:rPr>
          <w:sz w:val="20"/>
          <w:szCs w:val="20"/>
          <w:color w:val="auto"/>
        </w:rPr>
      </w:pPr>
    </w:p>
    <w:p>
      <w:pPr>
        <w:ind w:left="440" w:right="40" w:firstLine="423"/>
        <w:spacing w:after="0" w:line="285" w:lineRule="auto"/>
        <w:rPr>
          <w:sz w:val="20"/>
          <w:szCs w:val="20"/>
          <w:color w:val="auto"/>
        </w:rPr>
      </w:pPr>
      <w:r>
        <w:rPr>
          <w:rFonts w:ascii="Arial" w:cs="Arial" w:eastAsia="Arial" w:hAnsi="Arial"/>
          <w:sz w:val="16"/>
          <w:szCs w:val="16"/>
          <w:color w:val="auto"/>
        </w:rPr>
        <w:t>In addition, Mereo has agreed on a pediatric investigational plan for BPS-804 with the EMA, and Mereo intends to commence a Phase 3 clinical trial of BPS-804 for the treatment of OI in children aged 5 to 18 in 2019. Mereo intends to enroll approximately 160 patients in this trial, with fracture rate as the primary endpoint. Based on Mereo’s interactions with the EMA, it expects the results from this trial, if favorable, will be sufficient to validate Mereo’s use of HRpQCT and support the submission of a MAA for BPS-804 for the treatment of children with severe OI in the EU.</w:t>
      </w:r>
    </w:p>
    <w:p>
      <w:pPr>
        <w:spacing w:after="0" w:line="162" w:lineRule="exact"/>
        <w:rPr>
          <w:sz w:val="20"/>
          <w:szCs w:val="20"/>
          <w:color w:val="auto"/>
        </w:rPr>
      </w:pPr>
    </w:p>
    <w:p>
      <w:pPr>
        <w:ind w:left="440" w:right="40" w:firstLine="423"/>
        <w:spacing w:after="0" w:line="295" w:lineRule="auto"/>
        <w:rPr>
          <w:sz w:val="20"/>
          <w:szCs w:val="20"/>
          <w:color w:val="auto"/>
        </w:rPr>
      </w:pPr>
      <w:r>
        <w:rPr>
          <w:rFonts w:ascii="Arial" w:cs="Arial" w:eastAsia="Arial" w:hAnsi="Arial"/>
          <w:sz w:val="15"/>
          <w:szCs w:val="15"/>
          <w:color w:val="auto"/>
        </w:rPr>
        <w:t>In the United States, the FDA in the first quarter of 2018 denied Mereo’s request for a Type C meeting to discuss the initiation of a pediatric Phase 3 study for BPS-804 for the treatment of patients with severe OI. The FDA cited a serious cardiovascular safety concern in adults treated with sclerostin inhibitors that had yet to be resolved and informed Mereo that a risk/benefit assessment for sclerostin inhibitors could not be completed at that time. The FDA further recommended that Mereo not submit its proposed pediatric protocol until the cardiovascular safety issue had been adequately addressed and favorably resolved. In January 2019 the FDA held an advisory committee meeting to discuss, what Mereo believes to be, the cardiovascular safety concerns cited above. At that meeting the Committee voted 18-1 to approve the drug discussed and in April 2019, the FDA approved it. Mereo believes the FDA now has fuller data on the cardiovascular safety issue and plans to re-engage with the FDA in 2019 to discuss the expansion of the pediatric Phase 3 study for BPS-804 for the treatment of patients with severe OI to include sites in the United States. Mereo does not believe the FDA’s previous concern was related to BPS-804. In any case, the FDA’s position does not impact Mereo’s ability to conduct its clinical development activities of BPS-804 for children with severe OI or Mereo’s clinical development activities of BPS-804 in Europe, the United States and Canada for adults with OI.</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MPH-966 (alvelestat) for the Treatment of Severe Alpha-1-Antitrypsin Deficiency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Overview</w:t>
      </w:r>
    </w:p>
    <w:p>
      <w:pPr>
        <w:spacing w:after="0" w:line="115"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7"/>
          <w:szCs w:val="17"/>
          <w:color w:val="auto"/>
        </w:rPr>
        <w:t>Mereo is developing MPH-966 (alvelestat) for the treatment of severe AATD, a potentially life-threatening rare, genetic condition that results in severe debilitating diseases, including early-onset pulmonary emphysema. MPH-966 is a novel, oral small molecule designed to inhibit NE. Scientific data indicate that the increased risk of lung tissue injury in AATD patients may be due to inadequately controlled NE caused by insufficient AAT. Mereo believes that by inhibiting NE, MPH-966 has the potential to reduce the destruction of lung tissue and stabilize clinical deterioration in severe AATD patients.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Background of Alpha-1-Antitrypsin Deficiency</w:t>
      </w:r>
    </w:p>
    <w:p>
      <w:pPr>
        <w:spacing w:after="0" w:line="115"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AATD is a genetic disease. There are estimated to be 50,000 people in North America and 60,000 in Europe with severe AATD, which Mereo defines as AATD in patients with either a PiZZ genotype or Null/Null genotype. The major function of AAT in the lungs is to protect the connective tissue from NE released from triggered neutrophils. In the majority of people, the lungs are defended from NE attack by AAT, which is a highly effective inhibitor of NE. Severe AATD patients, however, produce minimal or no AAT and are, therefore, unable to defend against NE attack. As a result, severe AATD patients commonly experience degeneration of lung function, such as early-onset pulmonary emphysema, which significantly affects quality of life and life expectancy.</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000"/>
          </w:cols>
          <w:pgMar w:left="240" w:top="445" w:right="6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80" w:firstLine="423"/>
        <w:spacing w:after="0" w:line="279" w:lineRule="auto"/>
        <w:rPr>
          <w:sz w:val="20"/>
          <w:szCs w:val="20"/>
          <w:color w:val="auto"/>
        </w:rPr>
      </w:pPr>
      <w:r>
        <w:rPr>
          <w:rFonts w:ascii="Arial" w:cs="Arial" w:eastAsia="Arial" w:hAnsi="Arial"/>
          <w:sz w:val="16"/>
          <w:szCs w:val="16"/>
          <w:color w:val="auto"/>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the amount of air that can be forcibly exhaled in one second (“FEV1”), a standard measure of exhalation. The annual mortality rate in this genotype estimated to be 4%. Given that individuals with the Null/Null genotype do not produce any AAT, Mereo believes that they are likely to experience an even greater annual decline in FEV1.</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Current Treatment Landscape for Alpha-1-Antitrypsin Deficiency</w:t>
      </w:r>
    </w:p>
    <w:p>
      <w:pPr>
        <w:spacing w:after="0" w:line="115" w:lineRule="exact"/>
        <w:rPr>
          <w:sz w:val="20"/>
          <w:szCs w:val="20"/>
          <w:color w:val="auto"/>
        </w:rPr>
      </w:pPr>
    </w:p>
    <w:p>
      <w:pPr>
        <w:ind w:left="440" w:right="160" w:firstLine="423"/>
        <w:spacing w:after="0" w:line="264" w:lineRule="auto"/>
        <w:rPr>
          <w:sz w:val="20"/>
          <w:szCs w:val="20"/>
          <w:color w:val="auto"/>
        </w:rPr>
      </w:pPr>
      <w:r>
        <w:rPr>
          <w:rFonts w:ascii="Arial" w:cs="Arial" w:eastAsia="Arial" w:hAnsi="Arial"/>
          <w:sz w:val="17"/>
          <w:szCs w:val="17"/>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176" w:lineRule="exact"/>
        <w:rPr>
          <w:sz w:val="20"/>
          <w:szCs w:val="20"/>
          <w:color w:val="auto"/>
        </w:rPr>
      </w:pPr>
    </w:p>
    <w:p>
      <w:pPr>
        <w:ind w:left="440" w:right="140" w:firstLine="423"/>
        <w:spacing w:after="0" w:line="260" w:lineRule="auto"/>
        <w:rPr>
          <w:sz w:val="20"/>
          <w:szCs w:val="20"/>
          <w:color w:val="auto"/>
        </w:rPr>
      </w:pPr>
      <w:r>
        <w:rPr>
          <w:rFonts w:ascii="Arial" w:cs="Arial" w:eastAsia="Arial" w:hAnsi="Arial"/>
          <w:sz w:val="17"/>
          <w:szCs w:val="17"/>
          <w:color w:val="auto"/>
        </w:rPr>
        <w:t>Augmentation therapy is available for AATD, using a partially purified plasma preparation highly enriched for AAT that is administered weekly by intravenous infusion. This therapy was approved by the FDA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w:t>
      </w:r>
    </w:p>
    <w:p>
      <w:pPr>
        <w:spacing w:after="0" w:line="180" w:lineRule="exact"/>
        <w:rPr>
          <w:sz w:val="20"/>
          <w:szCs w:val="20"/>
          <w:color w:val="auto"/>
        </w:rPr>
      </w:pPr>
    </w:p>
    <w:p>
      <w:pPr>
        <w:ind w:left="440" w:right="220" w:firstLine="423"/>
        <w:spacing w:after="0" w:line="293" w:lineRule="auto"/>
        <w:rPr>
          <w:sz w:val="20"/>
          <w:szCs w:val="20"/>
          <w:color w:val="auto"/>
        </w:rPr>
      </w:pPr>
      <w:r>
        <w:rPr>
          <w:rFonts w:ascii="Arial" w:cs="Arial" w:eastAsia="Arial" w:hAnsi="Arial"/>
          <w:sz w:val="16"/>
          <w:szCs w:val="16"/>
          <w:color w:val="auto"/>
        </w:rPr>
        <w:t>Mereo believes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In addition, AAT augmentation therapy requires potentially inconvenient weekly intravenous infusions.</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Mereo’s Approach</w:t>
      </w:r>
    </w:p>
    <w:p>
      <w:pPr>
        <w:spacing w:after="0" w:line="115" w:lineRule="exact"/>
        <w:rPr>
          <w:sz w:val="20"/>
          <w:szCs w:val="20"/>
          <w:color w:val="auto"/>
        </w:rPr>
      </w:pPr>
    </w:p>
    <w:p>
      <w:pPr>
        <w:ind w:left="440" w:right="360" w:firstLine="423"/>
        <w:spacing w:after="0" w:line="264" w:lineRule="auto"/>
        <w:rPr>
          <w:sz w:val="20"/>
          <w:szCs w:val="20"/>
          <w:color w:val="auto"/>
        </w:rPr>
      </w:pPr>
      <w:r>
        <w:rPr>
          <w:rFonts w:ascii="Arial" w:cs="Arial" w:eastAsia="Arial" w:hAnsi="Arial"/>
          <w:sz w:val="17"/>
          <w:szCs w:val="17"/>
          <w:color w:val="auto"/>
        </w:rPr>
        <w:t>Mereo’s product candidate for treating severe AATD is MPH-966, a potent, specific oral small molecule that is designed to inhibit NE. Mereo believes that by inhibiting NE, MPH-966 has the potential to reduce the enzymatic destruction of lung tissue. Furthermore, Mereo believes that convenient oral dosing of MPH-966 could provide a significant advantage compared to the current treatments for AATD of surgery or weekly intravenous AAT augmentation therapy.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Clinical Development of MPH-966</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table summarizes the historical and planned clinical trials of MPH-966:</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Historical Trials</w:t>
            </w:r>
          </w:p>
        </w:tc>
        <w:tc>
          <w:tcPr>
            <w:tcW w:w="8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Current Trials</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2"/>
              </w:rPr>
              <w:t>Subjects</w:t>
            </w: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77"/>
              </w:rPr>
              <w:t>Phase</w:t>
            </w:r>
          </w:p>
        </w:tc>
        <w:tc>
          <w:tcPr>
            <w:tcW w:w="800" w:type="dxa"/>
            <w:vAlign w:val="bottom"/>
            <w:vMerge w:val="restart"/>
          </w:tcPr>
          <w:p>
            <w:pPr>
              <w:spacing w:after="0"/>
              <w:rPr>
                <w:sz w:val="12"/>
                <w:szCs w:val="12"/>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5"/>
              </w:rPr>
              <w:t># of Studies</w:t>
            </w:r>
          </w:p>
        </w:tc>
        <w:tc>
          <w:tcPr>
            <w:tcW w:w="26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Population</w:t>
            </w:r>
          </w:p>
        </w:tc>
        <w:tc>
          <w:tcPr>
            <w:tcW w:w="128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89"/>
              </w:rPr>
              <w:t>Treated with</w:t>
            </w: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2"/>
              </w:rPr>
              <w:t>Phase</w:t>
            </w: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Population</w:t>
            </w: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Enrollment</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Trial Started</w:t>
            </w:r>
          </w:p>
        </w:tc>
        <w:tc>
          <w:tcPr>
            <w:tcW w:w="0" w:type="dxa"/>
            <w:vAlign w:val="bottom"/>
          </w:tcPr>
          <w:p>
            <w:pPr>
              <w:spacing w:after="0"/>
              <w:rPr>
                <w:sz w:val="1"/>
                <w:szCs w:val="1"/>
                <w:color w:val="auto"/>
              </w:rPr>
            </w:pPr>
          </w:p>
        </w:tc>
      </w:tr>
      <w:tr>
        <w:trPr>
          <w:trHeight w:val="172"/>
        </w:trPr>
        <w:tc>
          <w:tcPr>
            <w:tcW w:w="340" w:type="dxa"/>
            <w:vAlign w:val="bottom"/>
            <w:tcBorders>
              <w:bottom w:val="single" w:sz="8" w:color="auto"/>
            </w:tcBorders>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1280" w:type="dxa"/>
            <w:vAlign w:val="bottom"/>
            <w:gridSpan w:val="2"/>
          </w:tcPr>
          <w:p>
            <w:pPr>
              <w:jc w:val="center"/>
              <w:ind w:right="420"/>
              <w:spacing w:after="0" w:line="152" w:lineRule="exact"/>
              <w:rPr>
                <w:sz w:val="20"/>
                <w:szCs w:val="20"/>
                <w:color w:val="auto"/>
              </w:rPr>
            </w:pPr>
            <w:r>
              <w:rPr>
                <w:rFonts w:ascii="Arial" w:cs="Arial" w:eastAsia="Arial" w:hAnsi="Arial"/>
                <w:sz w:val="14"/>
                <w:szCs w:val="14"/>
                <w:b w:val="1"/>
                <w:bCs w:val="1"/>
                <w:color w:val="auto"/>
                <w:w w:val="98"/>
              </w:rPr>
              <w:t>MPH-966</w:t>
            </w:r>
          </w:p>
        </w:tc>
        <w:tc>
          <w:tcPr>
            <w:tcW w:w="104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14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Phase 1</w:t>
            </w:r>
          </w:p>
        </w:tc>
        <w:tc>
          <w:tcPr>
            <w:tcW w:w="80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4"/>
              </w:rPr>
              <w:t>7</w:t>
            </w:r>
          </w:p>
        </w:tc>
        <w:tc>
          <w:tcPr>
            <w:tcW w:w="40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2"/>
              </w:rPr>
              <w:t>Healthy Volunteers / COPD</w:t>
            </w:r>
          </w:p>
        </w:tc>
        <w:tc>
          <w:tcPr>
            <w:tcW w:w="4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1"/>
              </w:rPr>
              <w:t>143</w:t>
            </w:r>
          </w:p>
        </w:tc>
        <w:tc>
          <w:tcPr>
            <w:tcW w:w="4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6"/>
              </w:rPr>
              <w:t>Phase 2</w:t>
            </w:r>
          </w:p>
        </w:tc>
        <w:tc>
          <w:tcPr>
            <w:tcW w:w="4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rPr>
              <w:t>AATD</w:t>
            </w:r>
          </w:p>
        </w:tc>
        <w:tc>
          <w:tcPr>
            <w:tcW w:w="4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182"/>
              <w:spacing w:after="0" w:line="194" w:lineRule="exact"/>
              <w:rPr>
                <w:sz w:val="20"/>
                <w:szCs w:val="20"/>
                <w:color w:val="auto"/>
              </w:rPr>
            </w:pPr>
            <w:r>
              <w:rPr>
                <w:rFonts w:ascii="Arial" w:cs="Arial" w:eastAsia="Arial" w:hAnsi="Arial"/>
                <w:sz w:val="17"/>
                <w:szCs w:val="17"/>
                <w:color w:val="auto"/>
              </w:rPr>
              <w:t>165</w:t>
            </w:r>
          </w:p>
        </w:tc>
        <w:tc>
          <w:tcPr>
            <w:tcW w:w="4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1"/>
              </w:rPr>
              <w:t>Q4 2018</w:t>
            </w:r>
          </w:p>
        </w:tc>
        <w:tc>
          <w:tcPr>
            <w:tcW w:w="0" w:type="dxa"/>
            <w:vAlign w:val="bottom"/>
          </w:tcPr>
          <w:p>
            <w:pPr>
              <w:spacing w:after="0"/>
              <w:rPr>
                <w:sz w:val="1"/>
                <w:szCs w:val="1"/>
                <w:color w:val="auto"/>
              </w:rPr>
            </w:pPr>
          </w:p>
        </w:tc>
      </w:tr>
      <w:tr>
        <w:trPr>
          <w:trHeight w:val="207"/>
        </w:trPr>
        <w:tc>
          <w:tcPr>
            <w:tcW w:w="1140" w:type="dxa"/>
            <w:vAlign w:val="bottom"/>
            <w:gridSpan w:val="2"/>
          </w:tcPr>
          <w:p>
            <w:pPr>
              <w:spacing w:after="0"/>
              <w:rPr>
                <w:sz w:val="20"/>
                <w:szCs w:val="20"/>
                <w:color w:val="auto"/>
              </w:rPr>
            </w:pPr>
            <w:r>
              <w:rPr>
                <w:rFonts w:ascii="Arial" w:cs="Arial" w:eastAsia="Arial" w:hAnsi="Arial"/>
                <w:sz w:val="17"/>
                <w:szCs w:val="17"/>
                <w:color w:val="auto"/>
              </w:rPr>
              <w:t>Phase 2</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400" w:type="dxa"/>
            <w:vAlign w:val="bottom"/>
          </w:tcPr>
          <w:p>
            <w:pPr>
              <w:spacing w:after="0"/>
              <w:rPr>
                <w:sz w:val="18"/>
                <w:szCs w:val="18"/>
                <w:color w:val="auto"/>
              </w:rPr>
            </w:pPr>
          </w:p>
        </w:tc>
        <w:tc>
          <w:tcPr>
            <w:tcW w:w="2640" w:type="dxa"/>
            <w:vAlign w:val="bottom"/>
            <w:gridSpan w:val="2"/>
          </w:tcPr>
          <w:p>
            <w:pPr>
              <w:jc w:val="center"/>
              <w:ind w:right="420"/>
              <w:spacing w:after="0"/>
              <w:rPr>
                <w:sz w:val="20"/>
                <w:szCs w:val="20"/>
                <w:color w:val="auto"/>
              </w:rPr>
            </w:pPr>
            <w:r>
              <w:rPr>
                <w:rFonts w:ascii="Arial" w:cs="Arial" w:eastAsia="Arial" w:hAnsi="Arial"/>
                <w:sz w:val="17"/>
                <w:szCs w:val="17"/>
                <w:color w:val="auto"/>
                <w:w w:val="93"/>
              </w:rPr>
              <w:t>COPD</w:t>
            </w:r>
          </w:p>
        </w:tc>
        <w:tc>
          <w:tcPr>
            <w:tcW w:w="860" w:type="dxa"/>
            <w:vAlign w:val="bottom"/>
          </w:tcPr>
          <w:p>
            <w:pPr>
              <w:jc w:val="center"/>
              <w:spacing w:after="0"/>
              <w:rPr>
                <w:sz w:val="20"/>
                <w:szCs w:val="20"/>
                <w:color w:val="auto"/>
              </w:rPr>
            </w:pPr>
            <w:r>
              <w:rPr>
                <w:rFonts w:ascii="Arial" w:cs="Arial" w:eastAsia="Arial" w:hAnsi="Arial"/>
                <w:sz w:val="17"/>
                <w:szCs w:val="17"/>
                <w:color w:val="auto"/>
                <w:w w:val="91"/>
              </w:rPr>
              <w:t>958</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Phase 2</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4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420"/>
              <w:spacing w:after="0"/>
              <w:rPr>
                <w:sz w:val="20"/>
                <w:szCs w:val="20"/>
                <w:color w:val="auto"/>
              </w:rPr>
            </w:pPr>
            <w:r>
              <w:rPr>
                <w:rFonts w:ascii="Arial" w:cs="Arial" w:eastAsia="Arial" w:hAnsi="Arial"/>
                <w:sz w:val="17"/>
                <w:szCs w:val="17"/>
                <w:color w:val="auto"/>
                <w:w w:val="96"/>
              </w:rPr>
              <w:t>CF</w:t>
            </w: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26</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gridSpan w:val="2"/>
          </w:tcPr>
          <w:p>
            <w:pPr>
              <w:spacing w:after="0"/>
              <w:rPr>
                <w:sz w:val="20"/>
                <w:szCs w:val="20"/>
                <w:color w:val="auto"/>
              </w:rPr>
            </w:pPr>
            <w:r>
              <w:rPr>
                <w:rFonts w:ascii="Arial" w:cs="Arial" w:eastAsia="Arial" w:hAnsi="Arial"/>
                <w:sz w:val="17"/>
                <w:szCs w:val="17"/>
                <w:color w:val="auto"/>
              </w:rPr>
              <w:t>Phase 2</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400" w:type="dxa"/>
            <w:vAlign w:val="bottom"/>
          </w:tcPr>
          <w:p>
            <w:pPr>
              <w:spacing w:after="0"/>
              <w:rPr>
                <w:sz w:val="19"/>
                <w:szCs w:val="19"/>
                <w:color w:val="auto"/>
              </w:rPr>
            </w:pPr>
          </w:p>
        </w:tc>
        <w:tc>
          <w:tcPr>
            <w:tcW w:w="2640" w:type="dxa"/>
            <w:vAlign w:val="bottom"/>
            <w:gridSpan w:val="2"/>
          </w:tcPr>
          <w:p>
            <w:pPr>
              <w:jc w:val="center"/>
              <w:ind w:right="420"/>
              <w:spacing w:after="0"/>
              <w:rPr>
                <w:sz w:val="20"/>
                <w:szCs w:val="20"/>
                <w:color w:val="auto"/>
              </w:rPr>
            </w:pPr>
            <w:r>
              <w:rPr>
                <w:rFonts w:ascii="Arial" w:cs="Arial" w:eastAsia="Arial" w:hAnsi="Arial"/>
                <w:sz w:val="17"/>
                <w:szCs w:val="17"/>
                <w:color w:val="auto"/>
                <w:w w:val="92"/>
              </w:rPr>
              <w:t>Bronchiectasis</w:t>
            </w:r>
          </w:p>
        </w:tc>
        <w:tc>
          <w:tcPr>
            <w:tcW w:w="860" w:type="dxa"/>
            <w:vAlign w:val="bottom"/>
          </w:tcPr>
          <w:p>
            <w:pPr>
              <w:jc w:val="center"/>
              <w:spacing w:after="0"/>
              <w:rPr>
                <w:sz w:val="20"/>
                <w:szCs w:val="20"/>
                <w:color w:val="auto"/>
              </w:rPr>
            </w:pPr>
            <w:r>
              <w:rPr>
                <w:rFonts w:ascii="Arial" w:cs="Arial" w:eastAsia="Arial" w:hAnsi="Arial"/>
                <w:sz w:val="17"/>
                <w:szCs w:val="17"/>
                <w:color w:val="auto"/>
                <w:w w:val="94"/>
              </w:rPr>
              <w:t>22</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Phase 2 Clinical Trials</w:t>
      </w:r>
    </w:p>
    <w:p>
      <w:pPr>
        <w:spacing w:after="0" w:line="115" w:lineRule="exact"/>
        <w:rPr>
          <w:sz w:val="20"/>
          <w:szCs w:val="20"/>
          <w:color w:val="auto"/>
        </w:rPr>
      </w:pPr>
    </w:p>
    <w:p>
      <w:pPr>
        <w:ind w:left="440" w:right="140" w:firstLine="423"/>
        <w:spacing w:after="0" w:line="321" w:lineRule="auto"/>
        <w:rPr>
          <w:sz w:val="20"/>
          <w:szCs w:val="20"/>
          <w:color w:val="auto"/>
        </w:rPr>
      </w:pPr>
      <w:r>
        <w:rPr>
          <w:rFonts w:ascii="Arial" w:cs="Arial" w:eastAsia="Arial" w:hAnsi="Arial"/>
          <w:sz w:val="15"/>
          <w:szCs w:val="15"/>
          <w:color w:val="auto"/>
        </w:rPr>
        <w:t>Although prior clinical trials of MPH-966 were in indications other than AATD, Mereo believes that the clinical benefit observed in these trials and the biomarker evidence of treatment effect make MPH-966 a promising potential product candidate for treating severe AATD. In particular, Mereo believes the results from the Phase 2 clinical trials in bronchiectasis and CF are most relevant in assessing MPH-966’s potential to treat severe AATD.</w:t>
      </w:r>
    </w:p>
    <w:p>
      <w:pPr>
        <w:spacing w:after="0" w:line="7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000"/>
          </w:cols>
          <w:pgMar w:left="240" w:top="445" w:right="6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u w:val="single" w:color="auto"/>
          <w:color w:val="auto"/>
        </w:rPr>
        <w:t>Phase 2 Clinical Trial in Bronchiectasis</w:t>
      </w:r>
    </w:p>
    <w:p>
      <w:pPr>
        <w:spacing w:after="0" w:line="115" w:lineRule="exact"/>
        <w:rPr>
          <w:sz w:val="20"/>
          <w:szCs w:val="20"/>
          <w:color w:val="auto"/>
        </w:rPr>
      </w:pPr>
    </w:p>
    <w:p>
      <w:pPr>
        <w:ind w:left="440" w:right="80" w:firstLine="423"/>
        <w:spacing w:after="0" w:line="281" w:lineRule="auto"/>
        <w:rPr>
          <w:sz w:val="20"/>
          <w:szCs w:val="20"/>
          <w:color w:val="auto"/>
        </w:rPr>
      </w:pPr>
      <w:r>
        <w:rPr>
          <w:rFonts w:ascii="Arial" w:cs="Arial" w:eastAsia="Arial" w:hAnsi="Arial"/>
          <w:sz w:val="16"/>
          <w:szCs w:val="16"/>
          <w:color w:val="auto"/>
        </w:rPr>
        <w:t>AstraZeneca conducted a double-blind, placebo-controlled Phase 2 clinical trial in bronchiectasis in a total of 38 patients, 22 of whom were treated with MPH-966, using a 60 mg dose of MPH-966 administered twice daily for four weeks. Bronchiectasis is a disease characterized by localized, irreversible dilatation of parts of the bronchial tree, caused by destruction of the structural components of the bronchial wall that result from a vicious cycle of transmural infection and inflammation. Neutrophils play a key role in inflammation in bronchiectasis with airway neutrophilia resulting in high concentrations of neutrophil proteases, such as NE, which may be inadequately neutralized by anti-proteases.</w:t>
      </w:r>
    </w:p>
    <w:p>
      <w:pPr>
        <w:spacing w:after="0" w:line="166" w:lineRule="exact"/>
        <w:rPr>
          <w:sz w:val="20"/>
          <w:szCs w:val="20"/>
          <w:color w:val="auto"/>
        </w:rPr>
      </w:pPr>
    </w:p>
    <w:p>
      <w:pPr>
        <w:ind w:left="440" w:right="60" w:firstLine="423"/>
        <w:spacing w:after="0" w:line="279" w:lineRule="auto"/>
        <w:rPr>
          <w:sz w:val="20"/>
          <w:szCs w:val="20"/>
          <w:color w:val="auto"/>
        </w:rPr>
      </w:pPr>
      <w:r>
        <w:rPr>
          <w:rFonts w:ascii="Arial" w:cs="Arial" w:eastAsia="Arial" w:hAnsi="Arial"/>
          <w:sz w:val="16"/>
          <w:szCs w:val="16"/>
          <w:color w:val="auto"/>
        </w:rPr>
        <w:t>The results of this four-week trial showed a statistically significant improvement at day 28 versus placebo in mean FEV1 of 100 ml (p=0.006) and a clinically meaningful improvement of 130 ml (p=0.079) in mean slow vital capacity, which measures the volume of air on a slow full expiration of air in the patient’s lungs. The effect on the St. George’s Respiratory Questionnaire, a questionnaire that measures quality of life in patients with diseases of airways obstruction, favored MPH-966 overall and in each measured domain, with a more than four-unit difference in the overall score, demonstrating clinical relevance. In addition, although the data did not show statistical significance in desmosine levels in urine, the treatment group showed a reduction in desmosine levels while the placebo group showed an increase in desmosine levels.</w:t>
      </w:r>
    </w:p>
    <w:p>
      <w:pPr>
        <w:spacing w:after="0" w:line="167" w:lineRule="exact"/>
        <w:rPr>
          <w:sz w:val="20"/>
          <w:szCs w:val="20"/>
          <w:color w:val="auto"/>
        </w:rPr>
      </w:pPr>
    </w:p>
    <w:p>
      <w:pPr>
        <w:ind w:left="440" w:right="100" w:firstLine="423"/>
        <w:spacing w:after="0" w:line="354" w:lineRule="auto"/>
        <w:rPr>
          <w:sz w:val="20"/>
          <w:szCs w:val="20"/>
          <w:color w:val="auto"/>
        </w:rPr>
      </w:pPr>
      <w:r>
        <w:rPr>
          <w:rFonts w:ascii="Arial" w:cs="Arial" w:eastAsia="Arial" w:hAnsi="Arial"/>
          <w:sz w:val="15"/>
          <w:szCs w:val="15"/>
          <w:color w:val="auto"/>
        </w:rPr>
        <w:t>Mereo believes that bronchiectasis and AATD share common pathological features such as damage to structural parts of the bronchial tree caused by neutrophil proteases that support the potential for MPH-966 to treat severe AATD, a disease driven primarily by insufficient inhibition of NE.</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17"/>
          <w:szCs w:val="17"/>
          <w:u w:val="single" w:color="auto"/>
          <w:color w:val="auto"/>
        </w:rPr>
        <w:t>Phase 2 Clinical Trial in Cystic Fibrosis</w:t>
      </w:r>
    </w:p>
    <w:p>
      <w:pPr>
        <w:spacing w:after="0" w:line="115" w:lineRule="exact"/>
        <w:rPr>
          <w:sz w:val="20"/>
          <w:szCs w:val="20"/>
          <w:color w:val="auto"/>
        </w:rPr>
      </w:pPr>
    </w:p>
    <w:p>
      <w:pPr>
        <w:ind w:left="440" w:right="160" w:firstLine="423"/>
        <w:spacing w:after="0" w:line="281" w:lineRule="auto"/>
        <w:rPr>
          <w:sz w:val="20"/>
          <w:szCs w:val="20"/>
          <w:color w:val="auto"/>
        </w:rPr>
      </w:pPr>
      <w:r>
        <w:rPr>
          <w:rFonts w:ascii="Arial" w:cs="Arial" w:eastAsia="Arial" w:hAnsi="Arial"/>
          <w:sz w:val="16"/>
          <w:szCs w:val="16"/>
          <w:color w:val="auto"/>
        </w:rPr>
        <w:t>AstraZeneca conducted a double-blind, placebo-controlled Phase 2 clinical trial in CF in a total of 56 patients, 26 of whom were treated with MPH-966, using a 60 mg dose of MPH-966 administered twice daily for four weeks. CF is a disease that results in thickened secretions and endobronchial infections. These chronic infections are associated with an exaggerated inflammatory response in the airways and neutrophil infiltration of the lungs. The presence of neutrophils in the airways, and the resulting high concentrations of neutrophil proteases, such as NE, suggest that neutrophils are contributors in the pathogenesis of the proteolytic lung destruction associated with CF.</w:t>
      </w:r>
    </w:p>
    <w:p>
      <w:pPr>
        <w:spacing w:after="0" w:line="166" w:lineRule="exact"/>
        <w:rPr>
          <w:sz w:val="20"/>
          <w:szCs w:val="20"/>
          <w:color w:val="auto"/>
        </w:rPr>
      </w:pPr>
    </w:p>
    <w:p>
      <w:pPr>
        <w:ind w:left="440" w:right="60" w:firstLine="423"/>
        <w:spacing w:after="0" w:line="258" w:lineRule="auto"/>
        <w:rPr>
          <w:sz w:val="20"/>
          <w:szCs w:val="20"/>
          <w:color w:val="auto"/>
        </w:rPr>
      </w:pPr>
      <w:r>
        <w:rPr>
          <w:rFonts w:ascii="Arial" w:cs="Arial" w:eastAsia="Arial" w:hAnsi="Arial"/>
          <w:sz w:val="17"/>
          <w:szCs w:val="17"/>
          <w:color w:val="auto"/>
        </w:rPr>
        <w:t>The trial was designed to examine the safety and efficacy of MPH-966 and its effect on the biomarkers of lung damage. The trial did not demonstrate a statistically significant benefit in lung function, which Mereo believes was due to the anti-proteolytic mechanism of action of MPH-966 only addressing one component of the pathology of CF. However, there was a statistically significant reduction in free desmosine in urine corrected for creatinine (p=0.002), and a reduction in plasma desmosine of 16%. Desmosine and isodesmosine are unique cross linking amino acids in elastin. Elastin is a protein that makes up the structure of the alveoli in the lungs and provides the pressure that allows for easy breathing, but is vulnerable to breakdown by NE. The reduction in desmosine in this trial indicates a reduction in the breakdown of elastin. As the proposed mechanism of action of MPH-966 is to inhibit the neutrophil elastase activity in severe AATD patients, Mereo believes this supports the utility of desmosine as a clinical biomarker in its Phase 2 proof-of-concept study.</w:t>
      </w:r>
    </w:p>
    <w:p>
      <w:pPr>
        <w:spacing w:after="0" w:line="184" w:lineRule="exact"/>
        <w:rPr>
          <w:sz w:val="20"/>
          <w:szCs w:val="20"/>
          <w:color w:val="auto"/>
        </w:rPr>
      </w:pPr>
    </w:p>
    <w:p>
      <w:pPr>
        <w:ind w:left="440" w:right="540" w:firstLine="423"/>
        <w:spacing w:after="0" w:line="284" w:lineRule="auto"/>
        <w:rPr>
          <w:sz w:val="20"/>
          <w:szCs w:val="20"/>
          <w:color w:val="auto"/>
        </w:rPr>
      </w:pPr>
      <w:r>
        <w:rPr>
          <w:rFonts w:ascii="Arial" w:cs="Arial" w:eastAsia="Arial" w:hAnsi="Arial"/>
          <w:sz w:val="17"/>
          <w:szCs w:val="17"/>
          <w:color w:val="auto"/>
        </w:rPr>
        <w:t>Mereo believes that the data from this trial provide proof of concept for mechanistic effect and the use of desmosine as a biomarker of lung degradation in diseases of high or unopposed NE, such as severe AATD.</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Summary of Safety Results</w:t>
      </w:r>
    </w:p>
    <w:p>
      <w:pPr>
        <w:spacing w:after="0" w:line="115"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In the clinical trials conducted by AstraZeneca, no treatment-related serious adverse events were identified. A dose of up to 120 mg twice daily was well tolerated in Phase 1 clinical trials and a dose of 60 mg twice daily was well tolerated in the CF, bronchiectasis and COPD Phase 2 trials. Across the 1,149 patients and healthy volunteers treated with MPH-966, 16 patients had an elevation of liver enzymes with alanine transaminase or aspartate transaminase enzyme concentrations elevated to greater than three times the upper limit of normal, but no patient met the criteria of Hy’s law of drug-induced liver injury and no dose dependency was observed. Independent safety review committees evaluated this data and recommended that the trials continue.</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000"/>
          </w:cols>
          <w:pgMar w:left="240" w:top="445" w:right="6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Phase 2 Clinical Trial in Severe AATD</w:t>
      </w:r>
    </w:p>
    <w:p>
      <w:pPr>
        <w:spacing w:after="0" w:line="115" w:lineRule="exact"/>
        <w:rPr>
          <w:sz w:val="20"/>
          <w:szCs w:val="20"/>
          <w:color w:val="auto"/>
        </w:rPr>
      </w:pPr>
    </w:p>
    <w:p>
      <w:pPr>
        <w:ind w:left="440" w:right="80" w:firstLine="423"/>
        <w:spacing w:after="0" w:line="281" w:lineRule="auto"/>
        <w:rPr>
          <w:sz w:val="20"/>
          <w:szCs w:val="20"/>
          <w:color w:val="auto"/>
        </w:rPr>
      </w:pPr>
      <w:r>
        <w:rPr>
          <w:rFonts w:ascii="Arial" w:cs="Arial" w:eastAsia="Arial" w:hAnsi="Arial"/>
          <w:sz w:val="16"/>
          <w:szCs w:val="16"/>
          <w:color w:val="auto"/>
        </w:rPr>
        <w:t>Mereo is conducting a Phase 2 proof-of-concept clinical trial of MPH-966 in 165 patients with severe AATD in the United States and the EU and expect to report top-line data in the fourth quarter of 2019. The trial is a 12-week, double-blind, placebo-controlled clinical trial examining two doses of MPH-966 compared to placebo with primary endpoints of elastin breakdown as measured by the biomarker desmosine. Mereo believes that by inhibiting NE, MPH-966 will reduce the breakdown of elastin and therefore the amount of desmosine. Planned secondary endpoints are plasma Aα-Val(360), a biomarker of NE activity, NE activity in sputum, and lung function tests, including FEV1.</w:t>
      </w:r>
    </w:p>
    <w:p>
      <w:pPr>
        <w:spacing w:after="0" w:line="166" w:lineRule="exact"/>
        <w:rPr>
          <w:sz w:val="20"/>
          <w:szCs w:val="20"/>
          <w:color w:val="auto"/>
        </w:rPr>
      </w:pPr>
    </w:p>
    <w:p>
      <w:pPr>
        <w:ind w:left="440" w:right="380" w:firstLine="423"/>
        <w:spacing w:after="0" w:line="284" w:lineRule="auto"/>
        <w:rPr>
          <w:sz w:val="20"/>
          <w:szCs w:val="20"/>
          <w:color w:val="auto"/>
        </w:rPr>
      </w:pPr>
      <w:r>
        <w:rPr>
          <w:rFonts w:ascii="Arial" w:cs="Arial" w:eastAsia="Arial" w:hAnsi="Arial"/>
          <w:sz w:val="17"/>
          <w:szCs w:val="17"/>
          <w:color w:val="auto"/>
        </w:rPr>
        <w:t>Mereo plans to enroll only patients with PiZZ or Null/Null genotypes with confirmed emphysema, who have not received AAT augmentation therapy or have undergone a wash-out period following AAT augmentation therapy.</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If the results from this trial are favorable, Mereo intends to seek regulatory advice on the design of, and commence, a pivotal trial.</w:t>
      </w:r>
    </w:p>
    <w:p>
      <w:pPr>
        <w:spacing w:after="0" w:line="219" w:lineRule="exact"/>
        <w:rPr>
          <w:sz w:val="20"/>
          <w:szCs w:val="20"/>
          <w:color w:val="auto"/>
        </w:rPr>
      </w:pPr>
    </w:p>
    <w:p>
      <w:pPr>
        <w:jc w:val="both"/>
        <w:ind w:left="440" w:right="60" w:firstLine="423"/>
        <w:spacing w:after="0" w:line="264" w:lineRule="auto"/>
        <w:rPr>
          <w:sz w:val="20"/>
          <w:szCs w:val="20"/>
          <w:color w:val="auto"/>
        </w:rPr>
      </w:pPr>
      <w:r>
        <w:rPr>
          <w:rFonts w:ascii="Arial" w:cs="Arial" w:eastAsia="Arial" w:hAnsi="Arial"/>
          <w:sz w:val="17"/>
          <w:szCs w:val="17"/>
          <w:color w:val="auto"/>
        </w:rPr>
        <w:t>Mereo received an investment from, and is collaborating with, the venture philanthropy arm of the Alpha-1 Foundation, The Alpha-1 Project, Inc. (“TAP”) with respect to Mereo’s MPH-966 development program. TAP is investing in the program subject to Mereo meeting agreed-upon development milestones. Mereo also agreed to issue warrants to TAP to subscribe for shares in Mereo, at certain future dates and subject to TAP making agreed-upon investments in the MPH-966 development program.</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BCT-197 (acumapimod) for the Treatment of AECOPD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Overview</w:t>
      </w:r>
    </w:p>
    <w:p>
      <w:pPr>
        <w:spacing w:after="0" w:line="115" w:lineRule="exact"/>
        <w:rPr>
          <w:sz w:val="20"/>
          <w:szCs w:val="20"/>
          <w:color w:val="auto"/>
        </w:rPr>
      </w:pPr>
    </w:p>
    <w:p>
      <w:pPr>
        <w:ind w:left="440" w:right="40" w:firstLine="423"/>
        <w:spacing w:after="0" w:line="281" w:lineRule="auto"/>
        <w:rPr>
          <w:sz w:val="20"/>
          <w:szCs w:val="20"/>
          <w:color w:val="auto"/>
        </w:rPr>
      </w:pPr>
      <w:r>
        <w:rPr>
          <w:rFonts w:ascii="Arial" w:cs="Arial" w:eastAsia="Arial" w:hAnsi="Arial"/>
          <w:sz w:val="16"/>
          <w:szCs w:val="16"/>
          <w:color w:val="auto"/>
        </w:rPr>
        <w:t>Mereo is developing BCT-197 (acumapimod) as a first-line acute therapy in patients with a severe AECOPD. BCT-197 is a novel, orally active p38 MAP kinase inhibitor designed to inhibit the pathological mechanism behind inflammation, which is a key feature of AECOPD. Currently available treatments only manage the symptoms of severe AECOPDs and are comprised primarily of oxygen therapy, corticosteroids, antibiotics, and bronchodilators. Mereo believes BCT-197 offers a potential new treatment by targeting the underlying disease and delivering tangible benefits for patients and payors by potentially preventing severe AECOPD, or reducing the frequency of exacerbations and reducing readmissions.</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Background of COPD and AECOPD</w:t>
      </w:r>
    </w:p>
    <w:p>
      <w:pPr>
        <w:spacing w:after="0" w:line="115"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COPD includes chronic bronchitis, emphysema, refractory (non-reversible) asthma, and some forms of bronchiectasis. COPD is a non-fully-reversible, progressive lung disease that was the third largest cause of death in the world in 2010 according to the Global Burden of Disease Study, and the WHO forecasts that it will remain the third largest cause of death in the world in 2030. The National Heart Lung Blood Institute estimates that 16 million people in the United States have been diagnosed with the disease and the same number likely suffer from the disease without being aware of it. The European COPD Coalition estimates that 13 million people in Europe have been diagnosed with COPD. In 2015, according to the WHO, there were over three million deaths from the disease worldwide.</w:t>
      </w:r>
    </w:p>
    <w:p>
      <w:pPr>
        <w:spacing w:after="0" w:line="180" w:lineRule="exact"/>
        <w:rPr>
          <w:sz w:val="20"/>
          <w:szCs w:val="20"/>
          <w:color w:val="auto"/>
        </w:rPr>
      </w:pPr>
    </w:p>
    <w:p>
      <w:pPr>
        <w:ind w:left="440" w:right="180" w:firstLine="423"/>
        <w:spacing w:after="0" w:line="260" w:lineRule="auto"/>
        <w:rPr>
          <w:sz w:val="20"/>
          <w:szCs w:val="20"/>
          <w:color w:val="auto"/>
        </w:rPr>
      </w:pPr>
      <w:r>
        <w:rPr>
          <w:rFonts w:ascii="Arial" w:cs="Arial" w:eastAsia="Arial" w:hAnsi="Arial"/>
          <w:sz w:val="17"/>
          <w:szCs w:val="17"/>
          <w:color w:val="auto"/>
        </w:rPr>
        <w:t>An AECOPD is defined as an acute event characterized by a worsening of the patient’s symptoms beyond normal day-to-day variations that requires a change in medication and a severe AECOPD is where a patient requires hospitalization or visits the emergency room. Typical symptoms include an increase in breathlessness and/or increase in sputum production, which lead to an increase in the frequency or dose of bronchodilators or an increase in corticosteroid use, or the need to seek further medical attention. The risk of AECOPD increases with COPD progression and increases following exacerbations. Increased inflammation is a core feature of an AECOPD. This is demonstrated by inflamed airways and the influx of white blood cells that respond to and can propagate inflammation.</w:t>
      </w:r>
    </w:p>
    <w:p>
      <w:pPr>
        <w:spacing w:after="0" w:line="180" w:lineRule="exact"/>
        <w:rPr>
          <w:sz w:val="20"/>
          <w:szCs w:val="20"/>
          <w:color w:val="auto"/>
        </w:rPr>
      </w:pPr>
    </w:p>
    <w:p>
      <w:pPr>
        <w:ind w:left="440" w:right="40" w:firstLine="423"/>
        <w:spacing w:after="0" w:line="278" w:lineRule="auto"/>
        <w:rPr>
          <w:sz w:val="20"/>
          <w:szCs w:val="20"/>
          <w:color w:val="auto"/>
        </w:rPr>
      </w:pPr>
      <w:r>
        <w:rPr>
          <w:rFonts w:ascii="Arial" w:cs="Arial" w:eastAsia="Arial" w:hAnsi="Arial"/>
          <w:sz w:val="16"/>
          <w:szCs w:val="16"/>
          <w:color w:val="auto"/>
        </w:rPr>
        <w:t>On average, COPD patients suffer one to three AECOPDs per year with an average hospital stay, if admitted, of three to 10 days. Each episode of AECOPD poses significant risk to the patient, including an increased risk of death. Approximately 8% of patients admitted to the hospital for COPD die while in the hospital. The frequency and severity of exacerbations increase with age, disease severity and history of prior AECOPD. The five-year survival rate for those suffering three or more AECOPDs per year is 30%, but those who do not suffer AECOPDs have an 80% survival rate. Moderate to severe cases of AECOPD can also result in greatly diminished quality of life, disability, and serious co-morbidities, including heart disease. After an AECOPD many patients do not return to its pre-AECOPD baseline respiratory function. Furthermore, a patient who has several AECOPDs a year is typically exposed to large quantities of systemic corticosteroids, which can lead to osteoporosis and diabetes.</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000"/>
          </w:cols>
          <w:pgMar w:left="240" w:top="445" w:right="6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firstLine="423"/>
        <w:spacing w:after="0" w:line="276" w:lineRule="auto"/>
        <w:rPr>
          <w:sz w:val="20"/>
          <w:szCs w:val="20"/>
          <w:color w:val="auto"/>
        </w:rPr>
      </w:pPr>
      <w:r>
        <w:rPr>
          <w:rFonts w:ascii="Arial" w:cs="Arial" w:eastAsia="Arial" w:hAnsi="Arial"/>
          <w:sz w:val="16"/>
          <w:szCs w:val="16"/>
          <w:color w:val="auto"/>
        </w:rPr>
        <w:t>AECOPDs account for the greatest proportion of COPD costs. Of all COPD-related hospital admissions in the United States, approximately 63% are for AECOPD patients, representing more than 1.5 million emergency room visits in the United States alone. Based on current estimates of U.S. COPD rates, the direct costs of COPD are estimated at $4,000 per patient per year. Costs increase in correlation with each progressive stage of the disease. In the United States in 2010, mild COPD patients had median direct costs of $1,681 per patient per year, moderate patients had direct costs of $5,037 per patient per year and severe patients had direct costs of $10,812 per patient per year. Hospital stays make up the greatest proportion of the total COPD burden on the healthcare system, accounting for approximately 45% to 50% of the total direct cost generated by COPD patients. The mean length of hospital stays varies but is typically about 4.7 days. In the United States, the average cost of admission is $7,500 but more than 20% of patients are re-admitted within 30 days with significantly higher cost.</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Current Treatment Landscape of AECOPD</w:t>
      </w:r>
    </w:p>
    <w:p>
      <w:pPr>
        <w:spacing w:after="0" w:line="115" w:lineRule="exact"/>
        <w:rPr>
          <w:sz w:val="20"/>
          <w:szCs w:val="20"/>
          <w:color w:val="auto"/>
        </w:rPr>
      </w:pPr>
    </w:p>
    <w:p>
      <w:pPr>
        <w:ind w:left="440" w:right="80" w:firstLine="423"/>
        <w:spacing w:after="0" w:line="261" w:lineRule="auto"/>
        <w:rPr>
          <w:sz w:val="20"/>
          <w:szCs w:val="20"/>
          <w:color w:val="auto"/>
        </w:rPr>
      </w:pPr>
      <w:r>
        <w:rPr>
          <w:rFonts w:ascii="Arial" w:cs="Arial" w:eastAsia="Arial" w:hAnsi="Arial"/>
          <w:sz w:val="17"/>
          <w:szCs w:val="17"/>
          <w:color w:val="auto"/>
        </w:rPr>
        <w:t>Mereo is not aware of any approved therapies for the treatment of AECOPD in the United States or the EU. The management of AECOPD is directed at relieving symptoms and restoring functional capacity of the airways. In its milder forms, an AECOPD can be controlled with inhaled steroids, bronchodilators, and antibiotics. The bronchodilators reduce the patients’ breathlessness by opening up the airways, and corticosteroids reduce inflammation. In more severe cases, AECOPD requires hospitalization, where patients are typically treated with oral or intravenous steroids and antibiotics.</w:t>
      </w:r>
    </w:p>
    <w:p>
      <w:pPr>
        <w:spacing w:after="0" w:line="180" w:lineRule="exact"/>
        <w:rPr>
          <w:sz w:val="20"/>
          <w:szCs w:val="20"/>
          <w:color w:val="auto"/>
        </w:rPr>
      </w:pPr>
    </w:p>
    <w:p>
      <w:pPr>
        <w:ind w:left="440" w:right="120" w:firstLine="423"/>
        <w:spacing w:after="0" w:line="285" w:lineRule="auto"/>
        <w:rPr>
          <w:sz w:val="20"/>
          <w:szCs w:val="20"/>
          <w:color w:val="auto"/>
        </w:rPr>
      </w:pPr>
      <w:r>
        <w:rPr>
          <w:rFonts w:ascii="Arial" w:cs="Arial" w:eastAsia="Arial" w:hAnsi="Arial"/>
          <w:sz w:val="16"/>
          <w:szCs w:val="16"/>
          <w:color w:val="auto"/>
        </w:rPr>
        <w:t>The current recommended management for AECOPD includes beta2 agonists, the addition of anticholinergics or an increase in its dosage, the systemic administration of corticosteroids and antibiotics, and the intravenous administration of methylxanthines, such as aminophylline. Additionally, supporting oxygen therapy is used in order to provide the patient with sufficient blood oxygen levels. While AECOPDs are often triggered by bacterial or viral pathogens or pollutants, antibiotics are often used as the precise etiology is often unknown.</w:t>
      </w:r>
    </w:p>
    <w:p>
      <w:pPr>
        <w:spacing w:after="0" w:line="162" w:lineRule="exact"/>
        <w:rPr>
          <w:sz w:val="20"/>
          <w:szCs w:val="20"/>
          <w:color w:val="auto"/>
        </w:rPr>
      </w:pPr>
    </w:p>
    <w:p>
      <w:pPr>
        <w:ind w:left="440" w:right="340" w:firstLine="423"/>
        <w:spacing w:after="0" w:line="264" w:lineRule="auto"/>
        <w:rPr>
          <w:sz w:val="20"/>
          <w:szCs w:val="20"/>
          <w:color w:val="auto"/>
        </w:rPr>
      </w:pPr>
      <w:r>
        <w:rPr>
          <w:rFonts w:ascii="Arial" w:cs="Arial" w:eastAsia="Arial" w:hAnsi="Arial"/>
          <w:sz w:val="17"/>
          <w:szCs w:val="17"/>
          <w:color w:val="auto"/>
        </w:rPr>
        <w:t>Mereo believes that there is a significant medical need for a drug which is disease-modifying and could potentially prevent severe AECOPDs instead of just treating the symptoms. In addition, Mereo believes that a drug that could prevent or reduce severe AECOPDs and also has anti-inflammatory effects would significantly improve the quality of life of COPD patients due to improved lung function, fewer infections and possibly reduced risk of rehospitalization and mortality.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Mereo’s Approach</w:t>
      </w:r>
    </w:p>
    <w:p>
      <w:pPr>
        <w:spacing w:after="0" w:line="115" w:lineRule="exact"/>
        <w:rPr>
          <w:sz w:val="20"/>
          <w:szCs w:val="20"/>
          <w:color w:val="auto"/>
        </w:rPr>
      </w:pPr>
    </w:p>
    <w:p>
      <w:pPr>
        <w:ind w:left="440" w:right="100" w:firstLine="423"/>
        <w:spacing w:after="0" w:line="259" w:lineRule="auto"/>
        <w:rPr>
          <w:sz w:val="20"/>
          <w:szCs w:val="20"/>
          <w:color w:val="auto"/>
        </w:rPr>
      </w:pPr>
      <w:r>
        <w:rPr>
          <w:rFonts w:ascii="Arial" w:cs="Arial" w:eastAsia="Arial" w:hAnsi="Arial"/>
          <w:sz w:val="17"/>
          <w:szCs w:val="17"/>
          <w:color w:val="auto"/>
        </w:rPr>
        <w:t>Mereo’s product candidate for treating AECOPD is BCT-197, an orally administered small molecule that inhibits p38 MAP kinase. p38 MAP kinase is an enzyme that plays a key role in the cellular response to external stress signals. p38 MAP kinase is activated in COPD and AECOPD. Inhibition of this enzyme has been shown to have anti-inflammatory effects, primarily through the inhibition of the expression of inflammatory mediators or molecules called cytokines. The inflammatory cytokines are key to initiating and escalating the inflammatory response by attracting inflammatory cells and inducing further release of the cytokines by these cells. Key cytokines released in the inflammatory response are tumor necrosis factor alpha (“TNFα”) and interleukin-8, which are released in the blood stream, and interleukin-6, which is released from bronchial epithelial cells, all of which are blocked by inhibiting p38 MAP kinase.</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Mereo believes that BCT-197 has the following key advantages over current therapies:</w:t>
      </w:r>
    </w:p>
    <w:p>
      <w:pPr>
        <w:spacing w:after="0" w:line="128" w:lineRule="exact"/>
        <w:rPr>
          <w:sz w:val="20"/>
          <w:szCs w:val="20"/>
          <w:color w:val="auto"/>
        </w:rPr>
      </w:pPr>
    </w:p>
    <w:p>
      <w:pPr>
        <w:ind w:left="1260" w:hanging="415"/>
        <w:spacing w:after="0"/>
        <w:tabs>
          <w:tab w:leader="none" w:pos="1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potential to be a rapid-onset treatment targeting inflammatory drivers of AECOPD;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designed to target anti-inflammatory response systemically and locally with easier oral administration than inhaled treatments;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simple oral regimen of three doses over five days that can be conveniently administered in either the hospital or an outpatient setting;</w:t>
      </w:r>
    </w:p>
    <w:p>
      <w:pPr>
        <w:spacing w:after="0" w:line="139" w:lineRule="exact"/>
        <w:rPr>
          <w:rFonts w:ascii="Arial" w:cs="Arial" w:eastAsia="Arial" w:hAnsi="Arial"/>
          <w:sz w:val="16"/>
          <w:szCs w:val="16"/>
          <w:color w:val="auto"/>
        </w:rPr>
      </w:pPr>
    </w:p>
    <w:p>
      <w:pPr>
        <w:ind w:left="1260" w:hanging="415"/>
        <w:spacing w:after="0"/>
        <w:tabs>
          <w:tab w:leader="none" w:pos="1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designed to target pathophysiology of acute exacerbations without generalized immune suppression;</w:t>
      </w:r>
    </w:p>
    <w:p>
      <w:pPr>
        <w:spacing w:after="0" w:line="1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980"/>
          </w:cols>
          <w:pgMar w:left="240" w:top="445" w:right="6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hanging="415"/>
        <w:spacing w:after="0"/>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potential for efficacy in steroid-resistant population;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short course treatment that can prevent further severe exacerbations of COPD.</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Clinical Development of BCT-197</w:t>
      </w:r>
    </w:p>
    <w:p>
      <w:pPr>
        <w:spacing w:after="0" w:line="115" w:lineRule="exact"/>
        <w:rPr>
          <w:sz w:val="20"/>
          <w:szCs w:val="20"/>
          <w:color w:val="auto"/>
        </w:rPr>
      </w:pPr>
    </w:p>
    <w:p>
      <w:pPr>
        <w:ind w:left="440" w:right="140" w:firstLine="423"/>
        <w:spacing w:after="0" w:line="284" w:lineRule="auto"/>
        <w:rPr>
          <w:sz w:val="20"/>
          <w:szCs w:val="20"/>
          <w:color w:val="auto"/>
        </w:rPr>
      </w:pPr>
      <w:r>
        <w:rPr>
          <w:rFonts w:ascii="Arial" w:cs="Arial" w:eastAsia="Arial" w:hAnsi="Arial"/>
          <w:sz w:val="17"/>
          <w:szCs w:val="17"/>
          <w:color w:val="auto"/>
        </w:rPr>
        <w:t>The following table summarizes the historical clinical trials of BCT-197. Mereo plans to enter into one or more strategic relationships with third parties for BCT-197 to undertake the next phase of clinical development and, if approved, for commercialization.</w:t>
      </w:r>
    </w:p>
    <w:p>
      <w:pPr>
        <w:spacing w:after="0" w:line="175" w:lineRule="exact"/>
        <w:rPr>
          <w:sz w:val="20"/>
          <w:szCs w:val="20"/>
          <w:color w:val="auto"/>
        </w:rPr>
      </w:pPr>
    </w:p>
    <w:p>
      <w:pPr>
        <w:jc w:val="center"/>
        <w:ind w:right="-499"/>
        <w:spacing w:after="0"/>
        <w:rPr>
          <w:sz w:val="20"/>
          <w:szCs w:val="20"/>
          <w:color w:val="auto"/>
        </w:rPr>
      </w:pPr>
      <w:r>
        <w:rPr>
          <w:rFonts w:ascii="Arial" w:cs="Arial" w:eastAsia="Arial" w:hAnsi="Arial"/>
          <w:sz w:val="14"/>
          <w:szCs w:val="14"/>
          <w:b w:val="1"/>
          <w:bCs w:val="1"/>
          <w:color w:val="auto"/>
        </w:rPr>
        <w:t>Historical Trials</w:t>
      </w:r>
    </w:p>
    <w:p>
      <w:pPr>
        <w:spacing w:after="0" w:line="17" w:lineRule="exact"/>
        <w:rPr>
          <w:sz w:val="20"/>
          <w:szCs w:val="20"/>
          <w:color w:val="auto"/>
        </w:rPr>
      </w:pPr>
    </w:p>
    <w:tbl>
      <w:tblPr>
        <w:tblLayout w:type="fixed"/>
        <w:tblInd w:w="1280" w:type="dxa"/>
        <w:tblCellMar>
          <w:top w:w="0" w:type="dxa"/>
          <w:left w:w="0" w:type="dxa"/>
          <w:bottom w:w="0" w:type="dxa"/>
          <w:right w:w="0" w:type="dxa"/>
        </w:tblCellMar>
      </w:tblPr>
      <w:tr>
        <w:trPr>
          <w:trHeight w:val="148"/>
        </w:trPr>
        <w:tc>
          <w:tcPr>
            <w:tcW w:w="22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Phase</w:t>
            </w:r>
          </w:p>
        </w:tc>
        <w:tc>
          <w:tcPr>
            <w:tcW w:w="2060" w:type="dxa"/>
            <w:vAlign w:val="bottom"/>
            <w:tcBorders>
              <w:top w:val="single" w:sz="8" w:color="auto"/>
            </w:tcBorders>
            <w:gridSpan w:val="3"/>
          </w:tcPr>
          <w:p>
            <w:pPr>
              <w:ind w:left="680"/>
              <w:spacing w:after="0" w:line="149" w:lineRule="exact"/>
              <w:rPr>
                <w:sz w:val="20"/>
                <w:szCs w:val="20"/>
                <w:color w:val="auto"/>
              </w:rPr>
            </w:pPr>
            <w:r>
              <w:rPr>
                <w:rFonts w:ascii="Arial" w:cs="Arial" w:eastAsia="Arial" w:hAnsi="Arial"/>
                <w:sz w:val="14"/>
                <w:szCs w:val="14"/>
                <w:b w:val="1"/>
                <w:bCs w:val="1"/>
                <w:color w:val="auto"/>
              </w:rPr>
              <w:t># of Studies</w:t>
            </w:r>
          </w:p>
        </w:tc>
        <w:tc>
          <w:tcPr>
            <w:tcW w:w="20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Population</w:t>
            </w:r>
          </w:p>
        </w:tc>
        <w:tc>
          <w:tcPr>
            <w:tcW w:w="2540" w:type="dxa"/>
            <w:vAlign w:val="bottom"/>
            <w:tcBorders>
              <w:top w:val="single" w:sz="8" w:color="auto"/>
            </w:tcBorders>
            <w:gridSpan w:val="2"/>
          </w:tcPr>
          <w:p>
            <w:pPr>
              <w:ind w:left="700"/>
              <w:spacing w:after="0" w:line="149" w:lineRule="exact"/>
              <w:rPr>
                <w:sz w:val="20"/>
                <w:szCs w:val="20"/>
                <w:color w:val="auto"/>
              </w:rPr>
            </w:pPr>
            <w:r>
              <w:rPr>
                <w:rFonts w:ascii="Arial" w:cs="Arial" w:eastAsia="Arial" w:hAnsi="Arial"/>
                <w:sz w:val="14"/>
                <w:szCs w:val="14"/>
                <w:b w:val="1"/>
                <w:bCs w:val="1"/>
                <w:color w:val="auto"/>
                <w:w w:val="88"/>
              </w:rPr>
              <w:t>Subjects Treated with BCT-197</w:t>
            </w:r>
          </w:p>
        </w:tc>
      </w:tr>
      <w:tr>
        <w:trPr>
          <w:trHeight w:val="20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Phase 1</w:t>
            </w: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9"/>
              </w:rPr>
              <w:t>5(1)</w:t>
            </w:r>
          </w:p>
        </w:tc>
        <w:tc>
          <w:tcPr>
            <w:tcW w:w="6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Healthy Volunteers</w:t>
            </w:r>
          </w:p>
        </w:tc>
        <w:tc>
          <w:tcPr>
            <w:tcW w:w="7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168</w:t>
            </w:r>
          </w:p>
        </w:tc>
      </w:tr>
      <w:tr>
        <w:trPr>
          <w:trHeight w:val="207"/>
        </w:trPr>
        <w:tc>
          <w:tcPr>
            <w:tcW w:w="2200" w:type="dxa"/>
            <w:vAlign w:val="bottom"/>
          </w:tcPr>
          <w:p>
            <w:pPr>
              <w:spacing w:after="0"/>
              <w:rPr>
                <w:sz w:val="20"/>
                <w:szCs w:val="20"/>
                <w:color w:val="auto"/>
              </w:rPr>
            </w:pPr>
            <w:r>
              <w:rPr>
                <w:rFonts w:ascii="Arial" w:cs="Arial" w:eastAsia="Arial" w:hAnsi="Arial"/>
                <w:sz w:val="17"/>
                <w:szCs w:val="17"/>
                <w:color w:val="auto"/>
              </w:rPr>
              <w:t>Phase 2</w:t>
            </w:r>
          </w:p>
        </w:tc>
        <w:tc>
          <w:tcPr>
            <w:tcW w:w="1380" w:type="dxa"/>
            <w:vAlign w:val="bottom"/>
            <w:gridSpan w:val="2"/>
          </w:tcPr>
          <w:p>
            <w:pPr>
              <w:jc w:val="center"/>
              <w:ind w:left="598"/>
              <w:spacing w:after="0"/>
              <w:rPr>
                <w:sz w:val="20"/>
                <w:szCs w:val="20"/>
                <w:color w:val="auto"/>
              </w:rPr>
            </w:pPr>
            <w:r>
              <w:rPr>
                <w:rFonts w:ascii="Arial" w:cs="Arial" w:eastAsia="Arial" w:hAnsi="Arial"/>
                <w:sz w:val="17"/>
                <w:szCs w:val="17"/>
                <w:color w:val="auto"/>
              </w:rPr>
              <w:t>1</w:t>
            </w:r>
          </w:p>
        </w:tc>
        <w:tc>
          <w:tcPr>
            <w:tcW w:w="68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7"/>
                <w:szCs w:val="17"/>
                <w:color w:val="auto"/>
                <w:w w:val="94"/>
              </w:rPr>
              <w:t>AECOPD</w:t>
            </w:r>
          </w:p>
        </w:tc>
        <w:tc>
          <w:tcPr>
            <w:tcW w:w="2540" w:type="dxa"/>
            <w:vAlign w:val="bottom"/>
            <w:gridSpan w:val="2"/>
          </w:tcPr>
          <w:p>
            <w:pPr>
              <w:jc w:val="center"/>
              <w:ind w:left="598"/>
              <w:spacing w:after="0"/>
              <w:rPr>
                <w:sz w:val="20"/>
                <w:szCs w:val="20"/>
                <w:color w:val="auto"/>
              </w:rPr>
            </w:pPr>
            <w:r>
              <w:rPr>
                <w:rFonts w:ascii="Arial" w:cs="Arial" w:eastAsia="Arial" w:hAnsi="Arial"/>
                <w:sz w:val="17"/>
                <w:szCs w:val="17"/>
                <w:color w:val="auto"/>
                <w:w w:val="91"/>
              </w:rPr>
              <w:t>108</w:t>
            </w:r>
          </w:p>
        </w:tc>
      </w:tr>
      <w:tr>
        <w:trPr>
          <w:trHeight w:val="207"/>
        </w:trPr>
        <w:tc>
          <w:tcPr>
            <w:tcW w:w="2200" w:type="dxa"/>
            <w:vAlign w:val="bottom"/>
            <w:shd w:val="clear" w:color="auto" w:fill="CCEEFF"/>
          </w:tcPr>
          <w:p>
            <w:pPr>
              <w:spacing w:after="0"/>
              <w:rPr>
                <w:sz w:val="20"/>
                <w:szCs w:val="20"/>
                <w:color w:val="auto"/>
              </w:rPr>
            </w:pPr>
            <w:r>
              <w:rPr>
                <w:rFonts w:ascii="Arial" w:cs="Arial" w:eastAsia="Arial" w:hAnsi="Arial"/>
                <w:sz w:val="17"/>
                <w:szCs w:val="17"/>
                <w:color w:val="auto"/>
              </w:rPr>
              <w:t>Phase 2</w:t>
            </w:r>
          </w:p>
        </w:tc>
        <w:tc>
          <w:tcPr>
            <w:tcW w:w="1380" w:type="dxa"/>
            <w:vAlign w:val="bottom"/>
            <w:gridSpan w:val="2"/>
            <w:shd w:val="clear" w:color="auto" w:fill="CCEEFF"/>
          </w:tcPr>
          <w:p>
            <w:pPr>
              <w:jc w:val="center"/>
              <w:ind w:left="598"/>
              <w:spacing w:after="0"/>
              <w:rPr>
                <w:sz w:val="20"/>
                <w:szCs w:val="20"/>
                <w:color w:val="auto"/>
              </w:rPr>
            </w:pPr>
            <w:r>
              <w:rPr>
                <w:rFonts w:ascii="Arial" w:cs="Arial" w:eastAsia="Arial" w:hAnsi="Arial"/>
                <w:sz w:val="17"/>
                <w:szCs w:val="17"/>
                <w:color w:val="auto"/>
              </w:rPr>
              <w:t>1</w:t>
            </w:r>
          </w:p>
        </w:tc>
        <w:tc>
          <w:tcPr>
            <w:tcW w:w="68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Acute Kidney Injury</w:t>
            </w:r>
          </w:p>
        </w:tc>
        <w:tc>
          <w:tcPr>
            <w:tcW w:w="2540" w:type="dxa"/>
            <w:vAlign w:val="bottom"/>
            <w:gridSpan w:val="2"/>
            <w:shd w:val="clear" w:color="auto" w:fill="CCEEFF"/>
          </w:tcPr>
          <w:p>
            <w:pPr>
              <w:jc w:val="center"/>
              <w:ind w:left="598"/>
              <w:spacing w:after="0"/>
              <w:rPr>
                <w:sz w:val="20"/>
                <w:szCs w:val="20"/>
                <w:color w:val="auto"/>
              </w:rPr>
            </w:pPr>
            <w:r>
              <w:rPr>
                <w:rFonts w:ascii="Arial" w:cs="Arial" w:eastAsia="Arial" w:hAnsi="Arial"/>
                <w:sz w:val="17"/>
                <w:szCs w:val="17"/>
                <w:color w:val="auto"/>
                <w:w w:val="94"/>
              </w:rPr>
              <w:t>50</w:t>
            </w:r>
          </w:p>
        </w:tc>
      </w:tr>
      <w:tr>
        <w:trPr>
          <w:trHeight w:val="220"/>
        </w:trPr>
        <w:tc>
          <w:tcPr>
            <w:tcW w:w="2200" w:type="dxa"/>
            <w:vAlign w:val="bottom"/>
          </w:tcPr>
          <w:p>
            <w:pPr>
              <w:spacing w:after="0"/>
              <w:rPr>
                <w:sz w:val="20"/>
                <w:szCs w:val="20"/>
                <w:color w:val="auto"/>
              </w:rPr>
            </w:pPr>
            <w:r>
              <w:rPr>
                <w:rFonts w:ascii="Arial" w:cs="Arial" w:eastAsia="Arial" w:hAnsi="Arial"/>
                <w:sz w:val="17"/>
                <w:szCs w:val="17"/>
                <w:color w:val="auto"/>
              </w:rPr>
              <w:t>Phase 2</w:t>
            </w:r>
          </w:p>
        </w:tc>
        <w:tc>
          <w:tcPr>
            <w:tcW w:w="1380" w:type="dxa"/>
            <w:vAlign w:val="bottom"/>
            <w:gridSpan w:val="2"/>
          </w:tcPr>
          <w:p>
            <w:pPr>
              <w:jc w:val="center"/>
              <w:ind w:left="598"/>
              <w:spacing w:after="0"/>
              <w:rPr>
                <w:sz w:val="20"/>
                <w:szCs w:val="20"/>
                <w:color w:val="auto"/>
              </w:rPr>
            </w:pPr>
            <w:r>
              <w:rPr>
                <w:rFonts w:ascii="Arial" w:cs="Arial" w:eastAsia="Arial" w:hAnsi="Arial"/>
                <w:sz w:val="17"/>
                <w:szCs w:val="17"/>
                <w:color w:val="auto"/>
              </w:rPr>
              <w:t>1</w:t>
            </w:r>
          </w:p>
        </w:tc>
        <w:tc>
          <w:tcPr>
            <w:tcW w:w="6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7"/>
                <w:szCs w:val="17"/>
                <w:color w:val="auto"/>
                <w:w w:val="94"/>
              </w:rPr>
              <w:t>AECOPD</w:t>
            </w:r>
          </w:p>
        </w:tc>
        <w:tc>
          <w:tcPr>
            <w:tcW w:w="2540" w:type="dxa"/>
            <w:vAlign w:val="bottom"/>
            <w:gridSpan w:val="2"/>
          </w:tcPr>
          <w:p>
            <w:pPr>
              <w:jc w:val="center"/>
              <w:ind w:left="598"/>
              <w:spacing w:after="0"/>
              <w:rPr>
                <w:sz w:val="20"/>
                <w:szCs w:val="20"/>
                <w:color w:val="auto"/>
              </w:rPr>
            </w:pPr>
            <w:r>
              <w:rPr>
                <w:rFonts w:ascii="Arial" w:cs="Arial" w:eastAsia="Arial" w:hAnsi="Arial"/>
                <w:sz w:val="17"/>
                <w:szCs w:val="17"/>
                <w:color w:val="auto"/>
                <w:w w:val="91"/>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74295</wp:posOffset>
            </wp:positionV>
            <wp:extent cx="6743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36" w:lineRule="exact"/>
        <w:rPr>
          <w:sz w:val="20"/>
          <w:szCs w:val="20"/>
          <w:color w:val="auto"/>
        </w:rPr>
      </w:pPr>
    </w:p>
    <w:p>
      <w:pPr>
        <w:ind w:left="840" w:hanging="409"/>
        <w:spacing w:after="0"/>
        <w:tabs>
          <w:tab w:leader="none" w:pos="8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Includes two company-initiated 16-patient drug-drug interaction studies.</w:t>
      </w:r>
    </w:p>
    <w:p>
      <w:pPr>
        <w:spacing w:after="0" w:line="322"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7"/>
          <w:szCs w:val="17"/>
          <w:i w:val="1"/>
          <w:iCs w:val="1"/>
          <w:color w:val="auto"/>
        </w:rPr>
        <w:t>Phase 1 Clinical Trials</w:t>
      </w:r>
    </w:p>
    <w:p>
      <w:pPr>
        <w:spacing w:after="0" w:line="115"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Prior to Mereo’s acquisition of BCT-197, Novartis performed three Phase 1 clinical trials. One of these trials was a three-part Phase 1 clinical trial in a total of 141 healthy volunteers designed to evaluate the safety and anti-inflammatory properties of BCT-197 following lipopolysaccharide (“LPS”) challenge, a method of inducing an inflammatory response. Parts 1 and 2 of this trial assessed the ability of BCT-197 to inhibit TNFα, a pro-inflammatory cytokine, ex vivo following LPS challenge and Part 3 assessed the same in vivo. In Part 1, which was a single ascending dose trial, TNFα was inhibited by a mean of 50% by doses of at least 30 mg, and in Part 2, which was a multi-ascending dose trial, TNFα was inhibited by a mean of 70%.</w:t>
      </w:r>
    </w:p>
    <w:p>
      <w:pPr>
        <w:spacing w:after="0" w:line="180" w:lineRule="exact"/>
        <w:rPr>
          <w:sz w:val="20"/>
          <w:szCs w:val="20"/>
          <w:color w:val="auto"/>
        </w:rPr>
      </w:pPr>
    </w:p>
    <w:p>
      <w:pPr>
        <w:jc w:val="both"/>
        <w:ind w:left="440" w:right="100" w:firstLine="423"/>
        <w:spacing w:after="0" w:line="264" w:lineRule="auto"/>
        <w:rPr>
          <w:sz w:val="20"/>
          <w:szCs w:val="20"/>
          <w:color w:val="auto"/>
        </w:rPr>
      </w:pPr>
      <w:r>
        <w:rPr>
          <w:rFonts w:ascii="Arial" w:cs="Arial" w:eastAsia="Arial" w:hAnsi="Arial"/>
          <w:sz w:val="17"/>
          <w:szCs w:val="17"/>
          <w:color w:val="auto"/>
        </w:rPr>
        <w:t>In Part 3, a three-arm trial, 24 subjects were randomized to receive placebo, 20 mg of BCT-197, or 75 mg of BCT-197. Subjects were exposed to LPS three hours following dosing of BCT-197 or placebo and the concentration of TNFα was measured. In this trial, BCT-197 produced a statistically significant reduction in the levels of TNFα in the treated subjects versus placebo. The following graph shows that the TNFα response was seen in both doses of BCT-197.</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TNF</w:t>
      </w:r>
      <w:r>
        <w:rPr>
          <w:rFonts w:ascii="Arial" w:cs="Arial" w:eastAsia="Arial" w:hAnsi="Arial"/>
          <w:sz w:val="17"/>
          <w:szCs w:val="17"/>
          <w:color w:val="auto"/>
        </w:rPr>
        <w:t>α</w:t>
      </w:r>
      <w:r>
        <w:rPr>
          <w:rFonts w:ascii="Arial" w:cs="Arial" w:eastAsia="Arial" w:hAnsi="Arial"/>
          <w:sz w:val="17"/>
          <w:szCs w:val="17"/>
          <w:b w:val="1"/>
          <w:bCs w:val="1"/>
          <w:color w:val="auto"/>
        </w:rPr>
        <w:t xml:space="preserve"> Concentration over Time following LPS Challenge n=24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1309370</wp:posOffset>
            </wp:positionH>
            <wp:positionV relativeFrom="paragraph">
              <wp:posOffset>167005</wp:posOffset>
            </wp:positionV>
            <wp:extent cx="4637405" cy="258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37405" cy="258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940"/>
          </w:cols>
          <w:pgMar w:left="240" w:top="445" w:right="71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40" w:firstLine="423"/>
        <w:spacing w:after="0" w:line="284" w:lineRule="auto"/>
        <w:rPr>
          <w:sz w:val="20"/>
          <w:szCs w:val="20"/>
          <w:color w:val="auto"/>
        </w:rPr>
      </w:pPr>
      <w:r>
        <w:rPr>
          <w:rFonts w:ascii="Arial" w:cs="Arial" w:eastAsia="Arial" w:hAnsi="Arial"/>
          <w:sz w:val="17"/>
          <w:szCs w:val="17"/>
          <w:color w:val="auto"/>
        </w:rPr>
        <w:t>In addition, a radiolabeled pharmacology trial was performed in four healthy volunteers. Mereo believes that the results of this trial suggest that BCT-197 has pharmacology appropriate for an oral drug taken either once a day or on alternate days.</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Phase 2 Clinical Trial in AECOPD</w:t>
      </w:r>
    </w:p>
    <w:p>
      <w:pPr>
        <w:spacing w:after="0" w:line="115"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Novartis conducted a double-blind, Phase 2 clinical trial in Europe comparing BCT-197 to the steroid prednisolone and a placebo control. The trial was designed to assess the effect of single and repeated dose of BCT-197 in AECOPD patients. The primary endpoint was to demonstrate an improvement in FEV1 relative to placebo. Secondary and exploratory endpoints included the assessment of safety and tolerability, measurement of the time to recovery, and the determination of the pharmacokinetic properties of BCT-197.</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trial was split into four parts and included a total of 183 patients:</w:t>
      </w:r>
    </w:p>
    <w:p>
      <w:pPr>
        <w:spacing w:after="0" w:line="128" w:lineRule="exact"/>
        <w:rPr>
          <w:sz w:val="20"/>
          <w:szCs w:val="20"/>
          <w:color w:val="auto"/>
        </w:rPr>
      </w:pPr>
    </w:p>
    <w:p>
      <w:pPr>
        <w:ind w:left="1260" w:right="20" w:hanging="415"/>
        <w:spacing w:after="0" w:line="284" w:lineRule="auto"/>
        <w:tabs>
          <w:tab w:leader="none" w:pos="1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part 1: 91 patients were randomized to receive either: 75 mg of BCT-197 on day one plus placebo daily for 10 days, prednisolone on day one plus placebo daily for 10 days, or placebo on day one and for 10 days daily;</w:t>
      </w:r>
    </w:p>
    <w:p>
      <w:pPr>
        <w:spacing w:after="0" w:line="68" w:lineRule="exact"/>
        <w:rPr>
          <w:rFonts w:ascii="Arial" w:cs="Arial" w:eastAsia="Arial" w:hAnsi="Arial"/>
          <w:sz w:val="17"/>
          <w:szCs w:val="17"/>
          <w:color w:val="auto"/>
        </w:rPr>
      </w:pPr>
    </w:p>
    <w:p>
      <w:pPr>
        <w:ind w:left="1260" w:right="20" w:hanging="415"/>
        <w:spacing w:after="0" w:line="284" w:lineRule="auto"/>
        <w:tabs>
          <w:tab w:leader="none" w:pos="1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part 2: 30 patients were randomized to receive 20 mg of BCT-197 or placebo on day one of the trial. The ratio of patients receiving BCT-197 to patients receiving placebo was five to one;</w:t>
      </w:r>
    </w:p>
    <w:p>
      <w:pPr>
        <w:spacing w:after="0" w:line="68" w:lineRule="exact"/>
        <w:rPr>
          <w:rFonts w:ascii="Arial" w:cs="Arial" w:eastAsia="Arial" w:hAnsi="Arial"/>
          <w:sz w:val="17"/>
          <w:szCs w:val="17"/>
          <w:color w:val="auto"/>
        </w:rPr>
      </w:pPr>
    </w:p>
    <w:p>
      <w:pPr>
        <w:ind w:left="1260" w:right="100" w:hanging="415"/>
        <w:spacing w:after="0" w:line="284" w:lineRule="auto"/>
        <w:tabs>
          <w:tab w:leader="none" w:pos="1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part 3: 32 patients were randomized to receive 20 mg of BCT-197 or placebo on days one and six of the trial. The ratio of patients receiving BCT-197 to patients receiving placebo was five to one; and</w:t>
      </w:r>
    </w:p>
    <w:p>
      <w:pPr>
        <w:spacing w:after="0" w:line="68" w:lineRule="exact"/>
        <w:rPr>
          <w:rFonts w:ascii="Arial" w:cs="Arial" w:eastAsia="Arial" w:hAnsi="Arial"/>
          <w:sz w:val="17"/>
          <w:szCs w:val="17"/>
          <w:color w:val="auto"/>
        </w:rPr>
      </w:pPr>
    </w:p>
    <w:p>
      <w:pPr>
        <w:ind w:left="1260" w:right="100" w:hanging="415"/>
        <w:spacing w:after="0" w:line="284" w:lineRule="auto"/>
        <w:tabs>
          <w:tab w:leader="none" w:pos="1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part 4: 30 patients were randomized to receive 75 mg of BCT-197 or placebo on days one and six of the trial. The ratio of patients receiving BCT-197 to patients receiving placebo was five to one.</w:t>
      </w:r>
    </w:p>
    <w:p>
      <w:pPr>
        <w:spacing w:after="0" w:line="159" w:lineRule="exact"/>
        <w:rPr>
          <w:sz w:val="20"/>
          <w:szCs w:val="20"/>
          <w:color w:val="auto"/>
        </w:rPr>
      </w:pPr>
    </w:p>
    <w:p>
      <w:pPr>
        <w:ind w:left="440" w:right="20" w:firstLine="423"/>
        <w:spacing w:after="0" w:line="260" w:lineRule="auto"/>
        <w:rPr>
          <w:sz w:val="20"/>
          <w:szCs w:val="20"/>
          <w:color w:val="auto"/>
        </w:rPr>
      </w:pPr>
      <w:r>
        <w:rPr>
          <w:rFonts w:ascii="Arial" w:cs="Arial" w:eastAsia="Arial" w:hAnsi="Arial"/>
          <w:sz w:val="17"/>
          <w:szCs w:val="17"/>
          <w:color w:val="auto"/>
        </w:rPr>
        <w:t>The data on FEV1 were recorded on days three, five, eight, 10, 14 and 30 and showed a clinically meaningful increase in FEV1 (of greater than 100 milliliters) on measuring dates in patients receiving two doses of BCT-197, during a 14-day period, consistent with the duration of most AECOPDs. The following graph summarizes the mean change from baseline in FEV1 values for each dose arm. The change was greatest in the group that received two doses of 75 mg of BCT-197, reaching statistical significance in this group at day 8 (p=0.022). On analysis of the area under the curve to Day 14, two doses of 75 mg of BCT-197 demonstrated a statistically significant improvement in FEV1 versus placebo and prednisolone (p=0.0198 and 0.0102 respectively).</w:t>
      </w:r>
    </w:p>
    <w:p>
      <w:pPr>
        <w:spacing w:after="0" w:line="28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Mean Change in FEV1 from Baseline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163195</wp:posOffset>
            </wp:positionV>
            <wp:extent cx="4407535" cy="275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07535" cy="275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000"/>
          </w:cols>
          <w:pgMar w:left="240" w:top="445" w:right="6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Summary of Safety Results</w:t>
      </w:r>
    </w:p>
    <w:p>
      <w:pPr>
        <w:spacing w:after="0" w:line="115" w:lineRule="exact"/>
        <w:rPr>
          <w:sz w:val="20"/>
          <w:szCs w:val="20"/>
          <w:color w:val="auto"/>
        </w:rPr>
      </w:pPr>
    </w:p>
    <w:p>
      <w:pPr>
        <w:ind w:left="440" w:right="40" w:firstLine="423"/>
        <w:spacing w:after="0" w:line="278" w:lineRule="auto"/>
        <w:rPr>
          <w:sz w:val="20"/>
          <w:szCs w:val="20"/>
          <w:color w:val="auto"/>
        </w:rPr>
      </w:pPr>
      <w:r>
        <w:rPr>
          <w:rFonts w:ascii="Arial" w:cs="Arial" w:eastAsia="Arial" w:hAnsi="Arial"/>
          <w:sz w:val="16"/>
          <w:szCs w:val="16"/>
          <w:color w:val="auto"/>
        </w:rPr>
        <w:t>In trials conducted by Novartis, BCT-197 was well tolerated in the target patient population. In the Phase 2a clinical trial, 54% of patients out of 183 experienced one or more adverse events. There were six deaths, none of which were deemed to be attributable to BCT197. Over the six-month follow-up period, 13 patients experienced 15 significant adverse events, excluding deaths: 10 cases of COPD worsening or re-exacerbation, three of pneumonia, one of sinusitis and one of bladder cancer. Six of the COPD adverse events were in the placebo and prednisolone arms, two in the 20 mg repeat dose and two in the 75 mg repeat dose. None of these adverse events were considered by the investigators to be related to BCT-197. There were also two cases of rash in the 75 mg repeat dose arm. Two cases of mild and transient transaminase elevations were reported as adverse events, one in the 20 mg dose group and the other in the 75 mg repeat dose group. Other events were mild to moderate.</w:t>
      </w:r>
    </w:p>
    <w:p>
      <w:pPr>
        <w:spacing w:after="0" w:line="26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Phase 2 Dose-Ranging Clinical Trial in Severe AECOPD</w:t>
      </w:r>
    </w:p>
    <w:p>
      <w:pPr>
        <w:spacing w:after="0" w:line="115" w:lineRule="exact"/>
        <w:rPr>
          <w:sz w:val="20"/>
          <w:szCs w:val="20"/>
          <w:color w:val="auto"/>
        </w:rPr>
      </w:pPr>
    </w:p>
    <w:p>
      <w:pPr>
        <w:jc w:val="both"/>
        <w:ind w:left="440" w:right="220" w:firstLine="423"/>
        <w:spacing w:after="0" w:line="269" w:lineRule="auto"/>
        <w:rPr>
          <w:sz w:val="20"/>
          <w:szCs w:val="20"/>
          <w:color w:val="auto"/>
        </w:rPr>
      </w:pPr>
      <w:r>
        <w:rPr>
          <w:rFonts w:ascii="Arial" w:cs="Arial" w:eastAsia="Arial" w:hAnsi="Arial"/>
          <w:sz w:val="17"/>
          <w:szCs w:val="17"/>
          <w:color w:val="auto"/>
        </w:rPr>
        <w:t>Mereo conducted a dose-ranging Phase 2 clinical trial in the United States and Europe to identify the most effective dosing regimen for severe AECOPD patients. The primary endpoint of the trial was to demonstrate a change in FEV1 from baseline to Day 7. A total of 282 patients enrolled in the trial.</w:t>
      </w:r>
    </w:p>
    <w:p>
      <w:pPr>
        <w:spacing w:after="0" w:line="171" w:lineRule="exact"/>
        <w:rPr>
          <w:sz w:val="20"/>
          <w:szCs w:val="20"/>
          <w:color w:val="auto"/>
        </w:rPr>
      </w:pPr>
    </w:p>
    <w:p>
      <w:pPr>
        <w:ind w:left="440" w:right="220" w:firstLine="423"/>
        <w:spacing w:after="0" w:line="264" w:lineRule="auto"/>
        <w:rPr>
          <w:sz w:val="20"/>
          <w:szCs w:val="20"/>
          <w:color w:val="auto"/>
        </w:rPr>
      </w:pPr>
      <w:r>
        <w:rPr>
          <w:rFonts w:ascii="Arial" w:cs="Arial" w:eastAsia="Arial" w:hAnsi="Arial"/>
          <w:sz w:val="17"/>
          <w:szCs w:val="17"/>
          <w:color w:val="auto"/>
        </w:rPr>
        <w:t>This dose-ranging trial assessed two dosing regimens of BCT-197 and placebo, each in combination with standard of care, which included steroids, antibiotics, and bronchodilators. Patients were followed for 26 weeks to explore recurrence rates of AECOPD and number of re-hospitalizations. Secondary and exploratory endpoints included biomarkers hsCRP and fibrinogen, clinical failure rate, number of moderate/severe AECOPDs during the trial, the area under the curve of FEV1 over time and time to normalization of FEV1.</w:t>
      </w:r>
    </w:p>
    <w:p>
      <w:pPr>
        <w:spacing w:after="0" w:line="176" w:lineRule="exact"/>
        <w:rPr>
          <w:sz w:val="20"/>
          <w:szCs w:val="20"/>
          <w:color w:val="auto"/>
        </w:rPr>
      </w:pPr>
    </w:p>
    <w:p>
      <w:pPr>
        <w:ind w:left="440" w:right="200" w:firstLine="423"/>
        <w:spacing w:after="0" w:line="284" w:lineRule="auto"/>
        <w:rPr>
          <w:sz w:val="20"/>
          <w:szCs w:val="20"/>
          <w:color w:val="auto"/>
        </w:rPr>
      </w:pPr>
      <w:r>
        <w:rPr>
          <w:rFonts w:ascii="Arial" w:cs="Arial" w:eastAsia="Arial" w:hAnsi="Arial"/>
          <w:sz w:val="17"/>
          <w:szCs w:val="17"/>
          <w:color w:val="auto"/>
        </w:rPr>
        <w:t>The reduction in clinical failure rate was also observed. Clinical treatment failure is defined as a composite endpoint in which any patient fulfils one of more of the following criteria:</w:t>
      </w:r>
    </w:p>
    <w:p>
      <w:pPr>
        <w:spacing w:after="0" w:line="68" w:lineRule="exact"/>
        <w:rPr>
          <w:sz w:val="20"/>
          <w:szCs w:val="20"/>
          <w:color w:val="auto"/>
        </w:rPr>
      </w:pPr>
    </w:p>
    <w:p>
      <w:pPr>
        <w:ind w:left="1260" w:hanging="415"/>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hospitalization or re-hospitalization due to worsening respiratory symptoms;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worsening of respiratory symptoms requiring the addition of another antibiotic or substitution of a new antibiotic;</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worsening of respiratory symptoms requiring an increase in dose of oral corticosteroids or initiation of new corticosteroids;</w:t>
      </w:r>
    </w:p>
    <w:p>
      <w:pPr>
        <w:spacing w:after="0" w:line="128" w:lineRule="exact"/>
        <w:rPr>
          <w:rFonts w:ascii="Arial" w:cs="Arial" w:eastAsia="Arial" w:hAnsi="Arial"/>
          <w:sz w:val="17"/>
          <w:szCs w:val="17"/>
          <w:color w:val="auto"/>
        </w:rPr>
      </w:pPr>
    </w:p>
    <w:p>
      <w:pPr>
        <w:ind w:left="1260" w:hanging="415"/>
        <w:spacing w:after="0" w:line="284" w:lineRule="auto"/>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worsening of respiratory symptoms requiring an additional treatment regimen of systemic corticosteroids and/or antibiotics, after completion of the first regimen;</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COPD-related death; or</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new moderate or severe exacerbation after a period of seven days of resolution from the index AECOPD.</w:t>
      </w:r>
    </w:p>
    <w:p>
      <w:pPr>
        <w:spacing w:after="0" w:line="219"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Both dosing regimens of BCT-197 showed a statistically significant change in FEV1 from baseline to Day 7 (p=0.012 and p £ 0.001), meeting the trial’s primary endpoint on an intent-to-treat patient population basis. The standard of care plus placebo group did not show a significant change from baseline (p=0.102). The high-and low-dosage BCT-197 groups showed a mean improvement in FEV1 of 84 ml and 115 ml, respectively, compared to 57 ml for the standard of care plus placebo group. While the BCT-197 groups showed greater improvement when compared to the standard of care plus placebo group, the difference in improvement was not statistically significant.</w:t>
      </w:r>
    </w:p>
    <w:p>
      <w:pPr>
        <w:spacing w:after="0" w:line="180" w:lineRule="exact"/>
        <w:rPr>
          <w:sz w:val="20"/>
          <w:szCs w:val="20"/>
          <w:color w:val="auto"/>
        </w:rPr>
      </w:pPr>
    </w:p>
    <w:p>
      <w:pPr>
        <w:ind w:left="440" w:right="640" w:firstLine="423"/>
        <w:spacing w:after="0" w:line="269" w:lineRule="auto"/>
        <w:rPr>
          <w:sz w:val="20"/>
          <w:szCs w:val="20"/>
          <w:color w:val="auto"/>
        </w:rPr>
      </w:pPr>
      <w:r>
        <w:rPr>
          <w:rFonts w:ascii="Arial" w:cs="Arial" w:eastAsia="Arial" w:hAnsi="Arial"/>
          <w:sz w:val="17"/>
          <w:szCs w:val="17"/>
          <w:color w:val="auto"/>
        </w:rPr>
        <w:t>Dose-dependent, statistically significant reductions in both hsCRP and fibrinogen were shown with treatment with BCT-197, with hsCRP remaining suppressed through the 26-week observation period. The graphs below show these reductions during the period when patients were experiencing its first occurrence of AECOPD, or its index AECOPD.</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980"/>
          </w:cols>
          <w:pgMar w:left="240" w:top="445" w:right="67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Absolute Change from Baseline in hsCRP During the First 14 days of the Study While Patients Were Experiencing their Index AECOPD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313055</wp:posOffset>
            </wp:positionV>
            <wp:extent cx="3354705" cy="2252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4705" cy="225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 P£0.05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Absolute Change from Baseline in Fibrinogen During First 14 Days of the Study While Patients were Experiencing their Index AECOPD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174625</wp:posOffset>
            </wp:positionV>
            <wp:extent cx="3354705" cy="2244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4705" cy="224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0"/>
        <w:spacing w:after="0"/>
        <w:tabs>
          <w:tab w:leader="none" w:pos="8920" w:val="left"/>
        </w:tabs>
        <w:rPr>
          <w:sz w:val="20"/>
          <w:szCs w:val="20"/>
          <w:color w:val="auto"/>
        </w:rPr>
      </w:pPr>
      <w:r>
        <w:rPr>
          <w:rFonts w:ascii="Arial" w:cs="Arial" w:eastAsia="Arial" w:hAnsi="Arial"/>
          <w:sz w:val="17"/>
          <w:szCs w:val="17"/>
          <w:color w:val="auto"/>
        </w:rPr>
        <w:t>*</w:t>
        <w:tab/>
        <w:t>P£0.05</w:t>
      </w:r>
    </w:p>
    <w:p>
      <w:pPr>
        <w:spacing w:after="0" w:line="24" w:lineRule="exact"/>
        <w:rPr>
          <w:sz w:val="20"/>
          <w:szCs w:val="20"/>
          <w:color w:val="auto"/>
        </w:rPr>
      </w:pPr>
    </w:p>
    <w:p>
      <w:pPr>
        <w:ind w:left="8600"/>
        <w:spacing w:after="0"/>
        <w:tabs>
          <w:tab w:leader="none" w:pos="8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P£0.02</w:t>
      </w:r>
    </w:p>
    <w:p>
      <w:pPr>
        <w:spacing w:after="0" w:line="116"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 P£0.01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40" w:firstLine="423"/>
        <w:spacing w:after="0" w:line="264" w:lineRule="auto"/>
        <w:rPr>
          <w:sz w:val="20"/>
          <w:szCs w:val="20"/>
          <w:color w:val="auto"/>
        </w:rPr>
      </w:pPr>
      <w:r>
        <w:rPr>
          <w:rFonts w:ascii="Arial" w:cs="Arial" w:eastAsia="Arial" w:hAnsi="Arial"/>
          <w:sz w:val="17"/>
          <w:szCs w:val="17"/>
          <w:color w:val="auto"/>
        </w:rPr>
        <w:t>As shown in the chart below, the high-dose BCT-197 group showed a statistically significant reduction in clinical treatment failure of more than 50% (p £ 0.027 to 0.05) compared to the standard of care plus placebo group, measured by the number of rehospitalizations for the treatment of COPD at Days 90 through 150, with a trend observed as early as Day 30. A trend showing reduced composite clinical treatment failures of 56% to 28% from Day 30 through Day 150 was also observed in the high-dose BCT-197 group.</w:t>
      </w:r>
    </w:p>
    <w:p>
      <w:pPr>
        <w:spacing w:after="0" w:line="1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840"/>
          </w:cols>
          <w:pgMar w:left="240" w:top="445" w:right="81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Percentage of Patients Rehospitalized for the Treatment of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167005</wp:posOffset>
            </wp:positionV>
            <wp:extent cx="4974590" cy="2705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74590" cy="270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right="100" w:firstLine="423"/>
        <w:spacing w:after="0" w:line="321" w:lineRule="auto"/>
        <w:rPr>
          <w:sz w:val="20"/>
          <w:szCs w:val="20"/>
          <w:color w:val="auto"/>
        </w:rPr>
      </w:pPr>
      <w:r>
        <w:rPr>
          <w:rFonts w:ascii="Arial" w:cs="Arial" w:eastAsia="Arial" w:hAnsi="Arial"/>
          <w:sz w:val="15"/>
          <w:szCs w:val="15"/>
          <w:color w:val="auto"/>
        </w:rPr>
        <w:t>In a prespecified subgroup analysis of patients with low blood eosinophils of less than 2%, which comprised 68% of the patients in this trial, BCT-197 showed a trend toward improvement of FEV1 from baseline at Day 7, compared to standard of care plus placebo, which showed almost no improvement. Approximately 50% of COPD patients have low blood eosinophils and are considered to be resistant to treatment with steroids.</w:t>
      </w:r>
    </w:p>
    <w:p>
      <w:pPr>
        <w:spacing w:after="0" w:line="137"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Further analysis of the most severe patients, defined as patients who experienced two or more exacerbations in the previous year, showed a 46% reduction in the number of patients who suffered a subsequent moderate or severe re-exacerbation. The results from the analysis of these patients with the highest unmet need are shown in the graph below.</w:t>
      </w:r>
    </w:p>
    <w:p>
      <w:pPr>
        <w:spacing w:after="0" w:line="10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800"/>
          </w:cols>
          <w:pgMar w:left="240" w:top="445" w:right="85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Re-Exacerbations of Severe COPD Patients During the Follow-up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1194435</wp:posOffset>
            </wp:positionH>
            <wp:positionV relativeFrom="paragraph">
              <wp:posOffset>167005</wp:posOffset>
            </wp:positionV>
            <wp:extent cx="4876165" cy="3733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76165" cy="373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right="240" w:firstLine="423"/>
        <w:spacing w:after="0" w:line="284" w:lineRule="auto"/>
        <w:rPr>
          <w:sz w:val="20"/>
          <w:szCs w:val="20"/>
          <w:color w:val="auto"/>
        </w:rPr>
      </w:pPr>
      <w:r>
        <w:rPr>
          <w:rFonts w:ascii="Arial" w:cs="Arial" w:eastAsia="Arial" w:hAnsi="Arial"/>
          <w:sz w:val="17"/>
          <w:szCs w:val="17"/>
          <w:color w:val="auto"/>
        </w:rPr>
        <w:t>Consistent with the results from this trial, there was a reduction in the number of patients receiving antibiotic and systemic steroids in the high-dose group versus placebo of 46% observed in the long-term follow-up portion of the trial.</w:t>
      </w:r>
    </w:p>
    <w:p>
      <w:pPr>
        <w:spacing w:after="0" w:line="159" w:lineRule="exact"/>
        <w:rPr>
          <w:sz w:val="20"/>
          <w:szCs w:val="20"/>
          <w:color w:val="auto"/>
        </w:rPr>
      </w:pPr>
    </w:p>
    <w:p>
      <w:pPr>
        <w:ind w:left="440" w:right="20" w:firstLine="423"/>
        <w:spacing w:after="0" w:line="281" w:lineRule="auto"/>
        <w:rPr>
          <w:sz w:val="20"/>
          <w:szCs w:val="20"/>
          <w:color w:val="auto"/>
        </w:rPr>
      </w:pPr>
      <w:r>
        <w:rPr>
          <w:rFonts w:ascii="Arial" w:cs="Arial" w:eastAsia="Arial" w:hAnsi="Arial"/>
          <w:sz w:val="16"/>
          <w:szCs w:val="16"/>
          <w:color w:val="auto"/>
        </w:rPr>
        <w:t>In this trial, BCT-197 was observed to be well tolerated. Adverse events included two cases of acneiform rash, which were resolved. No induced liver injuries were observed. With these positive results Mereo is seeking regulatory advice on the development plan for BCT-197 in parallel with exploring strategic relationships. In addition, in April 2019, Mereo announced a successful end of Phase 2 meeting with the FDA regarding BCT-197. In the meeting, Mereo and the FDA discussed, and agreed in principle, an outline for the design of a pivotal Phase 3 clinical trial program to support the development of BCT-197 as a five-day treatment regimen for patients undergoing severe exacerbations of COPD.</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BGS-649 (leflutrozole) for the Treatment of Hypogonadotropic Hypogonadism</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Overview</w:t>
      </w:r>
    </w:p>
    <w:p>
      <w:pPr>
        <w:spacing w:after="0" w:line="115" w:lineRule="exact"/>
        <w:rPr>
          <w:sz w:val="20"/>
          <w:szCs w:val="20"/>
          <w:color w:val="auto"/>
        </w:rPr>
      </w:pPr>
    </w:p>
    <w:p>
      <w:pPr>
        <w:ind w:left="440" w:firstLine="423"/>
        <w:spacing w:after="0" w:line="285" w:lineRule="auto"/>
        <w:rPr>
          <w:sz w:val="20"/>
          <w:szCs w:val="20"/>
          <w:color w:val="auto"/>
        </w:rPr>
      </w:pPr>
      <w:r>
        <w:rPr>
          <w:rFonts w:ascii="Arial" w:cs="Arial" w:eastAsia="Arial" w:hAnsi="Arial"/>
          <w:sz w:val="16"/>
          <w:szCs w:val="16"/>
          <w:color w:val="auto"/>
        </w:rPr>
        <w:t>Mereo is developing BGS-649 (leflutrozole) for the treatment of HH in obese men. In obese men, a decline in testosterone is exacerbated by high levels of the aromatase enzyme in the fat tissue. The aromatase enzyme converts testosterone to estradiol, thereby reducing testosterone levels. BGS-649 is a novel once-weekly oral aromatase inhibitor designed to normalize testosterone levels and improve HH without causing the excessively high testosterone levels and impaired fertility that may result from TRT, the primary treatment for HH.</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Background of Hypogonadotropic Hypogonadism</w:t>
      </w:r>
    </w:p>
    <w:p>
      <w:pPr>
        <w:spacing w:after="0" w:line="115" w:lineRule="exact"/>
        <w:rPr>
          <w:sz w:val="20"/>
          <w:szCs w:val="20"/>
          <w:color w:val="auto"/>
        </w:rPr>
      </w:pPr>
    </w:p>
    <w:p>
      <w:pPr>
        <w:ind w:left="440" w:right="760" w:firstLine="413"/>
        <w:spacing w:after="0" w:line="284" w:lineRule="auto"/>
        <w:tabs>
          <w:tab w:leader="none" w:pos="11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is a clinical syndrome that results from the failure of the testes to produce adequate levels of testosterone. Low testosterone or male hypogonadism is classified in two different types: primary hypogonadism and HH. Primary</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980"/>
          </w:cols>
          <w:pgMar w:left="240" w:top="445" w:right="67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60"/>
        <w:spacing w:after="0" w:line="299" w:lineRule="auto"/>
        <w:rPr>
          <w:sz w:val="20"/>
          <w:szCs w:val="20"/>
          <w:color w:val="auto"/>
        </w:rPr>
      </w:pPr>
      <w:r>
        <w:rPr>
          <w:rFonts w:ascii="Arial" w:cs="Arial" w:eastAsia="Arial" w:hAnsi="Arial"/>
          <w:sz w:val="15"/>
          <w:szCs w:val="15"/>
          <w:color w:val="auto"/>
        </w:rPr>
        <w:t>hypogonadism generally results from the failure of the testes to produce sufficient levels of testosterone, due to testicular trauma, disease (such as mumps), or genetic defects. HH also results from the failure of the testes to produce sufficient levels of testosterone, in this case due to the disruption of the hypothalamic-pituitary-testicular (“HPT”) axis, an endocrine pathway, and is typically associated with obesity, aging, stress, or as a side effect of medications. The symptoms of testosterone deficiency are non-specific, which can make the diagnosis difficult. Symptoms that are most commonly associated with testosterone deficiency include reduced or loss of libido, the absence of morning erections and erectile dysfunction. Other common symptoms include fatigue, impaired physical endurance, loss of vitality, lack of motivation and mood disturbance. In physician assessments of the symptoms of HH, patients rate decreased energy levels and impaired sexual function as having the greatest negative impact on quality of life.</w:t>
      </w:r>
    </w:p>
    <w:p>
      <w:pPr>
        <w:spacing w:after="0" w:line="153"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The largest group affected by HH is comprised of men over the age of 40 who suffer from chronic diseases, such as obesity or type 2 diabetes. Based on WHO estimates and scientific data, Mereo believes that there are approximately seven million cases of HH in obese men, generally defined as men with a body mass index (“BMI”) of 30 kilograms per meter squared or more, in the United States and approximately five million cases of HH in obese men in Europe. Over 85% of men with HH are untreated despite access to care. Obesity rates continue to increase in the United States and in other developed and developing countries around the world. In 2016, the WHO estimated that 35.5% and 21.9% of males in the United States and the EU, respectively, were obese. A recent study in obese men, published in the Netherlands Journal of Medicine, showed that HH increased linearly with an increase in BMI.</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Current Treatment Landscape of Hypogonadotropic Hypogonadism</w:t>
      </w:r>
    </w:p>
    <w:p>
      <w:pPr>
        <w:spacing w:after="0" w:line="115" w:lineRule="exact"/>
        <w:rPr>
          <w:sz w:val="20"/>
          <w:szCs w:val="20"/>
          <w:color w:val="auto"/>
        </w:rPr>
      </w:pPr>
    </w:p>
    <w:p>
      <w:pPr>
        <w:ind w:left="440" w:right="20" w:firstLine="423"/>
        <w:spacing w:after="0" w:line="299" w:lineRule="auto"/>
        <w:rPr>
          <w:sz w:val="20"/>
          <w:szCs w:val="20"/>
          <w:color w:val="auto"/>
        </w:rPr>
      </w:pPr>
      <w:r>
        <w:rPr>
          <w:rFonts w:ascii="Arial" w:cs="Arial" w:eastAsia="Arial" w:hAnsi="Arial"/>
          <w:sz w:val="15"/>
          <w:szCs w:val="15"/>
          <w:color w:val="auto"/>
        </w:rPr>
        <w:t>The primary treatment for HH is TRT, in which testosterone is administered to normalize testosterone levels. There are several available routes of administering TRT, including intramuscular injections, scrotal patches, transdermal patches, transdermal gel, and implants. The direct replacement of testosterone exposes the patient to significant side effects. The FDA has concluded that there is a possible increased cardiovascular risk associated with TRT. One of the most common and serious side effects associated with TRT is impaired sperm formation. Additional complications caused by excessive testosterone include prostate enlargement, sleep apnea and worsening heart failure, gynecomastia, or breast development in males, and mood swings. Besides these side effects, each of these delivery methods also has considerable drawbacks. For example, intramuscular injections can be painful, gels and patches run the risk of testosterone transmission to other people, and patches can cause skin irritation.</w:t>
      </w:r>
    </w:p>
    <w:p>
      <w:pPr>
        <w:spacing w:after="0" w:line="153" w:lineRule="exact"/>
        <w:rPr>
          <w:sz w:val="20"/>
          <w:szCs w:val="20"/>
          <w:color w:val="auto"/>
        </w:rPr>
      </w:pPr>
    </w:p>
    <w:p>
      <w:pPr>
        <w:ind w:left="440" w:right="220" w:firstLine="423"/>
        <w:spacing w:after="0" w:line="264" w:lineRule="auto"/>
        <w:rPr>
          <w:sz w:val="20"/>
          <w:szCs w:val="20"/>
          <w:color w:val="auto"/>
        </w:rPr>
      </w:pPr>
      <w:r>
        <w:rPr>
          <w:rFonts w:ascii="Arial" w:cs="Arial" w:eastAsia="Arial" w:hAnsi="Arial"/>
          <w:sz w:val="17"/>
          <w:szCs w:val="17"/>
          <w:color w:val="auto"/>
        </w:rPr>
        <w:t>The leading testosterone replacement products on the market are AbbVie’s AndroGel and Eli Lilly’s Axiron, both of which carry a black box warning. Both products are administered transdermally by applying a gel formulation. Allergan, Inc.’s Androderm is the leading transdermal patch on the market. The most frequently prescribed intramuscular injections are Bayer AG’s Nebido and Endo Pharmaceutical Inc.’s (“Endo”) Aveed. The leading implant on the market is Endo’s Testopel.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Mereo’s Approach</w:t>
      </w:r>
    </w:p>
    <w:p>
      <w:pPr>
        <w:spacing w:after="0" w:line="115" w:lineRule="exact"/>
        <w:rPr>
          <w:sz w:val="20"/>
          <w:szCs w:val="20"/>
          <w:color w:val="auto"/>
        </w:rPr>
      </w:pPr>
    </w:p>
    <w:p>
      <w:pPr>
        <w:ind w:left="440" w:right="120" w:firstLine="423"/>
        <w:spacing w:after="0" w:line="281" w:lineRule="auto"/>
        <w:rPr>
          <w:sz w:val="20"/>
          <w:szCs w:val="20"/>
          <w:color w:val="auto"/>
        </w:rPr>
      </w:pPr>
      <w:r>
        <w:rPr>
          <w:rFonts w:ascii="Arial" w:cs="Arial" w:eastAsia="Arial" w:hAnsi="Arial"/>
          <w:sz w:val="16"/>
          <w:szCs w:val="16"/>
          <w:color w:val="auto"/>
        </w:rPr>
        <w:t>Mereo’s product candidate for treating HH in obese men is BGS-649, which is intended for once-weekly oral administration and is designed to inhibit the aromatase enzyme, instead of directly replacing testosterone. The aromatase enzyme converts testosterone to estradiol, thereby reducing testosterone levels. Aromatase is expressed at high levels in fat tissue, and therefore obese men are potentially more prone to HH. BGS-649 is intended to restore normal levels of testosterone without causing the excessively high testosterone levels that may result from TRT. In addition, Mereo believes that the long half-life of BGS-649 of 22 days may allow for convenient weekly dosing.</w:t>
      </w:r>
    </w:p>
    <w:p>
      <w:pPr>
        <w:spacing w:after="0" w:line="166" w:lineRule="exact"/>
        <w:rPr>
          <w:sz w:val="20"/>
          <w:szCs w:val="20"/>
          <w:color w:val="auto"/>
        </w:rPr>
      </w:pPr>
    </w:p>
    <w:p>
      <w:pPr>
        <w:ind w:left="440" w:right="20" w:firstLine="423"/>
        <w:spacing w:after="0" w:line="259" w:lineRule="auto"/>
        <w:rPr>
          <w:sz w:val="20"/>
          <w:szCs w:val="20"/>
          <w:color w:val="auto"/>
        </w:rPr>
      </w:pPr>
      <w:r>
        <w:rPr>
          <w:rFonts w:ascii="Arial" w:cs="Arial" w:eastAsia="Arial" w:hAnsi="Arial"/>
          <w:sz w:val="17"/>
          <w:szCs w:val="17"/>
          <w:color w:val="auto"/>
        </w:rPr>
        <w:t>Testosterone is a hormone that is regulated by three organs in the body, the hypothalamus, anterior pituitary glands and testes, which comprise the HPT axis. The initial stimulus for hormone formation begins in the hypothalamus with the formation of hormones, such as gonadotropin-releasing hormone (“GnRH”), that stimulate the pituitary gland to release LH and FSH. LH, in turn, stimulates the testicular production of testosterone, while FSH stimulates sperm formation. As testosterone levels rise, they feedback directly to the hypothalamus and indirectly through estradiol to the hypothalamus and anterior pituitary gland, which reduces the stimulation to produce more hormones, thereby creating a negative feedback loop that maintains normal testosterone levels. In obese men with HH, excessive aromatase enzyme in fat tissue convert testosterone into estradiol, which inhibits the HPT axis by the negative feedback loop.</w:t>
      </w:r>
    </w:p>
    <w:p>
      <w:pPr>
        <w:spacing w:after="0" w:line="181"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The administration of exogenous testosterone, such as with TRT, which is not controlled by the HPT feedback loop, rapidly leads to suppression of LH and FSH. Furthermore, as exogenous testosterone is not controlled by the</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980"/>
          </w:cols>
          <w:pgMar w:left="240" w:top="445" w:right="67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00"/>
        <w:spacing w:after="0" w:line="293" w:lineRule="auto"/>
        <w:rPr>
          <w:sz w:val="20"/>
          <w:szCs w:val="20"/>
          <w:color w:val="auto"/>
        </w:rPr>
      </w:pPr>
      <w:r>
        <w:rPr>
          <w:rFonts w:ascii="Arial" w:cs="Arial" w:eastAsia="Arial" w:hAnsi="Arial"/>
          <w:sz w:val="16"/>
          <w:szCs w:val="16"/>
          <w:color w:val="auto"/>
        </w:rPr>
        <w:t>HPT feedback loop, supraphysiological, or excessively high, levels of testosterone can be reached, which have been associated with cardiovascular disease. In contrast to exogenous TRT, BGS-649 is designed to inhibit aromatase and restore testosterone without disturbing the physiological feedback in the HPT axis, thereby maintaining or increasing LH and FSH with minimal risk of reaching supraphysiological levels of testosterone.</w:t>
      </w:r>
    </w:p>
    <w:p>
      <w:pPr>
        <w:spacing w:after="0" w:line="15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diagram below illustrates the HPT feedback loop process, including the negative effects of TRT: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163195</wp:posOffset>
            </wp:positionV>
            <wp:extent cx="2557145" cy="21380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57145" cy="213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Clinical Development of BGS-649</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is a table of the historical and planned clinical trials of BGS-649:</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78"/>
        </w:trPr>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Historical Trials</w:t>
            </w: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Planned Trials</w:t>
            </w:r>
          </w:p>
        </w:tc>
        <w:tc>
          <w:tcPr>
            <w:tcW w:w="0" w:type="dxa"/>
            <w:vAlign w:val="bottom"/>
          </w:tcPr>
          <w:p>
            <w:pPr>
              <w:spacing w:after="0"/>
              <w:rPr>
                <w:sz w:val="1"/>
                <w:szCs w:val="1"/>
                <w:color w:val="auto"/>
              </w:rPr>
            </w:pPr>
          </w:p>
        </w:tc>
      </w:tr>
      <w:tr>
        <w:trPr>
          <w:trHeight w:val="113"/>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Phase</w:t>
            </w:r>
          </w:p>
        </w:tc>
        <w:tc>
          <w:tcPr>
            <w:tcW w:w="2440" w:type="dxa"/>
            <w:vAlign w:val="bottom"/>
          </w:tcPr>
          <w:p>
            <w:pPr>
              <w:spacing w:after="0"/>
              <w:rPr>
                <w:sz w:val="9"/>
                <w:szCs w:val="9"/>
                <w:color w:val="auto"/>
              </w:rPr>
            </w:pPr>
          </w:p>
        </w:tc>
        <w:tc>
          <w:tcPr>
            <w:tcW w:w="800" w:type="dxa"/>
            <w:vAlign w:val="bottom"/>
            <w:gridSpan w:val="2"/>
          </w:tcPr>
          <w:p>
            <w:pPr>
              <w:jc w:val="center"/>
              <w:ind w:right="340"/>
              <w:spacing w:after="0" w:line="113" w:lineRule="exact"/>
              <w:rPr>
                <w:sz w:val="20"/>
                <w:szCs w:val="20"/>
                <w:color w:val="auto"/>
              </w:rPr>
            </w:pPr>
            <w:r>
              <w:rPr>
                <w:rFonts w:ascii="Arial" w:cs="Arial" w:eastAsia="Arial" w:hAnsi="Arial"/>
                <w:sz w:val="13"/>
                <w:szCs w:val="13"/>
                <w:b w:val="1"/>
                <w:bCs w:val="1"/>
                <w:color w:val="auto"/>
                <w:w w:val="94"/>
              </w:rPr>
              <w:t># of</w:t>
            </w: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Population</w:t>
            </w:r>
          </w:p>
        </w:tc>
        <w:tc>
          <w:tcPr>
            <w:tcW w:w="12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Subjects Treated with</w:t>
            </w:r>
          </w:p>
        </w:tc>
        <w:tc>
          <w:tcPr>
            <w:tcW w:w="340" w:type="dxa"/>
            <w:vAlign w:val="bottom"/>
          </w:tcPr>
          <w:p>
            <w:pPr>
              <w:spacing w:after="0"/>
              <w:rPr>
                <w:sz w:val="9"/>
                <w:szCs w:val="9"/>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Phase</w:t>
            </w:r>
          </w:p>
        </w:tc>
        <w:tc>
          <w:tcPr>
            <w:tcW w:w="360" w:type="dxa"/>
            <w:vAlign w:val="bottom"/>
          </w:tcPr>
          <w:p>
            <w:pPr>
              <w:spacing w:after="0"/>
              <w:rPr>
                <w:sz w:val="9"/>
                <w:szCs w:val="9"/>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Population</w:t>
            </w:r>
          </w:p>
        </w:tc>
        <w:tc>
          <w:tcPr>
            <w:tcW w:w="0" w:type="dxa"/>
            <w:vAlign w:val="bottom"/>
          </w:tcPr>
          <w:p>
            <w:pPr>
              <w:spacing w:after="0"/>
              <w:rPr>
                <w:sz w:val="1"/>
                <w:szCs w:val="1"/>
                <w:color w:val="auto"/>
              </w:rPr>
            </w:pPr>
          </w:p>
        </w:tc>
      </w:tr>
      <w:tr>
        <w:trPr>
          <w:trHeight w:val="158"/>
        </w:trPr>
        <w:tc>
          <w:tcPr>
            <w:tcW w:w="2300" w:type="dxa"/>
            <w:vAlign w:val="bottom"/>
            <w:gridSpan w:val="2"/>
            <w:vMerge w:val="continue"/>
          </w:tcPr>
          <w:p>
            <w:pPr>
              <w:spacing w:after="0"/>
              <w:rPr>
                <w:sz w:val="13"/>
                <w:szCs w:val="13"/>
                <w:color w:val="auto"/>
              </w:rPr>
            </w:pPr>
          </w:p>
        </w:tc>
        <w:tc>
          <w:tcPr>
            <w:tcW w:w="2440" w:type="dxa"/>
            <w:vAlign w:val="bottom"/>
          </w:tcPr>
          <w:p>
            <w:pPr>
              <w:spacing w:after="0"/>
              <w:rPr>
                <w:sz w:val="13"/>
                <w:szCs w:val="13"/>
                <w:color w:val="auto"/>
              </w:rPr>
            </w:pPr>
          </w:p>
        </w:tc>
        <w:tc>
          <w:tcPr>
            <w:tcW w:w="800" w:type="dxa"/>
            <w:vAlign w:val="bottom"/>
            <w:gridSpan w:val="2"/>
          </w:tcPr>
          <w:p>
            <w:pPr>
              <w:jc w:val="center"/>
              <w:ind w:right="360"/>
              <w:spacing w:after="0" w:line="152" w:lineRule="exact"/>
              <w:rPr>
                <w:sz w:val="20"/>
                <w:szCs w:val="20"/>
                <w:color w:val="auto"/>
              </w:rPr>
            </w:pPr>
            <w:r>
              <w:rPr>
                <w:rFonts w:ascii="Arial" w:cs="Arial" w:eastAsia="Arial" w:hAnsi="Arial"/>
                <w:sz w:val="14"/>
                <w:szCs w:val="14"/>
                <w:b w:val="1"/>
                <w:bCs w:val="1"/>
                <w:color w:val="auto"/>
                <w:w w:val="86"/>
              </w:rPr>
              <w:t>Studies</w:t>
            </w:r>
          </w:p>
        </w:tc>
        <w:tc>
          <w:tcPr>
            <w:tcW w:w="1360" w:type="dxa"/>
            <w:vAlign w:val="bottom"/>
            <w:gridSpan w:val="2"/>
            <w:vMerge w:val="continue"/>
          </w:tcPr>
          <w:p>
            <w:pPr>
              <w:spacing w:after="0"/>
              <w:rPr>
                <w:sz w:val="13"/>
                <w:szCs w:val="13"/>
                <w:color w:val="auto"/>
              </w:rPr>
            </w:pPr>
          </w:p>
        </w:tc>
        <w:tc>
          <w:tcPr>
            <w:tcW w:w="1620" w:type="dxa"/>
            <w:vAlign w:val="bottom"/>
            <w:gridSpan w:val="2"/>
          </w:tcPr>
          <w:p>
            <w:pPr>
              <w:jc w:val="center"/>
              <w:ind w:right="360"/>
              <w:spacing w:after="0" w:line="152" w:lineRule="exact"/>
              <w:rPr>
                <w:sz w:val="20"/>
                <w:szCs w:val="20"/>
                <w:color w:val="auto"/>
              </w:rPr>
            </w:pPr>
            <w:r>
              <w:rPr>
                <w:rFonts w:ascii="Arial" w:cs="Arial" w:eastAsia="Arial" w:hAnsi="Arial"/>
                <w:sz w:val="14"/>
                <w:szCs w:val="14"/>
                <w:b w:val="1"/>
                <w:bCs w:val="1"/>
                <w:color w:val="auto"/>
                <w:w w:val="92"/>
              </w:rPr>
              <w:t>BGS-649</w:t>
            </w:r>
          </w:p>
        </w:tc>
        <w:tc>
          <w:tcPr>
            <w:tcW w:w="5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auto"/>
            </w:tcBorders>
            <w:shd w:val="clear" w:color="auto" w:fill="CCEEFF"/>
          </w:tcPr>
          <w:p>
            <w:pPr>
              <w:spacing w:after="0"/>
              <w:rPr>
                <w:sz w:val="16"/>
                <w:szCs w:val="16"/>
                <w:color w:val="auto"/>
              </w:rPr>
            </w:pPr>
          </w:p>
        </w:tc>
        <w:tc>
          <w:tcPr>
            <w:tcW w:w="1960" w:type="dxa"/>
            <w:vAlign w:val="bottom"/>
            <w:tcBorders>
              <w:top w:val="single" w:sz="8" w:color="CCEEFF"/>
            </w:tcBorders>
            <w:shd w:val="clear" w:color="auto" w:fill="CCEEFF"/>
          </w:tcPr>
          <w:p>
            <w:pPr>
              <w:spacing w:after="0"/>
              <w:rPr>
                <w:sz w:val="16"/>
                <w:szCs w:val="16"/>
                <w:color w:val="auto"/>
              </w:rPr>
            </w:pPr>
          </w:p>
        </w:tc>
        <w:tc>
          <w:tcPr>
            <w:tcW w:w="2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Healthy</w:t>
            </w:r>
          </w:p>
        </w:tc>
        <w:tc>
          <w:tcPr>
            <w:tcW w:w="3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380"/>
              <w:spacing w:after="0"/>
              <w:rPr>
                <w:sz w:val="20"/>
                <w:szCs w:val="20"/>
                <w:color w:val="auto"/>
              </w:rPr>
            </w:pPr>
            <w:r>
              <w:rPr>
                <w:rFonts w:ascii="Arial" w:cs="Arial" w:eastAsia="Arial" w:hAnsi="Arial"/>
                <w:sz w:val="17"/>
                <w:szCs w:val="17"/>
                <w:color w:val="auto"/>
                <w:w w:val="91"/>
              </w:rPr>
              <w:t>Women /</w:t>
            </w: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Phase 1</w:t>
            </w:r>
          </w:p>
        </w:tc>
        <w:tc>
          <w:tcPr>
            <w:tcW w:w="2880" w:type="dxa"/>
            <w:vAlign w:val="bottom"/>
            <w:gridSpan w:val="2"/>
            <w:shd w:val="clear" w:color="auto" w:fill="CCEEFF"/>
          </w:tcPr>
          <w:p>
            <w:pPr>
              <w:jc w:val="center"/>
              <w:ind w:left="2357"/>
              <w:spacing w:after="0"/>
              <w:rPr>
                <w:sz w:val="20"/>
                <w:szCs w:val="20"/>
                <w:color w:val="auto"/>
              </w:rPr>
            </w:pPr>
            <w:r>
              <w:rPr>
                <w:rFonts w:ascii="Arial" w:cs="Arial" w:eastAsia="Arial" w:hAnsi="Arial"/>
                <w:sz w:val="17"/>
                <w:szCs w:val="17"/>
                <w:color w:val="auto"/>
                <w:w w:val="84"/>
              </w:rPr>
              <w:t>5</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2"/>
              </w:rPr>
              <w:t>Endometriosis</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95</w:t>
            </w: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Phase 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8"/>
              </w:rPr>
              <w:t>HH obese men</w:t>
            </w:r>
          </w:p>
        </w:tc>
        <w:tc>
          <w:tcPr>
            <w:tcW w:w="0" w:type="dxa"/>
            <w:vAlign w:val="bottom"/>
          </w:tcPr>
          <w:p>
            <w:pPr>
              <w:spacing w:after="0"/>
              <w:rPr>
                <w:sz w:val="1"/>
                <w:szCs w:val="1"/>
                <w:color w:val="auto"/>
              </w:rPr>
            </w:pPr>
          </w:p>
        </w:tc>
      </w:tr>
      <w:tr>
        <w:trPr>
          <w:trHeight w:val="207"/>
        </w:trPr>
        <w:tc>
          <w:tcPr>
            <w:tcW w:w="2300" w:type="dxa"/>
            <w:vAlign w:val="bottom"/>
            <w:gridSpan w:val="2"/>
          </w:tcPr>
          <w:p>
            <w:pPr>
              <w:spacing w:after="0"/>
              <w:rPr>
                <w:sz w:val="20"/>
                <w:szCs w:val="20"/>
                <w:color w:val="auto"/>
              </w:rPr>
            </w:pPr>
            <w:r>
              <w:rPr>
                <w:rFonts w:ascii="Arial" w:cs="Arial" w:eastAsia="Arial" w:hAnsi="Arial"/>
                <w:sz w:val="17"/>
                <w:szCs w:val="17"/>
                <w:color w:val="auto"/>
              </w:rPr>
              <w:t>Phase 2</w:t>
            </w:r>
          </w:p>
        </w:tc>
        <w:tc>
          <w:tcPr>
            <w:tcW w:w="2880" w:type="dxa"/>
            <w:vAlign w:val="bottom"/>
            <w:gridSpan w:val="2"/>
          </w:tcPr>
          <w:p>
            <w:pPr>
              <w:jc w:val="center"/>
              <w:ind w:left="2357"/>
              <w:spacing w:after="0"/>
              <w:rPr>
                <w:sz w:val="20"/>
                <w:szCs w:val="20"/>
                <w:color w:val="auto"/>
              </w:rPr>
            </w:pPr>
            <w:r>
              <w:rPr>
                <w:rFonts w:ascii="Arial" w:cs="Arial" w:eastAsia="Arial" w:hAnsi="Arial"/>
                <w:sz w:val="17"/>
                <w:szCs w:val="17"/>
                <w:color w:val="auto"/>
                <w:w w:val="84"/>
              </w:rPr>
              <w:t>1</w:t>
            </w:r>
          </w:p>
        </w:tc>
        <w:tc>
          <w:tcPr>
            <w:tcW w:w="3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7"/>
                <w:szCs w:val="17"/>
                <w:color w:val="auto"/>
                <w:w w:val="92"/>
              </w:rPr>
              <w:t>Endometriosis</w:t>
            </w:r>
          </w:p>
        </w:tc>
        <w:tc>
          <w:tcPr>
            <w:tcW w:w="1280" w:type="dxa"/>
            <w:vAlign w:val="bottom"/>
          </w:tcPr>
          <w:p>
            <w:pPr>
              <w:jc w:val="center"/>
              <w:spacing w:after="0"/>
              <w:rPr>
                <w:sz w:val="20"/>
                <w:szCs w:val="20"/>
                <w:color w:val="auto"/>
              </w:rPr>
            </w:pPr>
            <w:r>
              <w:rPr>
                <w:rFonts w:ascii="Arial" w:cs="Arial" w:eastAsia="Arial" w:hAnsi="Arial"/>
                <w:sz w:val="17"/>
                <w:szCs w:val="17"/>
                <w:color w:val="auto"/>
                <w:w w:val="94"/>
              </w:rPr>
              <w:t>12</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Phase 2</w:t>
            </w:r>
          </w:p>
        </w:tc>
        <w:tc>
          <w:tcPr>
            <w:tcW w:w="2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89"/>
              </w:rPr>
              <w:t>HH obese</w:t>
            </w:r>
          </w:p>
        </w:tc>
        <w:tc>
          <w:tcPr>
            <w:tcW w:w="1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left="2357"/>
              <w:spacing w:after="0"/>
              <w:rPr>
                <w:sz w:val="20"/>
                <w:szCs w:val="20"/>
                <w:color w:val="auto"/>
              </w:rPr>
            </w:pPr>
            <w:r>
              <w:rPr>
                <w:rFonts w:ascii="Arial" w:cs="Arial" w:eastAsia="Arial" w:hAnsi="Arial"/>
                <w:sz w:val="17"/>
                <w:szCs w:val="17"/>
                <w:color w:val="auto"/>
                <w:w w:val="84"/>
              </w:rPr>
              <w:t>1</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380"/>
              <w:spacing w:after="0"/>
              <w:rPr>
                <w:sz w:val="20"/>
                <w:szCs w:val="20"/>
                <w:color w:val="auto"/>
              </w:rPr>
            </w:pPr>
            <w:r>
              <w:rPr>
                <w:rFonts w:ascii="Arial" w:cs="Arial" w:eastAsia="Arial" w:hAnsi="Arial"/>
                <w:sz w:val="17"/>
                <w:szCs w:val="17"/>
                <w:color w:val="auto"/>
                <w:w w:val="90"/>
              </w:rPr>
              <w:t>men</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24</w:t>
            </w: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auto"/>
              </w:rPr>
              <w:t>Phase 2b</w:t>
            </w:r>
          </w:p>
        </w:tc>
        <w:tc>
          <w:tcPr>
            <w:tcW w:w="2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HH obese</w:t>
            </w: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80" w:type="dxa"/>
            <w:vAlign w:val="bottom"/>
            <w:gridSpan w:val="2"/>
          </w:tcPr>
          <w:p>
            <w:pPr>
              <w:jc w:val="center"/>
              <w:ind w:left="2357"/>
              <w:spacing w:after="0"/>
              <w:rPr>
                <w:sz w:val="20"/>
                <w:szCs w:val="20"/>
                <w:color w:val="auto"/>
              </w:rPr>
            </w:pPr>
            <w:r>
              <w:rPr>
                <w:rFonts w:ascii="Arial" w:cs="Arial" w:eastAsia="Arial" w:hAnsi="Arial"/>
                <w:sz w:val="17"/>
                <w:szCs w:val="17"/>
                <w:color w:val="auto"/>
                <w:w w:val="84"/>
              </w:rPr>
              <w:t>1</w:t>
            </w:r>
          </w:p>
        </w:tc>
        <w:tc>
          <w:tcPr>
            <w:tcW w:w="36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7"/>
                <w:szCs w:val="17"/>
                <w:color w:val="auto"/>
                <w:w w:val="90"/>
              </w:rPr>
              <w:t>men</w:t>
            </w:r>
          </w:p>
        </w:tc>
        <w:tc>
          <w:tcPr>
            <w:tcW w:w="1280" w:type="dxa"/>
            <w:vAlign w:val="bottom"/>
          </w:tcPr>
          <w:p>
            <w:pPr>
              <w:jc w:val="center"/>
              <w:spacing w:after="0"/>
              <w:rPr>
                <w:sz w:val="20"/>
                <w:szCs w:val="20"/>
                <w:color w:val="auto"/>
              </w:rPr>
            </w:pPr>
            <w:r>
              <w:rPr>
                <w:rFonts w:ascii="Arial" w:cs="Arial" w:eastAsia="Arial" w:hAnsi="Arial"/>
                <w:sz w:val="17"/>
                <w:szCs w:val="17"/>
                <w:color w:val="auto"/>
                <w:w w:val="91"/>
              </w:rPr>
              <w:t>200</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Phase 2b (ext)</w:t>
            </w:r>
          </w:p>
        </w:tc>
        <w:tc>
          <w:tcPr>
            <w:tcW w:w="2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89"/>
              </w:rPr>
              <w:t>HH obese</w:t>
            </w:r>
          </w:p>
        </w:tc>
        <w:tc>
          <w:tcPr>
            <w:tcW w:w="1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left="2357"/>
              <w:spacing w:after="0"/>
              <w:rPr>
                <w:sz w:val="20"/>
                <w:szCs w:val="20"/>
                <w:color w:val="auto"/>
              </w:rPr>
            </w:pPr>
            <w:r>
              <w:rPr>
                <w:rFonts w:ascii="Arial" w:cs="Arial" w:eastAsia="Arial" w:hAnsi="Arial"/>
                <w:sz w:val="17"/>
                <w:szCs w:val="17"/>
                <w:color w:val="auto"/>
                <w:w w:val="84"/>
              </w:rPr>
              <w:t>1</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380"/>
              <w:spacing w:after="0"/>
              <w:rPr>
                <w:sz w:val="20"/>
                <w:szCs w:val="20"/>
                <w:color w:val="auto"/>
              </w:rPr>
            </w:pPr>
            <w:r>
              <w:rPr>
                <w:rFonts w:ascii="Arial" w:cs="Arial" w:eastAsia="Arial" w:hAnsi="Arial"/>
                <w:sz w:val="17"/>
                <w:szCs w:val="17"/>
                <w:color w:val="auto"/>
                <w:w w:val="90"/>
              </w:rPr>
              <w:t>men</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143</w:t>
            </w: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Phase 2 Proof-of-Concept Clinical Trial in Hypogonadotropic Hypogonadism</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Novartis conducted a two-part Phase 2 proof-of-concept trial for HH in obese men in North America.</w:t>
      </w:r>
    </w:p>
    <w:p>
      <w:pPr>
        <w:spacing w:after="0" w:line="219" w:lineRule="exact"/>
        <w:rPr>
          <w:sz w:val="20"/>
          <w:szCs w:val="20"/>
          <w:color w:val="auto"/>
        </w:rPr>
      </w:pPr>
    </w:p>
    <w:p>
      <w:pPr>
        <w:ind w:left="440" w:right="40" w:firstLine="423"/>
        <w:spacing w:after="0" w:line="285" w:lineRule="auto"/>
        <w:rPr>
          <w:sz w:val="20"/>
          <w:szCs w:val="20"/>
          <w:color w:val="auto"/>
        </w:rPr>
      </w:pPr>
      <w:r>
        <w:rPr>
          <w:rFonts w:ascii="Arial" w:cs="Arial" w:eastAsia="Arial" w:hAnsi="Arial"/>
          <w:sz w:val="16"/>
          <w:szCs w:val="16"/>
          <w:color w:val="auto"/>
        </w:rPr>
        <w:t>Part 1 was an open-label trial to evaluate the pharmacokinetics and pharmacodynamics of BGS-649 in obese men. Fourteen patients were enrolled in this 12-week trial with a three-month follow-up phase. Patients received a first dose of BGS-649, and testosterone was measured on days five through seven to allow the physicians to choose subsequent doses with the goal of achieving and maintaining normal testosterone levels. Following the first dose, a range of doses were administered. The average BMI of participants was 34 kilograms per meter squared.</w:t>
      </w:r>
    </w:p>
    <w:p>
      <w:pPr>
        <w:spacing w:after="0" w:line="162" w:lineRule="exact"/>
        <w:rPr>
          <w:sz w:val="20"/>
          <w:szCs w:val="20"/>
          <w:color w:val="auto"/>
        </w:rPr>
      </w:pPr>
    </w:p>
    <w:p>
      <w:pPr>
        <w:ind w:left="440" w:right="160" w:firstLine="423"/>
        <w:spacing w:after="0" w:line="269" w:lineRule="auto"/>
        <w:rPr>
          <w:sz w:val="20"/>
          <w:szCs w:val="20"/>
          <w:color w:val="auto"/>
        </w:rPr>
      </w:pPr>
      <w:r>
        <w:rPr>
          <w:rFonts w:ascii="Arial" w:cs="Arial" w:eastAsia="Arial" w:hAnsi="Arial"/>
          <w:sz w:val="17"/>
          <w:szCs w:val="17"/>
          <w:color w:val="auto"/>
        </w:rPr>
        <w:t>Consistent with the goal of the trial, BGS-649 treatment increased testosterone into the normal range of 300 to 1,000 nanograms per deciliter (“ng/dl”) in all patients exposed in Part 1. Mean baseline testosterone was 239 ng/dl, and rose to a mean of 514 ng/dl at week 12 of the trial. Both FSH and LH levels also increased in the BGS-649 group.</w:t>
      </w:r>
    </w:p>
    <w:p>
      <w:pPr>
        <w:spacing w:after="0" w:line="171" w:lineRule="exact"/>
        <w:rPr>
          <w:sz w:val="20"/>
          <w:szCs w:val="20"/>
          <w:color w:val="auto"/>
        </w:rPr>
      </w:pPr>
    </w:p>
    <w:p>
      <w:pPr>
        <w:jc w:val="both"/>
        <w:ind w:left="440" w:right="340" w:firstLine="423"/>
        <w:spacing w:after="0" w:line="269" w:lineRule="auto"/>
        <w:rPr>
          <w:sz w:val="20"/>
          <w:szCs w:val="20"/>
          <w:color w:val="auto"/>
        </w:rPr>
      </w:pPr>
      <w:r>
        <w:rPr>
          <w:rFonts w:ascii="Arial" w:cs="Arial" w:eastAsia="Arial" w:hAnsi="Arial"/>
          <w:sz w:val="17"/>
          <w:szCs w:val="17"/>
          <w:color w:val="auto"/>
        </w:rPr>
        <w:t>Part 2 was a two-arm, randomized, placebo-controlled, double-blind 12-week trial, with a three-month follow-up trial. The primary objectives were to evaluate the ability of BGS-649 to normalize testosterone and examine if normalized testosterone benefits insulin sensitivity. The secondary endpoints were safety, tolerability, pharmacodynamic effects on glucose, insulin and lipid metabolism.</w:t>
      </w:r>
    </w:p>
    <w:p>
      <w:pPr>
        <w:spacing w:after="0" w:line="10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000"/>
          </w:cols>
          <w:pgMar w:left="240" w:top="445" w:right="6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20" w:firstLine="423"/>
        <w:spacing w:after="0" w:line="259" w:lineRule="auto"/>
        <w:rPr>
          <w:sz w:val="20"/>
          <w:szCs w:val="20"/>
          <w:color w:val="auto"/>
        </w:rPr>
      </w:pPr>
      <w:r>
        <w:rPr>
          <w:rFonts w:ascii="Arial" w:cs="Arial" w:eastAsia="Arial" w:hAnsi="Arial"/>
          <w:sz w:val="17"/>
          <w:szCs w:val="17"/>
          <w:color w:val="auto"/>
        </w:rPr>
        <w:t>Fifteen patients were enrolled in Part 2 of the trial, eight in the placebo group and seven in the treatment arm. Originally, 30 patients were to be enrolled. Enrollment was terminated early due to a dosing error at a trial site, which resulted in three placebo patients receiving an active dose of BGS-649. The error was identified after testosterone levels in these three patients normalized, and was confirmed by the presence of BGS-649 in these patients’ plasma. The patients who were inadvertently given an initial dose of BGS-649 continued to the end of the trial on placebo. Its results were included in the safety database, but were not included in the efficacy analysis. Therefore, there were five placebo patients. Due to the early termination of the trial, among the placebo patients, one completed the full 12-week protocol, two completed week 10, one completed week seven and one completed week six.</w:t>
      </w:r>
    </w:p>
    <w:p>
      <w:pPr>
        <w:spacing w:after="0" w:line="181" w:lineRule="exact"/>
        <w:rPr>
          <w:sz w:val="20"/>
          <w:szCs w:val="20"/>
          <w:color w:val="auto"/>
        </w:rPr>
      </w:pPr>
    </w:p>
    <w:p>
      <w:pPr>
        <w:ind w:left="440" w:right="260" w:firstLine="423"/>
        <w:spacing w:after="0" w:line="293" w:lineRule="auto"/>
        <w:rPr>
          <w:sz w:val="20"/>
          <w:szCs w:val="20"/>
          <w:color w:val="auto"/>
        </w:rPr>
      </w:pPr>
      <w:r>
        <w:rPr>
          <w:rFonts w:ascii="Arial" w:cs="Arial" w:eastAsia="Arial" w:hAnsi="Arial"/>
          <w:sz w:val="16"/>
          <w:szCs w:val="16"/>
          <w:color w:val="auto"/>
        </w:rPr>
        <w:t>Of the seven patients treated with BGS-649, five completed all 11 doses, one completed week eight and one completed week six prior to termination of the trial. Its subsequent testosterone levels were recorded and included in efficacy analyses, though one patient missed the end-of-trial blood test as he withdrew consent. Despite the early termination, BGS-649 normalized testosterone levels in all patients treated.</w:t>
      </w:r>
    </w:p>
    <w:p>
      <w:pPr>
        <w:spacing w:after="0" w:line="155" w:lineRule="exact"/>
        <w:rPr>
          <w:sz w:val="20"/>
          <w:szCs w:val="20"/>
          <w:color w:val="auto"/>
        </w:rPr>
      </w:pPr>
    </w:p>
    <w:p>
      <w:pPr>
        <w:ind w:left="440" w:right="80" w:firstLine="423"/>
        <w:spacing w:after="0" w:line="281" w:lineRule="auto"/>
        <w:rPr>
          <w:sz w:val="20"/>
          <w:szCs w:val="20"/>
          <w:color w:val="auto"/>
        </w:rPr>
      </w:pPr>
      <w:r>
        <w:rPr>
          <w:rFonts w:ascii="Arial" w:cs="Arial" w:eastAsia="Arial" w:hAnsi="Arial"/>
          <w:sz w:val="16"/>
          <w:szCs w:val="16"/>
          <w:color w:val="auto"/>
        </w:rPr>
        <w:t>The treated patients received a loading dose of BGS-649 on day one, followed by a lower weekly dose of BGS-649. The testosterone levels of all patients treated with BGS-649 normalized after one dose and remained in the normal range throughout the treatment period, with the exception of one patient on day 21, whose level dropped to 279 ng/dl but recovered to a level of 480 ng/dl on day 27. Testosterone levels in the placebo patients occasionally reached the normal range, but this effect was not consistent or sustained. In the BGS-649 arm, the mean testosterone level increased from 273 ng/dl at baseline to 423 ng/dl at week 12. Both FSH and LH levels also increased in the BGS-649 group.</w:t>
      </w:r>
    </w:p>
    <w:p>
      <w:pPr>
        <w:spacing w:after="0" w:line="166"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7"/>
          <w:szCs w:val="17"/>
          <w:color w:val="auto"/>
        </w:rPr>
        <w:t>The following graph illustrates the percentage increase in testosterone level relative to baseline in patients receiving a weekly dose of BGS-649 or placebo. The testosterone increase was statistically significant in the BGS-649 group from day 4 (p=0.012), with a trend towards return to baseline by the end of the trial, with no evidence of increased total testosterone levels beyond the upper limit of the normal range in any patient exposed to BGS-649.</w:t>
      </w:r>
    </w:p>
    <w:p>
      <w:pPr>
        <w:spacing w:after="0" w:line="37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Percentage Change in Testosterone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167005</wp:posOffset>
            </wp:positionV>
            <wp:extent cx="5878830" cy="26473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78830" cy="264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40" w:hanging="509"/>
        <w:spacing w:after="0"/>
        <w:tabs>
          <w:tab w:leader="none" w:pos="9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Last dose of BGS-649 administered at week 12 (day 78).</w:t>
      </w:r>
    </w:p>
    <w:p>
      <w:pPr>
        <w:spacing w:after="0" w:line="24" w:lineRule="exact"/>
        <w:rPr>
          <w:sz w:val="20"/>
          <w:szCs w:val="20"/>
          <w:color w:val="auto"/>
        </w:rPr>
      </w:pPr>
    </w:p>
    <w:p>
      <w:pPr>
        <w:ind w:left="940" w:right="40" w:hanging="509"/>
        <w:spacing w:after="0" w:line="254" w:lineRule="auto"/>
        <w:tabs>
          <w:tab w:leader="none" w:pos="9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ind w:left="940" w:hanging="509"/>
        <w:spacing w:after="0" w:line="254" w:lineRule="auto"/>
        <w:tabs>
          <w:tab w:leader="none" w:pos="9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Five patients received BGS-649 through week 12 of the trial, one patient received BGS-649 through week 10, and one patient received BGS-649 through week eight.</w:t>
      </w:r>
    </w:p>
    <w:p>
      <w:pPr>
        <w:ind w:left="940" w:right="60" w:hanging="509"/>
        <w:spacing w:after="0" w:line="261" w:lineRule="auto"/>
        <w:tabs>
          <w:tab w:leader="none" w:pos="9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960"/>
          </w:cols>
          <w:pgMar w:left="240" w:top="445" w:right="69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440" w:right="260" w:firstLine="423"/>
        <w:spacing w:after="0" w:line="269" w:lineRule="auto"/>
        <w:rPr>
          <w:sz w:val="20"/>
          <w:szCs w:val="20"/>
          <w:color w:val="auto"/>
        </w:rPr>
      </w:pPr>
      <w:r>
        <w:rPr>
          <w:rFonts w:ascii="Arial" w:cs="Arial" w:eastAsia="Arial" w:hAnsi="Arial"/>
          <w:sz w:val="17"/>
          <w:szCs w:val="17"/>
          <w:color w:val="auto"/>
        </w:rPr>
        <w:t>In addition, patients receiving a weekly dose of BGS-649 showed a trend towards an increase in LH and FSH levels in the treated group with a return to baseline by end of trial. These results in the treated group, suggest that the negative feedback loop controlling the gonadotropin levels in the HPT axis was not disrupted.</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Summary of Safety Results</w:t>
      </w:r>
    </w:p>
    <w:p>
      <w:pPr>
        <w:spacing w:after="0" w:line="115"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In the clinical trials conducted by Novartis, BGS-649 was well tolerated in the 131 treated patients, with no treatment related serious adverse events. In the Phase 2 proof-of-concept trial in HH, there were 41 adverse events, 16 in the BGS-649 group and 25 in the placebo group. In the BGS-649 group, six of the adverse events were moderate and 10 were mild.</w:t>
      </w:r>
    </w:p>
    <w:p>
      <w:pPr>
        <w:spacing w:after="0" w:line="171" w:lineRule="exact"/>
        <w:rPr>
          <w:sz w:val="20"/>
          <w:szCs w:val="20"/>
          <w:color w:val="auto"/>
        </w:rPr>
      </w:pPr>
    </w:p>
    <w:p>
      <w:pPr>
        <w:ind w:left="440" w:firstLine="423"/>
        <w:spacing w:after="0" w:line="285" w:lineRule="auto"/>
        <w:rPr>
          <w:sz w:val="20"/>
          <w:szCs w:val="20"/>
          <w:color w:val="auto"/>
        </w:rPr>
      </w:pPr>
      <w:r>
        <w:rPr>
          <w:rFonts w:ascii="Arial" w:cs="Arial" w:eastAsia="Arial" w:hAnsi="Arial"/>
          <w:sz w:val="16"/>
          <w:szCs w:val="16"/>
          <w:color w:val="auto"/>
        </w:rPr>
        <w:t>In Part 1 of the trial there were 59 adverse events, 16 of which were moderate and 43 of which were mild. These adverse events were transient and resolved spontaneously. Four patients reported spontaneous penile erection, three patients reported an episode of a headache and two patients reported abnormal hair growth, which were suspected of being related to BGS-649. Other common adverse events were oropharyngeal pain, nasal congestion, diarrhea, arthralgia, cough, dizziness and frequent bowel movements. There were no drug-related significant adverse events.</w:t>
      </w:r>
    </w:p>
    <w:p>
      <w:pPr>
        <w:spacing w:after="0" w:line="162"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In Part 2 of the trial, the most common adverse events were lack of energy, headache, nasal congestion, somnolence, and spontaneous penile erection, which were distributed broadly across the BGS-649 and placebo groups. None of these adverse events occurred in more than three patients. Special safety parameters, including prostate specific antigen, haematocrit, hemoglobin, high-density lipoprotein, and bone turnover markers, showed no significant effect of BGS-649. Mereo is monitoring these parameters in the current trial.</w:t>
      </w:r>
    </w:p>
    <w:p>
      <w:pPr>
        <w:spacing w:after="0" w:line="176" w:lineRule="exact"/>
        <w:rPr>
          <w:sz w:val="20"/>
          <w:szCs w:val="20"/>
          <w:color w:val="auto"/>
        </w:rPr>
      </w:pPr>
    </w:p>
    <w:p>
      <w:pPr>
        <w:ind w:left="440" w:right="460" w:firstLine="423"/>
        <w:spacing w:after="0" w:line="269" w:lineRule="auto"/>
        <w:rPr>
          <w:sz w:val="20"/>
          <w:szCs w:val="20"/>
          <w:color w:val="auto"/>
        </w:rPr>
      </w:pPr>
      <w:r>
        <w:rPr>
          <w:rFonts w:ascii="Arial" w:cs="Arial" w:eastAsia="Arial" w:hAnsi="Arial"/>
          <w:sz w:val="17"/>
          <w:szCs w:val="17"/>
          <w:color w:val="auto"/>
        </w:rPr>
        <w:t>A reproductive toxicology trial was also performed in rats to evaluate the risk of potential transference of BGS-649 in the semen, and no reproductive toxicology risk was identified. The maximum dosage would equate to a maximum of 4,700 times the human exposure, which should provide a significant safety margin.</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Phase 2b Clinical Trial in Hypogonadotropic Hypogonadism</w:t>
      </w:r>
    </w:p>
    <w:p>
      <w:pPr>
        <w:spacing w:after="0" w:line="115"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In March 2018, Mereo announced top-line data from its Phase 2b clinical trial of BGS-649 for the treatment of HH in obese men. Mereo enrolled 271 patients in the trial in the United States and Europe. The trial was a multi-center, randomized double-blind, dose-ranging, placebo-controlled trial of BGS-649 in obese males with HH with a BMI of over 30. Subjects were divided into four groups, with 71 receiving placebo and 67, 66 and 67, receiving the low, intermediate or high dose, respectively, of BGS-649.</w:t>
      </w:r>
    </w:p>
    <w:p>
      <w:pPr>
        <w:spacing w:after="0" w:line="176" w:lineRule="exact"/>
        <w:rPr>
          <w:sz w:val="20"/>
          <w:szCs w:val="20"/>
          <w:color w:val="auto"/>
        </w:rPr>
      </w:pPr>
    </w:p>
    <w:p>
      <w:pPr>
        <w:ind w:left="440" w:right="40" w:firstLine="423"/>
        <w:spacing w:after="0" w:line="284" w:lineRule="auto"/>
        <w:rPr>
          <w:sz w:val="20"/>
          <w:szCs w:val="20"/>
          <w:color w:val="auto"/>
        </w:rPr>
      </w:pPr>
      <w:r>
        <w:rPr>
          <w:rFonts w:ascii="Arial" w:cs="Arial" w:eastAsia="Arial" w:hAnsi="Arial"/>
          <w:sz w:val="17"/>
          <w:szCs w:val="17"/>
          <w:color w:val="auto"/>
        </w:rPr>
        <w:t>The primary endpoint of the trial was to measure the percentage of patients whose testosterone levels normalized. The trial was designed to detect whether at least 75% of patients had normalized testosterone levels at week 24.</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secondary endpoints were:</w:t>
      </w:r>
    </w:p>
    <w:p>
      <w:pPr>
        <w:spacing w:after="0" w:line="128" w:lineRule="exact"/>
        <w:rPr>
          <w:sz w:val="20"/>
          <w:szCs w:val="20"/>
          <w:color w:val="auto"/>
        </w:rPr>
      </w:pPr>
    </w:p>
    <w:p>
      <w:pPr>
        <w:ind w:left="1260" w:hanging="415"/>
        <w:spacing w:after="0"/>
        <w:tabs>
          <w:tab w:leader="none" w:pos="1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ability of BGS-649 to normalize testosterone in at least 90% of patients;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effects of BGS-649 on LH and FSH;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proportion of subjects that overshoot testosterone levels at 24 weeks.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In addition, the trial was designed:</w:t>
      </w:r>
    </w:p>
    <w:p>
      <w:pPr>
        <w:spacing w:after="0" w:line="128" w:lineRule="exact"/>
        <w:rPr>
          <w:sz w:val="20"/>
          <w:szCs w:val="20"/>
          <w:color w:val="auto"/>
        </w:rPr>
      </w:pPr>
    </w:p>
    <w:p>
      <w:pPr>
        <w:jc w:val="both"/>
        <w:ind w:left="1260" w:right="440" w:hanging="415"/>
        <w:spacing w:after="0" w:line="269" w:lineRule="auto"/>
        <w:tabs>
          <w:tab w:leader="none" w:pos="1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investigate the benefit on patient-reported outcomes (“PROs”), including the Patient-Reported Outcomes Measurement Information System (“PROMIS”), Brief Fatigue Inventory, PROMIS SexSF and International Index of Erectile Function, which examine the most common complaints HH patients present to a doctor, fatigue and sexual dysfunction;</w:t>
      </w:r>
    </w:p>
    <w:p>
      <w:pPr>
        <w:spacing w:after="0" w:line="80" w:lineRule="exact"/>
        <w:rPr>
          <w:rFonts w:ascii="Arial" w:cs="Arial" w:eastAsia="Arial" w:hAnsi="Arial"/>
          <w:sz w:val="17"/>
          <w:szCs w:val="17"/>
          <w:color w:val="auto"/>
        </w:rPr>
      </w:pPr>
    </w:p>
    <w:p>
      <w:pPr>
        <w:ind w:left="1260" w:hanging="415"/>
        <w:spacing w:after="0"/>
        <w:tabs>
          <w:tab w:leader="none" w:pos="1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to assess the effects of BGS-649 on semen analysis (sperm count and motility), in a subset of patients; and</w:t>
      </w:r>
    </w:p>
    <w:p>
      <w:pPr>
        <w:spacing w:after="0" w:line="1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980"/>
          </w:cols>
          <w:pgMar w:left="240" w:top="445" w:right="6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200" w:hanging="415"/>
        <w:spacing w:after="0" w:line="284" w:lineRule="auto"/>
        <w:tabs>
          <w:tab w:leader="none" w:pos="1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 evaluate safety and tolerability, which included analysis of lipid profiles, haematocrit bone turnover markers, and bone mineral density measured by DEXA score.</w:t>
      </w:r>
    </w:p>
    <w:p>
      <w:pPr>
        <w:spacing w:after="0" w:line="159" w:lineRule="exact"/>
        <w:rPr>
          <w:sz w:val="20"/>
          <w:szCs w:val="20"/>
          <w:color w:val="auto"/>
        </w:rPr>
      </w:pPr>
    </w:p>
    <w:p>
      <w:pPr>
        <w:ind w:left="440" w:right="160" w:firstLine="423"/>
        <w:spacing w:after="0" w:line="279" w:lineRule="auto"/>
        <w:rPr>
          <w:sz w:val="20"/>
          <w:szCs w:val="20"/>
          <w:color w:val="auto"/>
        </w:rPr>
      </w:pPr>
      <w:r>
        <w:rPr>
          <w:rFonts w:ascii="Arial" w:cs="Arial" w:eastAsia="Arial" w:hAnsi="Arial"/>
          <w:sz w:val="16"/>
          <w:szCs w:val="16"/>
          <w:color w:val="auto"/>
        </w:rPr>
        <w:t>The trial involved a four-week screening phase followed by a 24-week treatment phase and a 12-week follow-up period. All doses of BGS-649 met the primary endpoint, normalizing total testosterone levels in over 75% of subjects after 24 weeks of treatment (p&lt;0.001 versus placebo). Normalization of testosterone was observed at the first measurement following the initial dosing of BGS-649 at day 8 in more than 80% of subjects at all three doses. A dose response was also observed in absolute total testosterone levels and over the dosing period, with mean testosterone reaching 458.0 ng/dl (low dose), 512.5 ng/dl (intermediate dose) and 586.5 ng/dl (high dose). The following graph illustrates the increase in mean total testosterone levels from baseline in patients in each of the three dosing arms of BGS-649 and receiving placebo.</w:t>
      </w:r>
    </w:p>
    <w:p>
      <w:pPr>
        <w:spacing w:after="0" w:line="368"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Change from Baseline in Mean Total Testosterone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167005</wp:posOffset>
            </wp:positionV>
            <wp:extent cx="4941570" cy="2088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41570" cy="2088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0" w:firstLine="423"/>
        <w:spacing w:after="0" w:line="281" w:lineRule="auto"/>
        <w:rPr>
          <w:sz w:val="20"/>
          <w:szCs w:val="20"/>
          <w:color w:val="auto"/>
        </w:rPr>
      </w:pPr>
      <w:r>
        <w:rPr>
          <w:rFonts w:ascii="Arial" w:cs="Arial" w:eastAsia="Arial" w:hAnsi="Arial"/>
          <w:sz w:val="16"/>
          <w:szCs w:val="16"/>
          <w:color w:val="auto"/>
        </w:rPr>
        <w:t>The two highest doses also met the secondary endpoint of normalizing testosterone in 90% of patients at week 24 with the lowest dose normalizing testosterone in 88% of patients at week 24. All three doses of BGS-649 met the remaining secondary endpoints, including the improvement of LH and FSH levels. A statistically significant increase in LH and FSH at all doses at week 24 (p&lt;0.001 for each dose versus placebo) was observed, with an increase following initial dosing at day 8 and an observed dose response. The following graphs illustrate the increase in total LH and total FSH from baseline in patients in each of the three dosing arms of BGS-649 and receiving placebo.</w:t>
      </w:r>
    </w:p>
    <w:p>
      <w:pPr>
        <w:spacing w:after="0" w:line="367"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Change from Baseline in Mean Total Luteinising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167005</wp:posOffset>
            </wp:positionV>
            <wp:extent cx="4941570" cy="20802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41570" cy="208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940"/>
          </w:cols>
          <w:pgMar w:left="240" w:top="445" w:right="71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Change from Baseline in Mean Total Follicle Stimulating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167005</wp:posOffset>
            </wp:positionV>
            <wp:extent cx="4941570" cy="2088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41570" cy="2088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trial also showed an improvement in total motile sperm count across all three doses versus placebo with mean changes at week 20 of</w:t>
      </w:r>
    </w:p>
    <w:p>
      <w:pPr>
        <w:spacing w:after="0" w:line="36" w:lineRule="exact"/>
        <w:rPr>
          <w:sz w:val="20"/>
          <w:szCs w:val="20"/>
          <w:color w:val="auto"/>
        </w:rPr>
      </w:pPr>
    </w:p>
    <w:p>
      <w:pPr>
        <w:ind w:left="440" w:right="140"/>
        <w:spacing w:after="0" w:line="312" w:lineRule="auto"/>
        <w:rPr>
          <w:sz w:val="20"/>
          <w:szCs w:val="20"/>
          <w:color w:val="auto"/>
        </w:rPr>
      </w:pPr>
      <w:r>
        <w:rPr>
          <w:rFonts w:ascii="Arial" w:cs="Arial" w:eastAsia="Arial" w:hAnsi="Arial"/>
          <w:sz w:val="15"/>
          <w:szCs w:val="15"/>
          <w:color w:val="auto"/>
        </w:rPr>
        <w:t>70 million, 14 million and 58 million for the high, intermediate and low doses of BGS-649, respectively, compared with a decrease of 23 million for placebo. Although the trial was not designed to detect statistical significance for this exploratory endpoint, a statistically significant improvement was shown at the highest dose of BGS-649 (p=0.03). No subjects on BGS-649 had testosterone levels greater than 1500 ng/dl at any time during the study.</w:t>
      </w:r>
    </w:p>
    <w:p>
      <w:pPr>
        <w:spacing w:after="0" w:line="143" w:lineRule="exact"/>
        <w:rPr>
          <w:sz w:val="20"/>
          <w:szCs w:val="20"/>
          <w:color w:val="auto"/>
        </w:rPr>
      </w:pPr>
    </w:p>
    <w:p>
      <w:pPr>
        <w:ind w:left="440" w:right="380" w:firstLine="423"/>
        <w:spacing w:after="0" w:line="284" w:lineRule="auto"/>
        <w:rPr>
          <w:sz w:val="20"/>
          <w:szCs w:val="20"/>
          <w:color w:val="auto"/>
        </w:rPr>
      </w:pPr>
      <w:r>
        <w:rPr>
          <w:rFonts w:ascii="Arial" w:cs="Arial" w:eastAsia="Arial" w:hAnsi="Arial"/>
          <w:sz w:val="17"/>
          <w:szCs w:val="17"/>
          <w:color w:val="auto"/>
        </w:rPr>
        <w:t>In addition, a positive trend of treatment effect was observed at eight to 12 weeks for reduction of fatigue as measured by the PROMIS Brief Fatigue Inventory. The trial was not designed to detect statistical significance for this endpoint.</w:t>
      </w:r>
    </w:p>
    <w:p>
      <w:pPr>
        <w:spacing w:after="0" w:line="159" w:lineRule="exact"/>
        <w:rPr>
          <w:sz w:val="20"/>
          <w:szCs w:val="20"/>
          <w:color w:val="auto"/>
        </w:rPr>
      </w:pPr>
    </w:p>
    <w:p>
      <w:pPr>
        <w:ind w:left="440" w:right="260" w:firstLine="423"/>
        <w:spacing w:after="0" w:line="284" w:lineRule="auto"/>
        <w:rPr>
          <w:sz w:val="20"/>
          <w:szCs w:val="20"/>
          <w:color w:val="auto"/>
        </w:rPr>
      </w:pPr>
      <w:r>
        <w:rPr>
          <w:rFonts w:ascii="Arial" w:cs="Arial" w:eastAsia="Arial" w:hAnsi="Arial"/>
          <w:sz w:val="17"/>
          <w:szCs w:val="17"/>
          <w:color w:val="auto"/>
        </w:rPr>
        <w:t>BGS-649 was observed to be well tolerated during the trial. An increased incidence of elevated haematocrit levels was observed in each of the treatment arms of the trial, which is consistent with increasing testosterone levels.</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Safety Extension Study to the Phase 2b Clinical Trial in Hypogonadotropic Hypogonadism</w:t>
      </w:r>
    </w:p>
    <w:p>
      <w:pPr>
        <w:spacing w:after="0" w:line="115" w:lineRule="exact"/>
        <w:rPr>
          <w:sz w:val="20"/>
          <w:szCs w:val="20"/>
          <w:color w:val="auto"/>
        </w:rPr>
      </w:pPr>
    </w:p>
    <w:p>
      <w:pPr>
        <w:ind w:left="440" w:right="400" w:firstLine="423"/>
        <w:spacing w:after="0" w:line="284" w:lineRule="auto"/>
        <w:rPr>
          <w:sz w:val="20"/>
          <w:szCs w:val="20"/>
          <w:color w:val="auto"/>
        </w:rPr>
      </w:pPr>
      <w:r>
        <w:rPr>
          <w:rFonts w:ascii="Arial" w:cs="Arial" w:eastAsia="Arial" w:hAnsi="Arial"/>
          <w:sz w:val="17"/>
          <w:szCs w:val="17"/>
          <w:color w:val="auto"/>
        </w:rPr>
        <w:t>A subset of 143 patients entered into a six-month extension study to the Phase 2b Clinical Trial for BGS-649, to gain long-term data on both efficacy and safety. 88 patients completed the additional six months of treatment.</w:t>
      </w:r>
    </w:p>
    <w:p>
      <w:pPr>
        <w:spacing w:after="0" w:line="159" w:lineRule="exact"/>
        <w:rPr>
          <w:sz w:val="20"/>
          <w:szCs w:val="20"/>
          <w:color w:val="auto"/>
        </w:rPr>
      </w:pPr>
    </w:p>
    <w:p>
      <w:pPr>
        <w:ind w:left="440" w:firstLine="423"/>
        <w:spacing w:after="0" w:line="278" w:lineRule="auto"/>
        <w:rPr>
          <w:sz w:val="20"/>
          <w:szCs w:val="20"/>
          <w:color w:val="auto"/>
        </w:rPr>
      </w:pPr>
      <w:r>
        <w:rPr>
          <w:rFonts w:ascii="Arial" w:cs="Arial" w:eastAsia="Arial" w:hAnsi="Arial"/>
          <w:sz w:val="16"/>
          <w:szCs w:val="16"/>
          <w:color w:val="auto"/>
        </w:rPr>
        <w:t>The safety extension study was designed to examine if BGS-649 resulted in a pre-specified reduction in bone mineral density (BMD) at 48 weeks following the initial 24 weeks treatment. The primary end point of this safety extension study was decrease in bone mineral density. In December 2018, Mereo reported positive results from the safety extension study for BGS-649. The study was successful in demonstrating that none of the doses of BGS-649 met the lower bound (95% confidence interval) of the pre-specified safety criterion of a greater than 3% reduction in lumbar spine bone mineral density after 48 weeks of treatment. Consistent with this finding, none of the doses of BGS-649 met the secondary safety endpoint criterion of a greater than 3% reduction in bone mineral density in the hip (total or femoral neck). In addition, there was no shift into clinical categories of osteopenia or osteoporosis, with no evidence of development of new osteopenia.</w:t>
      </w:r>
    </w:p>
    <w:p>
      <w:pPr>
        <w:spacing w:after="0" w:line="166" w:lineRule="exact"/>
        <w:rPr>
          <w:sz w:val="20"/>
          <w:szCs w:val="20"/>
          <w:color w:val="auto"/>
        </w:rPr>
      </w:pPr>
    </w:p>
    <w:p>
      <w:pPr>
        <w:ind w:left="440" w:right="40" w:firstLine="423"/>
        <w:spacing w:after="0" w:line="276" w:lineRule="auto"/>
        <w:rPr>
          <w:sz w:val="20"/>
          <w:szCs w:val="20"/>
          <w:color w:val="auto"/>
        </w:rPr>
      </w:pPr>
      <w:r>
        <w:rPr>
          <w:rFonts w:ascii="Arial" w:cs="Arial" w:eastAsia="Arial" w:hAnsi="Arial"/>
          <w:sz w:val="16"/>
          <w:szCs w:val="16"/>
          <w:color w:val="auto"/>
        </w:rPr>
        <w:t>Consistent with the top-line data announced by Mereo in March 2018, treatment with BGS-649 resulted in normalization of total testosterone levels in over 75% of subjects at all three doses tested at the end of the six months extension study period (this measure was the primary endpoint in the placebo-controlled portion of the trial). Similarly, normalization of testosterone in at least 90% of patients (a key secondary endpoint of the placebo-controlled portion of the trial) occurred at all three doses (versus at the two highest doses in the initial 6 months). All three doses also continued to meet all other secondary endpoints, including the improvement of testosterone LH and FSH levels. The extension study continued to demonstrate a clear dose-response in both the primary and secondary endpoints. The total motile sperm count was not determined in this extension study and Mereo is continuing to analyze the data from the exploratory PROs to assist in developing Mereo’s clinical strategy for BGS-649. Mereo intends to explore strategic relationships with third parties for the further development and commercialization of BGS-649.</w:t>
      </w:r>
    </w:p>
    <w:p>
      <w:pPr>
        <w:spacing w:after="0" w:line="10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940"/>
          </w:cols>
          <w:pgMar w:left="240" w:top="445" w:right="71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Therapeutic Candidates Acquired in the Merger with OncoMed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OMP-305B83 (navicixizumab) for Treatment of Ovarian Cancer and Taxol</w:t>
      </w:r>
    </w:p>
    <w:p>
      <w:pPr>
        <w:spacing w:after="0" w:line="115" w:lineRule="exact"/>
        <w:rPr>
          <w:sz w:val="20"/>
          <w:szCs w:val="20"/>
          <w:color w:val="auto"/>
        </w:rPr>
      </w:pPr>
    </w:p>
    <w:p>
      <w:pPr>
        <w:ind w:left="440" w:firstLine="423"/>
        <w:spacing w:after="0" w:line="276" w:lineRule="auto"/>
        <w:rPr>
          <w:sz w:val="20"/>
          <w:szCs w:val="20"/>
          <w:color w:val="auto"/>
        </w:rPr>
      </w:pPr>
      <w:r>
        <w:rPr>
          <w:rFonts w:ascii="Arial" w:cs="Arial" w:eastAsia="Arial" w:hAnsi="Arial"/>
          <w:sz w:val="16"/>
          <w:szCs w:val="16"/>
          <w:color w:val="auto"/>
        </w:rPr>
        <w:t>Mereo acquired navicixizumab in the Merger with OncoMed. OncoMed utilized its proprietary bispecific antibody technology to generate a monoclonal antibody, navicixizumab, that targets both DLL4 and VEGF. VEGF is the target for bevacizumab (Avastin</w:t>
      </w:r>
      <w:r>
        <w:rPr>
          <w:rFonts w:ascii="Arial" w:cs="Arial" w:eastAsia="Arial" w:hAnsi="Arial"/>
          <w:sz w:val="13"/>
          <w:szCs w:val="13"/>
          <w:color w:val="auto"/>
        </w:rPr>
        <w:t>®</w:t>
      </w:r>
      <w:r>
        <w:rPr>
          <w:rFonts w:ascii="Arial" w:cs="Arial" w:eastAsia="Arial" w:hAnsi="Arial"/>
          <w:sz w:val="16"/>
          <w:szCs w:val="16"/>
          <w:color w:val="auto"/>
        </w:rPr>
        <w:t>), which is currently approved and used to treat a number of solid tumors including colorectal, NSCLC, breast, renal cell, brain, cervical, and ovarian cancers and had worldwide revenues of $7.4 billion in 2015. DLL4 is a ligand which is responsible in part for tumor growth and angiogenesis. Navicixizumab is designed to inhibit the function of both DLL4 and VEGF and thereby has the potential to induce anti-tumor activity while mitigating certain toxicities. Preclinical data of dual DLL4 and VEGF inhibition in xenograft tumor models have demonstrated superior anti-tumor activity compared to either anti-DLL4 or anti-VEGF alone and anti-tumor activity was observed in multiple tumor types including colon, ovarian, breast and pancreatic. OncoMed also observed that navicixizumab induced a down-regulation of vasculature-related genes and decreased vasculature density. An improved cardiac safety profile was also observed in cynomolgus monkeys compared to anti-DLL4 alone.</w:t>
      </w:r>
    </w:p>
    <w:p>
      <w:pPr>
        <w:spacing w:after="0" w:line="168" w:lineRule="exact"/>
        <w:rPr>
          <w:sz w:val="20"/>
          <w:szCs w:val="20"/>
          <w:color w:val="auto"/>
        </w:rPr>
      </w:pPr>
    </w:p>
    <w:p>
      <w:pPr>
        <w:ind w:left="440" w:right="60" w:firstLine="423"/>
        <w:spacing w:after="0" w:line="276" w:lineRule="auto"/>
        <w:rPr>
          <w:sz w:val="20"/>
          <w:szCs w:val="20"/>
          <w:color w:val="auto"/>
        </w:rPr>
      </w:pPr>
      <w:r>
        <w:rPr>
          <w:rFonts w:ascii="Arial" w:cs="Arial" w:eastAsia="Arial" w:hAnsi="Arial"/>
          <w:sz w:val="16"/>
          <w:szCs w:val="16"/>
          <w:color w:val="auto"/>
        </w:rPr>
        <w:t>In 2018, together with its clinical collaborators, OncoMed published the results of the Phase 1a clinical trial of single-agent navicixizumab (Jimeno, A., Moore, K.N., Gordon, M. et al. Invest New Drugs (2018)). The most commonly enrolled tumor types in the trial were ovarian (12), colorectal (11) and cancers of the breast, pancreas, uterus and endometrium (four patients of each). Four patients (three ovarian cancer patients and one uterine carcinosarcoma patient) had a partial response, and 17 patients had stable disease. There were 19 patients that had a reduction in the size of their target lesions, including seven patients with ovarian cancer. Six of these seven ovarian cancer patients had received prior bevacizumab. Four patients remained on study for &gt;300 days and two of these patients were on study for &gt;500 days. The most common drug related adverse events of any grade were hypertension (58%), headache (29%), fatigue (26%), and pulmonary hypertension (18%). Infusion reactions associated with anti-drug antibodies impacting drug exposure occurred in 11% of patients.</w:t>
      </w:r>
    </w:p>
    <w:p>
      <w:pPr>
        <w:spacing w:after="0" w:line="172" w:lineRule="exact"/>
        <w:rPr>
          <w:sz w:val="20"/>
          <w:szCs w:val="20"/>
          <w:color w:val="auto"/>
        </w:rPr>
      </w:pPr>
    </w:p>
    <w:p>
      <w:pPr>
        <w:ind w:left="440" w:right="40" w:firstLine="423"/>
        <w:spacing w:after="0" w:line="260" w:lineRule="auto"/>
        <w:rPr>
          <w:sz w:val="20"/>
          <w:szCs w:val="20"/>
          <w:color w:val="auto"/>
        </w:rPr>
      </w:pPr>
      <w:r>
        <w:rPr>
          <w:rFonts w:ascii="Arial" w:cs="Arial" w:eastAsia="Arial" w:hAnsi="Arial"/>
          <w:sz w:val="17"/>
          <w:szCs w:val="17"/>
          <w:color w:val="auto"/>
        </w:rPr>
        <w:t>A Phase 1b trial of navcixizumab plus FOLFIRI or FOLFOX in patients with second-line metastatic colorectal cancer has been completed. OncoMed is currently conducting a Phase 1b clinical trial to assess the safety, preliminary efficacy, immunogenicity and pharmacokinetics of navicixizumab in combination with standard-of-care chemotherapy paclitaxel in ovarian cancer. The patients enrolled in the Phase 1b multicenter, open-label, dose-escalation and expansion trial in ovarian cancer are patients with platinum-resistant ovarian cancer (including fallopian tube or primary peritoneal cancers) who have previously received bevacizumab and/or have failed greater than two prior therapies. Enrollment in the Phase 1b clinical trial in ovarian cancer has been completed.</w:t>
      </w:r>
    </w:p>
    <w:p>
      <w:pPr>
        <w:spacing w:after="0" w:line="180" w:lineRule="exact"/>
        <w:rPr>
          <w:sz w:val="20"/>
          <w:szCs w:val="20"/>
          <w:color w:val="auto"/>
        </w:rPr>
      </w:pPr>
    </w:p>
    <w:p>
      <w:pPr>
        <w:ind w:left="440" w:right="100" w:firstLine="423"/>
        <w:spacing w:after="0" w:line="276" w:lineRule="auto"/>
        <w:rPr>
          <w:sz w:val="20"/>
          <w:szCs w:val="20"/>
          <w:color w:val="auto"/>
        </w:rPr>
      </w:pPr>
      <w:r>
        <w:rPr>
          <w:rFonts w:ascii="Arial" w:cs="Arial" w:eastAsia="Arial" w:hAnsi="Arial"/>
          <w:sz w:val="16"/>
          <w:szCs w:val="16"/>
          <w:color w:val="auto"/>
        </w:rPr>
        <w:t>Interim results through August 13, 2018 from the ongoing Phase 1b trial investigating navicixizumab in combination with paclitaxel in patients with platinum-resistant ovarian cancer in October 2018 were presented at the European Society for Medical Oncology meeting (“ESMO 2018”). The patients had received a median of four prior therapies, all of whom had received prior paclitaxel and 69% had received prior bevacizumab. Twenty-two of the 26 patients (85%) treated with the novel regimen experienced clinical benefit. Notably, 11 of the 26 patients (42%) achieved a partial response. The Response Evaluation Criteria in Solid Tumors (“RECIST”) response rate in the bevacizumab naïve and bevacizumab pretreated patients was 57% and 33%, respectively. The overall median progression-free survival was 5.4 months (95% CI: 3.5-8.0 months). The median progression-free survival for the subset of bevacizumab pretreated patients was 3.7 months. Historical response rates for patients with heavily pretreated platinum-resistant ovarian cancer treated with chemotherapy are typically 15% or less.</w:t>
      </w:r>
    </w:p>
    <w:p>
      <w:pPr>
        <w:spacing w:after="0" w:line="172" w:lineRule="exact"/>
        <w:rPr>
          <w:sz w:val="20"/>
          <w:szCs w:val="20"/>
          <w:color w:val="auto"/>
        </w:rPr>
      </w:pPr>
    </w:p>
    <w:p>
      <w:pPr>
        <w:ind w:left="440" w:right="60" w:firstLine="423"/>
        <w:spacing w:after="0" w:line="264" w:lineRule="auto"/>
        <w:rPr>
          <w:sz w:val="20"/>
          <w:szCs w:val="20"/>
          <w:color w:val="auto"/>
        </w:rPr>
      </w:pPr>
      <w:r>
        <w:rPr>
          <w:rFonts w:ascii="Arial" w:cs="Arial" w:eastAsia="Arial" w:hAnsi="Arial"/>
          <w:sz w:val="17"/>
          <w:szCs w:val="17"/>
          <w:color w:val="auto"/>
        </w:rPr>
        <w:t>Interim cancer antigen 125, or CA-125, data from the Phase 1b trial was also presented at ESMO 2018. CA-125 is a widely utilized tumor marker for ovarian cancer that is used along with radiographic assessments to determine the efficacy outcome to treatment. Of the 23 patients evaluable for a Gynecologic Cancer Intergroup (“GCIG”) CA-125 response outcome, 14 (61%) had a response. Specifically, the GCIG CA-125 response rates in the bevacizumab naïve and bevacizumab pretreated patients were 100% and 47%, respectively.</w:t>
      </w:r>
    </w:p>
    <w:p>
      <w:pPr>
        <w:spacing w:after="0" w:line="176" w:lineRule="exact"/>
        <w:rPr>
          <w:sz w:val="20"/>
          <w:szCs w:val="20"/>
          <w:color w:val="auto"/>
        </w:rPr>
      </w:pPr>
    </w:p>
    <w:p>
      <w:pPr>
        <w:ind w:left="440" w:right="60" w:firstLine="423"/>
        <w:spacing w:after="0" w:line="310" w:lineRule="auto"/>
        <w:rPr>
          <w:sz w:val="20"/>
          <w:szCs w:val="20"/>
          <w:color w:val="auto"/>
        </w:rPr>
      </w:pPr>
      <w:r>
        <w:rPr>
          <w:rFonts w:ascii="Arial" w:cs="Arial" w:eastAsia="Arial" w:hAnsi="Arial"/>
          <w:sz w:val="15"/>
          <w:szCs w:val="15"/>
          <w:color w:val="auto"/>
        </w:rPr>
        <w:t>The interim Phase 1b data presented at ESMO 2018 indicated that the most common related adverse events of any grade related to navicixizumab were hypertension (53%), fatigue (32%), diarrhea (24%) and headache (18%). Other related rare adverse events of special interest were one Grade 2 pulmonary hypertension, one Grade 1 related heart failure, one Grade 4 related gastrointestinal perforation and one Grade 4 thrombocytopenia. Three patients (12%) experienced infusion reactions that were associated with anti-drug antibodies which impacted drug exposure.</w:t>
      </w:r>
    </w:p>
    <w:p>
      <w:pPr>
        <w:spacing w:after="0" w:line="8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980"/>
          </w:cols>
          <w:pgMar w:left="240" w:top="445" w:right="67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7"/>
          <w:szCs w:val="17"/>
          <w:color w:val="auto"/>
        </w:rPr>
        <w:t>Navicixizumab was previously a part of the Collaboration Agreement. In September 2018, Celgene informed OncoMed of its decision not to exercise its option to license navicixizumab due to strategic product portfolio considerations. Celgene terminated the Collaboration Agreement with respect to navicixizumab, effective January 23, 2019. As a result, we have worldwide rights to the navicixizumab program. The navicixizumab program is subject to the CVR Agreement which sets forth certain rights and obligations of Mereo with respect to navicixizumab. See “—Material Agreements— CVR Agreement Between Mereo and Computershare—The NAVI Milestones.”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OMP-313M32 (etigilimab) for the Treatment of Solid Tumors and Anti-PD1</w:t>
      </w:r>
    </w:p>
    <w:p>
      <w:pPr>
        <w:spacing w:after="0" w:line="115" w:lineRule="exact"/>
        <w:rPr>
          <w:sz w:val="20"/>
          <w:szCs w:val="20"/>
          <w:color w:val="auto"/>
        </w:rPr>
      </w:pPr>
    </w:p>
    <w:p>
      <w:pPr>
        <w:ind w:left="440" w:right="120" w:firstLine="423"/>
        <w:spacing w:after="0" w:line="281" w:lineRule="auto"/>
        <w:rPr>
          <w:sz w:val="20"/>
          <w:szCs w:val="20"/>
          <w:color w:val="auto"/>
        </w:rPr>
      </w:pPr>
      <w:r>
        <w:rPr>
          <w:rFonts w:ascii="Arial" w:cs="Arial" w:eastAsia="Arial" w:hAnsi="Arial"/>
          <w:sz w:val="16"/>
          <w:szCs w:val="16"/>
          <w:color w:val="auto"/>
        </w:rPr>
        <w:t>Mereo acquired etigilimab in the Merger with OncoMed. TIGIT (T-cell immunoreceptor with Ig and ITIM domains) is an inhibitory receptor and via interactions with its ligands may block T-cells from attacking tumor cells. The anti-TIGIT therapeutic candidate, etigilimab, is intended to activate the immune system, through multiple mechanisms, and enable anti-tumor activity. Etigilimab recently completed the single-agent Phase 1a portion of a Phase 1a/b clinical trial, which enrolled patients with advanced or metastatic solid tumors, and is currently in the Phase 1b portion of the clinical trial, which combines etigilimab with anti-PD1 (nivolumab). Enrollment in the Phase 1a/b clinical trial has been completed.</w:t>
      </w:r>
    </w:p>
    <w:p>
      <w:pPr>
        <w:spacing w:after="0" w:line="166" w:lineRule="exact"/>
        <w:rPr>
          <w:sz w:val="20"/>
          <w:szCs w:val="20"/>
          <w:color w:val="auto"/>
        </w:rPr>
      </w:pPr>
    </w:p>
    <w:p>
      <w:pPr>
        <w:ind w:left="440" w:firstLine="423"/>
        <w:spacing w:after="0" w:line="294" w:lineRule="auto"/>
        <w:rPr>
          <w:sz w:val="20"/>
          <w:szCs w:val="20"/>
          <w:color w:val="auto"/>
        </w:rPr>
      </w:pPr>
      <w:r>
        <w:rPr>
          <w:rFonts w:ascii="Arial" w:cs="Arial" w:eastAsia="Arial" w:hAnsi="Arial"/>
          <w:sz w:val="15"/>
          <w:szCs w:val="15"/>
          <w:color w:val="auto"/>
        </w:rPr>
        <w:t>Interim results through October 3, 2018 from the Phase 1a dose escalation portion of the Phase 1a/b trial of etigilimab in November 2018 were presented at the Society for Immunotherapy of Cancer meeting. The interim results that were presented included data from 18 patients with a variety of late stage metastatic cancers including colorectal, endometrial, pancreatic, among others, who were treated with etigilimab at doses ranging from 0.3 to 20 mg/kg every other week. There were no dose-limiting toxicities through the 20 mg/kg every other week dose. In this “all comers” difficult-to-treat patient population, stable disease was observed in 7 (38.9%) patients with prolonged disease control seen in some patients with the longest durations of stable disease being 205 and 225 days. Of the remaining 11 patients in the study, ten patients had progressive disease, and one patient did not meet criteria to be evaluated for efficacy. The most frequent treatment-related adverse events were rash (27.8%), fatigue (16.7%), nausea (16.7%), pruritus (16.7%), and cough (11.1%). Immune-related adverse events, signaling immune activation included rash (27.8%), pruritus (16.7%), autoimmune hepatitis (5.6%) and stomatitis (5.6%). Grade 3 or higher treatment-related AEs included rash (16.7%), abdominal pain, embolism, hypertension, and pulmonary embolism (11.1% each). A biomarker analysis was also presented at the meeting which demonstrated a significant reduction of peripheral T regulatory cells (Tregs), most significant at doses ³ 10 mg/kg, and signals of immune activation. These interim results are consistent with preclinical studies with a surrogate anti-TIGIT antibody and suggest select immune cell depletion and activation of T cell signaling in patients treated with the drug.</w:t>
      </w:r>
    </w:p>
    <w:p>
      <w:pPr>
        <w:spacing w:after="0" w:line="158" w:lineRule="exact"/>
        <w:rPr>
          <w:sz w:val="20"/>
          <w:szCs w:val="20"/>
          <w:color w:val="auto"/>
        </w:rPr>
      </w:pPr>
    </w:p>
    <w:p>
      <w:pPr>
        <w:ind w:left="440" w:right="100" w:firstLine="423"/>
        <w:spacing w:after="0" w:line="260" w:lineRule="auto"/>
        <w:rPr>
          <w:sz w:val="20"/>
          <w:szCs w:val="20"/>
          <w:color w:val="auto"/>
        </w:rPr>
      </w:pPr>
      <w:r>
        <w:rPr>
          <w:rFonts w:ascii="Arial" w:cs="Arial" w:eastAsia="Arial" w:hAnsi="Arial"/>
          <w:sz w:val="17"/>
          <w:szCs w:val="17"/>
          <w:color w:val="auto"/>
        </w:rPr>
        <w:t>In preclinical studies with anti-TIGIT antibodies, immune activation and robust anti-tumor activity have been observed - both as a single agent and in combination with other cancer immunotherapeutics including anti-PD1. At the 2017 American Association of Cancer Research (“AACR”) meeting, preclinical data demonstrating the capacity of an anti-TIGIT antibody to induce long-term immune memory and durable anti-tumor response was presented. Also, at the 2018 AACR meeting data that showed that anti-TIGIT treatment reduced the abundance of regulatory T-cells (Tregs) within tumors in animal models, and mechanistic studies demonstrated an important contribution of effector function for anti-tumor efficacy in animal models was presented.</w:t>
      </w:r>
    </w:p>
    <w:p>
      <w:pPr>
        <w:spacing w:after="0" w:line="180" w:lineRule="exact"/>
        <w:rPr>
          <w:sz w:val="20"/>
          <w:szCs w:val="20"/>
          <w:color w:val="auto"/>
        </w:rPr>
      </w:pPr>
    </w:p>
    <w:p>
      <w:pPr>
        <w:ind w:left="440" w:right="120" w:firstLine="423"/>
        <w:spacing w:after="0" w:line="285" w:lineRule="auto"/>
        <w:rPr>
          <w:sz w:val="20"/>
          <w:szCs w:val="20"/>
          <w:color w:val="auto"/>
        </w:rPr>
      </w:pPr>
      <w:r>
        <w:rPr>
          <w:rFonts w:ascii="Arial" w:cs="Arial" w:eastAsia="Arial" w:hAnsi="Arial"/>
          <w:sz w:val="16"/>
          <w:szCs w:val="16"/>
          <w:color w:val="auto"/>
        </w:rPr>
        <w:t>Etigilimab is part of the Collaboration Agreement, and Celgene has an option to obtain an exclusive license to etigilimab. If Celgene exercises its option to obtain a license to etigilimab, Celgene would then lead and fully fund further development and commercialization, and OncoMed would be entitled to receive a $35.0 million opt-in payment, along with potential future milestones and royalties. Additional details related to OncoMed’s collaboration with Celgene are described below under “—Material Agreements—Collaboration Agreement with Celgene.”</w:t>
      </w:r>
    </w:p>
    <w:p>
      <w:pPr>
        <w:spacing w:after="0" w:line="162" w:lineRule="exact"/>
        <w:rPr>
          <w:sz w:val="20"/>
          <w:szCs w:val="20"/>
          <w:color w:val="auto"/>
        </w:rPr>
      </w:pPr>
    </w:p>
    <w:p>
      <w:pPr>
        <w:ind w:left="440" w:right="100" w:firstLine="423"/>
        <w:spacing w:after="0" w:line="264" w:lineRule="auto"/>
        <w:rPr>
          <w:sz w:val="20"/>
          <w:szCs w:val="20"/>
          <w:color w:val="auto"/>
        </w:rPr>
      </w:pPr>
      <w:r>
        <w:rPr>
          <w:rFonts w:ascii="Arial" w:cs="Arial" w:eastAsia="Arial" w:hAnsi="Arial"/>
          <w:sz w:val="17"/>
          <w:szCs w:val="17"/>
          <w:color w:val="auto"/>
        </w:rPr>
        <w:t>The etigilamab program is also subject to each of the CVR Agreement and the OncoMed CVR Agreement, which, among other things, establish the right of the respective holders of contingent value rights to contingent payments in respect of certain milestone or royalty payments relating to etigilamab. See “—Material Agreements—CVR Agreement Between Mereo and Computershare—The TIGIT Milestone” and “—Material Agreements —CVR Agreement Between OncoMed and Computershare.”</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000"/>
          </w:cols>
          <w:pgMar w:left="240" w:top="445" w:right="65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Material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Novartis Agreements</w:t>
      </w:r>
    </w:p>
    <w:p>
      <w:pPr>
        <w:spacing w:after="0" w:line="115" w:lineRule="exact"/>
        <w:rPr>
          <w:sz w:val="20"/>
          <w:szCs w:val="20"/>
          <w:color w:val="auto"/>
        </w:rPr>
      </w:pPr>
    </w:p>
    <w:p>
      <w:pPr>
        <w:ind w:left="440" w:right="80" w:firstLine="423"/>
        <w:spacing w:after="0" w:line="292" w:lineRule="auto"/>
        <w:rPr>
          <w:sz w:val="20"/>
          <w:szCs w:val="20"/>
          <w:color w:val="auto"/>
        </w:rPr>
      </w:pPr>
      <w:r>
        <w:rPr>
          <w:rFonts w:ascii="Arial" w:cs="Arial" w:eastAsia="Arial" w:hAnsi="Arial"/>
          <w:sz w:val="15"/>
          <w:szCs w:val="15"/>
          <w:color w:val="auto"/>
        </w:rPr>
        <w:t>In July 2015, Mereo’s wholly-owned subsidiaries, Mereo BioPharma 3 Limited, Mereo BioPharma 2 Limited, and Mereo BioPharma 1 Limited entered into asset purchase agreements (the “Purchase Agreements”) to acquire from Novartis rights to, respectively, BPS-804, BCT-197, and BGS-649 (the “Compounds”) and certain related assets, which, together with the Compounds, Mereo refers to as the “Novartis Assets.” In connection with the acquisition of the Novartis Assets, Mereo issued 3,849,000 ordinary shares to Novartis pursuant to a subscription agreement. See “Item 7. Major Shareholders and Related Party Transactions—B. Related Party Transactions—Subscription Agreement” for more information. In addition, Mereo paid Novartis $1.5 million for a payment made by Novartis to a third party in full satisfaction of all monetary obligations of Novartis to such third party with respect to BCT-197. Under the Purchase Agreements, Mereo has agreed to make tiered royalty payments to Novartis based on annual worldwide net sales of products that include the Compounds (the “Acquired Novartis Products”), at percentages ranging from the high single digits to low double digits. In the event that the parties agree or it is otherwise determined in accordance with the Purchase Agreements that Mereo require third-party intellectual property rights to exploit the Acquired Novartis Products, Mereo is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Mereo further agreed that in the event of a change in control that involves the transfer, license, assignment, or lease of all or substantially all of a subsidiary’s assets, including a Compound and related assets, Mereo will pay Novartis a percentage of the proceeds of such transaction, with the majority of the proceeds being retained by Mereo. No payment, however, is required with respect to any transaction of Mereo involving its equity interests, a merger or consolidation of it, or a sale of any of its assets.</w:t>
      </w:r>
    </w:p>
    <w:p>
      <w:pPr>
        <w:spacing w:after="0" w:line="167" w:lineRule="exact"/>
        <w:rPr>
          <w:sz w:val="20"/>
          <w:szCs w:val="20"/>
          <w:color w:val="auto"/>
        </w:rPr>
      </w:pPr>
    </w:p>
    <w:p>
      <w:pPr>
        <w:ind w:left="440" w:right="80" w:firstLine="423"/>
        <w:spacing w:after="0" w:line="260" w:lineRule="auto"/>
        <w:rPr>
          <w:sz w:val="20"/>
          <w:szCs w:val="20"/>
          <w:color w:val="auto"/>
        </w:rPr>
      </w:pPr>
      <w:r>
        <w:rPr>
          <w:rFonts w:ascii="Arial" w:cs="Arial" w:eastAsia="Arial" w:hAnsi="Arial"/>
          <w:sz w:val="17"/>
          <w:szCs w:val="17"/>
          <w:color w:val="auto"/>
        </w:rPr>
        <w:t>Mereo granted Novartis an irrevocable, transferable, royalty-free, worldwide and non-exclusive license to use know-how included within the Novartis Assets for Novartis’ activities unrelated to any Acquired Novartis Products. Mereo has agreed to use commercially reasonable efforts to develop at least one Acquired Novartis Product. In addition, Novartis agreed to a three-year non-competition restriction in relation to clinical trial activities for the therapeutic treatment of HH in obese men in respect of the BGS-649 Compound and sclerostin in respect of the BGS-804 Compound, subject to exceptions, including where Novartis does not have the ability to control such clinical trial activity and for any of Novartis’ existing contracts or relationships.</w:t>
      </w:r>
    </w:p>
    <w:p>
      <w:pPr>
        <w:spacing w:after="0" w:line="180" w:lineRule="exact"/>
        <w:rPr>
          <w:sz w:val="20"/>
          <w:szCs w:val="20"/>
          <w:color w:val="auto"/>
        </w:rPr>
      </w:pPr>
    </w:p>
    <w:p>
      <w:pPr>
        <w:ind w:left="440" w:right="300" w:firstLine="423"/>
        <w:spacing w:after="0" w:line="291" w:lineRule="auto"/>
        <w:rPr>
          <w:sz w:val="20"/>
          <w:szCs w:val="20"/>
          <w:color w:val="auto"/>
        </w:rPr>
      </w:pPr>
      <w:r>
        <w:rPr>
          <w:rFonts w:ascii="Arial" w:cs="Arial" w:eastAsia="Arial" w:hAnsi="Arial"/>
          <w:sz w:val="15"/>
          <w:szCs w:val="15"/>
          <w:color w:val="auto"/>
        </w:rPr>
        <w:t>Mereo also entered into a sublicense agreement with Novartis (the “Sublicense Agreement”), pursuant to which Novartis granted Mereo an exclusive, worldwide, royalty-bearing sublicense for certain therapeutic antibody products directed against sclerostin (the “Antibody Products”), including BPS-804. Under the Sublicense Agreement, Mereo has agreed to pay Novartis royalties in the low single digits on worldwide net sales of Antibody Products. Royalties will be payable on a country-by-country basis until the later of expiration of the last valid claim of the licensed patents covering the Antibody Products in a country and ten years after the first commercial sale of the Antibody Products in such country, with a maximum royalty term of 12 years after the first commercial sale of the Antibody Products in such country. Mereo has also agreed to pay Novartis up to</w:t>
      </w:r>
    </w:p>
    <w:p>
      <w:pPr>
        <w:spacing w:after="0" w:line="1" w:lineRule="exact"/>
        <w:rPr>
          <w:sz w:val="20"/>
          <w:szCs w:val="20"/>
          <w:color w:val="auto"/>
        </w:rPr>
      </w:pPr>
    </w:p>
    <w:p>
      <w:pPr>
        <w:ind w:left="440"/>
        <w:spacing w:after="0" w:line="257" w:lineRule="auto"/>
        <w:rPr>
          <w:sz w:val="20"/>
          <w:szCs w:val="20"/>
          <w:color w:val="auto"/>
        </w:rPr>
      </w:pPr>
      <w:r>
        <w:rPr>
          <w:rFonts w:ascii="Arial" w:cs="Arial" w:eastAsia="Arial" w:hAnsi="Arial"/>
          <w:sz w:val="17"/>
          <w:szCs w:val="17"/>
          <w:color w:val="auto"/>
        </w:rPr>
        <w:t>$3.25 million in development and regulatory milestones, and to use commercially reasonable efforts to develop and commercialize an Antibody Product. The Sublicense Agreement will expire on the earlier of the termination of the agreement under which Novartis is granting Mereo a sublicense (the “Original License Agreement”) and, on a product-by-product and country-by-country basis, the expiration of the royalty term with respect to such Antibody Product in such country. The Original License Agreement has a perpetual term and may be terminated for breach or upon a change in control of the licensing party. Mereo may terminate the Sublicense Agreement upon written notice to Novartis and either party may terminate the Sublicense Agreement for the other party’s uncured material breach or bankruptcy.</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AstraZeneca Agreement</w:t>
      </w:r>
    </w:p>
    <w:p>
      <w:pPr>
        <w:spacing w:after="0" w:line="115" w:lineRule="exact"/>
        <w:rPr>
          <w:sz w:val="20"/>
          <w:szCs w:val="20"/>
          <w:color w:val="auto"/>
        </w:rPr>
      </w:pPr>
    </w:p>
    <w:p>
      <w:pPr>
        <w:jc w:val="both"/>
        <w:ind w:left="440" w:right="320" w:firstLine="423"/>
        <w:spacing w:after="0" w:line="261" w:lineRule="auto"/>
        <w:rPr>
          <w:sz w:val="20"/>
          <w:szCs w:val="20"/>
          <w:color w:val="auto"/>
        </w:rPr>
      </w:pPr>
      <w:r>
        <w:rPr>
          <w:rFonts w:ascii="Arial" w:cs="Arial" w:eastAsia="Arial" w:hAnsi="Arial"/>
          <w:sz w:val="17"/>
          <w:szCs w:val="17"/>
          <w:color w:val="auto"/>
        </w:rPr>
        <w:t>In October 2017, Mereo’s wholly-owned subsidiary Mereo BioPharma 4 Limited entered into an exclusive license and option agreement (the “License Agreement”), to obtain from AstraZeneca an exclusive worldwide, sub-licensable license under AstraZeneca’s intellectual property rights relating to certain products containing a NE inhibitor, including products that contain MPH-966, with an option to acquire such intellectual property rights following commencement of a pivotal trial and payment of related milestone payments (the “Option”), together with the acquisition of certain related assets.</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000"/>
          </w:cols>
          <w:pgMar w:left="240" w:top="445" w:right="6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00" w:firstLine="423"/>
        <w:spacing w:after="0" w:line="274" w:lineRule="auto"/>
        <w:rPr>
          <w:sz w:val="20"/>
          <w:szCs w:val="20"/>
          <w:color w:val="auto"/>
        </w:rPr>
      </w:pPr>
      <w:r>
        <w:rPr>
          <w:rFonts w:ascii="Arial" w:cs="Arial" w:eastAsia="Arial" w:hAnsi="Arial"/>
          <w:sz w:val="16"/>
          <w:szCs w:val="16"/>
          <w:color w:val="auto"/>
        </w:rPr>
        <w:t>Upon entering into the License Agreement, Mereo made a payment of $3.0 million and issued 490,798 ordinary shares to AstraZeneca, for an aggregate upfront payment equal to $5.0 million. In connection with certain development and regulatory milestones, Mereo has agreed to make payments of up to $115.5 million in the aggregate and issue additional ordinary shares to AstraZeneca for licensed products containing MPH-966. In addition, Mereo has agreed to make payments to AstraZeneca based on specified commercial milestones of the product. In the event that Mereo sub-licenses MPH-966, Mereo has also agreed to pay a specified percentage of sublicensing revenue to AstraZeneca. Otherwise, Mereo has agreed to make royalty payments to AstraZeneca equal to ascending specified percentages of tiered annual worldwide net sales by Mereo or its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Mereo may freely grant sub-licenses to affiliates upon notice to AstraZeneca and Mereo must obtain AstraZeneca’s consent, not be unreasonably withheld, to grant sub-licenses to a third party. Mereo has agreed to use commercially reasonable efforts to develop and commercialize at least one licensed product.</w:t>
      </w:r>
    </w:p>
    <w:p>
      <w:pPr>
        <w:spacing w:after="0" w:line="173"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The License Agreement will expire on the expiry of the last-to-expire royalty term with respect to all licensed products. Upon the expiration of the royalty term for a licensed product in a particular country, the licenses to Mereo for such product in such country will become fully-paid and irrevocable. Prior to exercise of the Option, if at all, Mereo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Mereo.</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Collaboration Agreement with Celgene</w:t>
      </w:r>
    </w:p>
    <w:p>
      <w:pPr>
        <w:spacing w:after="0" w:line="115" w:lineRule="exact"/>
        <w:rPr>
          <w:sz w:val="20"/>
          <w:szCs w:val="20"/>
          <w:color w:val="auto"/>
        </w:rPr>
      </w:pPr>
    </w:p>
    <w:p>
      <w:pPr>
        <w:ind w:left="440" w:right="140" w:firstLine="423"/>
        <w:spacing w:after="0" w:line="321" w:lineRule="auto"/>
        <w:rPr>
          <w:sz w:val="20"/>
          <w:szCs w:val="20"/>
          <w:color w:val="auto"/>
        </w:rPr>
      </w:pPr>
      <w:r>
        <w:rPr>
          <w:rFonts w:ascii="Arial" w:cs="Arial" w:eastAsia="Arial" w:hAnsi="Arial"/>
          <w:sz w:val="15"/>
          <w:szCs w:val="15"/>
          <w:color w:val="auto"/>
        </w:rPr>
        <w:t>In December 2013, OncoMed entered into the Collaboration Agreement with Celgene pursuant to which OncoMed and Celgene were to collaborate on research and development programs directed to the discovery and development of novel biologic therapeutics, and, if Celgene exercised its option to do so, the discovery, development and commercialization of novel small molecule therapeutics. We acquired OncoMed in the Merger.</w:t>
      </w:r>
    </w:p>
    <w:p>
      <w:pPr>
        <w:spacing w:after="0" w:line="137" w:lineRule="exact"/>
        <w:rPr>
          <w:sz w:val="20"/>
          <w:szCs w:val="20"/>
          <w:color w:val="auto"/>
        </w:rPr>
      </w:pPr>
    </w:p>
    <w:p>
      <w:pPr>
        <w:ind w:left="440" w:right="160" w:firstLine="423"/>
        <w:spacing w:after="0" w:line="297" w:lineRule="auto"/>
        <w:rPr>
          <w:sz w:val="20"/>
          <w:szCs w:val="20"/>
          <w:color w:val="auto"/>
        </w:rPr>
      </w:pPr>
      <w:r>
        <w:rPr>
          <w:rFonts w:ascii="Arial" w:cs="Arial" w:eastAsia="Arial" w:hAnsi="Arial"/>
          <w:sz w:val="15"/>
          <w:szCs w:val="15"/>
          <w:color w:val="auto"/>
        </w:rPr>
        <w:t>OncoMed’s etigilimab program is the last remaining biologic therapeutic program that is currently active under the Collaboration Agreement. Celgene has an option to obtain an exclusive license to develop further and commercialize biologic therapeutics in the etigilimab program, which may be exercised during time periods specified in the Collaboration Agreement through the earlier of completion of a certain clinical trial or the twelfth anniversary of the date of the Collaboration Agreement. Pursuant to the Collaboration Agreement, OncoMed leads the development of etigilimab prior to Celgene’s exercise of its option for the etigilimab program. OncoMed is responsible for funding all research and development activities for therapeutics in the etigilimab program prior to Celgene’s exercise of the option for the program. Upon option exercise by Celgene, OncoMed will be required to enter into an agreed form of a license agreement with Celgene, pursuant to which Celgene retains all rights to develop further and commercialize biologic therapeutic products in the etigilimab program on a worldwide basis, with certain support for development from OncoMed.</w:t>
      </w:r>
    </w:p>
    <w:p>
      <w:pPr>
        <w:spacing w:after="0" w:line="157" w:lineRule="exact"/>
        <w:rPr>
          <w:sz w:val="20"/>
          <w:szCs w:val="20"/>
          <w:color w:val="auto"/>
        </w:rPr>
      </w:pPr>
    </w:p>
    <w:p>
      <w:pPr>
        <w:ind w:left="440" w:right="20" w:firstLine="423"/>
        <w:spacing w:after="0" w:line="276" w:lineRule="auto"/>
        <w:rPr>
          <w:sz w:val="20"/>
          <w:szCs w:val="20"/>
          <w:color w:val="auto"/>
        </w:rPr>
      </w:pPr>
      <w:r>
        <w:rPr>
          <w:rFonts w:ascii="Arial" w:cs="Arial" w:eastAsia="Arial" w:hAnsi="Arial"/>
          <w:sz w:val="16"/>
          <w:szCs w:val="16"/>
          <w:color w:val="auto"/>
        </w:rPr>
        <w:t>OncoMed is eligible to receive a $35.0 million opt-in payment upon Celgene’s exercise of the option for the etigilimab program. The Collaboration Agreement also includes milestone payments for achievement of specified development, regulatory and commercial milestones, paid on a per-product and per-program basis. The option exercise payments and payments for achievement of development, regulatory and commercial milestones under the Collaboration Agreement may total up to $440.0 million, for products in the etigilimab program, including the $35.0 million opt-in payment. OncoMed previously received a $2.5 million milestone payment for the etigilimab program. Accordingly, the future potential milestone payments for products in the etigilimab program under the collaboration total up to $437.5 million, including the $35.0 million opt-in payment. For the etigilimab program, if the option is exercised and the program is successfully commercialized by Celgene, OncoMed is eligible to receive tiered royalties equal to a percentage of net product sales worldwide in the high-single digits to the mid-teens. OncoMed is not eligible to receive any further research or development milestone payments for etigilimab prior to Celgene’s decision regarding option exercise with respect to etigilimab.</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000"/>
          </w:cols>
          <w:pgMar w:left="240" w:top="445" w:right="65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60" w:firstLine="423"/>
        <w:spacing w:after="0" w:line="299" w:lineRule="auto"/>
        <w:rPr>
          <w:sz w:val="20"/>
          <w:szCs w:val="20"/>
          <w:color w:val="auto"/>
        </w:rPr>
      </w:pPr>
      <w:r>
        <w:rPr>
          <w:rFonts w:ascii="Arial" w:cs="Arial" w:eastAsia="Arial" w:hAnsi="Arial"/>
          <w:sz w:val="15"/>
          <w:szCs w:val="15"/>
          <w:color w:val="auto"/>
        </w:rPr>
        <w:t>The Collaboration Agreement will terminate upon the expiration of all of Celgene’s payment obligations under the license agreement entered into with respect to the etigilimab program following Celgene’s exercise of an option for such program, or if Celgene’s option on the etigilimab program expires without Celgene exercising its option. The collaboration agreement may be terminated by either party for the insolvency of, or an uncured material breach of the collaboration agreement by, the other party. In addition, Celgene may terminate the Collaboration Agreement in its entirety or with respect to the etigilimab program, for any reason, upon 120 days’ prior written notice to OncoMed and upon 60 days’ prior written notice in the event that Celgene reasonably believes that such termination is necessary in order to comply with any antitrust laws. OncoMed may also terminate the Collaboration Agreement with respect to the etigilimab program in the event that Celgene challenges the licensed patents with respect to such program.</w:t>
      </w:r>
    </w:p>
    <w:p>
      <w:pPr>
        <w:spacing w:after="0" w:line="153" w:lineRule="exact"/>
        <w:rPr>
          <w:sz w:val="20"/>
          <w:szCs w:val="20"/>
          <w:color w:val="auto"/>
        </w:rPr>
      </w:pPr>
    </w:p>
    <w:p>
      <w:pPr>
        <w:ind w:left="440" w:right="40" w:firstLine="423"/>
        <w:spacing w:after="0" w:line="354" w:lineRule="auto"/>
        <w:rPr>
          <w:sz w:val="20"/>
          <w:szCs w:val="20"/>
          <w:color w:val="auto"/>
        </w:rPr>
      </w:pPr>
      <w:r>
        <w:rPr>
          <w:rFonts w:ascii="Arial" w:cs="Arial" w:eastAsia="Arial" w:hAnsi="Arial"/>
          <w:sz w:val="15"/>
          <w:szCs w:val="15"/>
          <w:color w:val="auto"/>
        </w:rPr>
        <w:t>If Celgene does not exercise its option with respect to the etigilimab program before the option for that program expires, we will retain worldwide rights to such program. In addition, under certain termination circumstances, we would also have worldwide rights to the etigilimab program.</w:t>
      </w:r>
    </w:p>
    <w:p>
      <w:pPr>
        <w:spacing w:after="0" w:line="113"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7"/>
          <w:szCs w:val="17"/>
          <w:color w:val="auto"/>
        </w:rPr>
        <w:t>The Collaboration Agreement previously included OncoMed’s navicixizumab therapeutic program. Celgene, however, terminated the collaboration agreement with respect to navicixizumab, effective January 23, 2019. As a result of this termination, we now have worldwide rights to this program. Under certain circumstances, OncoMed may owe Celgene single-digit percentage royalties on therapeutic products in the navicixizumab program if OncoMed elects to continue to commercialize it and it is successfully commercialized, subject to a cap.</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CVR Agreement Between Mereo and Computershare</w:t>
      </w:r>
    </w:p>
    <w:p>
      <w:pPr>
        <w:spacing w:after="0" w:line="115" w:lineRule="exact"/>
        <w:rPr>
          <w:sz w:val="20"/>
          <w:szCs w:val="20"/>
          <w:color w:val="auto"/>
        </w:rPr>
      </w:pPr>
    </w:p>
    <w:p>
      <w:pPr>
        <w:ind w:left="440" w:right="60" w:firstLine="423"/>
        <w:spacing w:after="0" w:line="281" w:lineRule="auto"/>
        <w:rPr>
          <w:sz w:val="20"/>
          <w:szCs w:val="20"/>
          <w:color w:val="auto"/>
        </w:rPr>
      </w:pPr>
      <w:r>
        <w:rPr>
          <w:rFonts w:ascii="Arial" w:cs="Arial" w:eastAsia="Arial" w:hAnsi="Arial"/>
          <w:sz w:val="16"/>
          <w:szCs w:val="16"/>
          <w:color w:val="auto"/>
        </w:rPr>
        <w:t>Following the completion of the Merger, OncoMed’s stockholders received, in exchange for each outstanding share of OncoMed common stock owned immediately prior to completion of the Merger (except for any dissenting shares): (1) a number of our ADSs determined by reference to an exchange ratio, and (2) one contingent value right (a “CVR”), representing the right to receive contingent payments if specified milestones are achieved within agreed time periods, subject to and in accordance with the terms and conditions of the Contingent Value Rights Agreement (the “CVR Agreement”), dated April 23, 2019 by and among Computershare, as rights agent, and Mereo.</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Except in limited circumstances, the CVRs may not be transferred, pledged, hypothecated, encumbered, assigned or otherwise disposed of.</w:t>
      </w:r>
    </w:p>
    <w:p>
      <w:pPr>
        <w:spacing w:after="0" w:line="334"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Milestone Events and Payments</w:t>
      </w:r>
    </w:p>
    <w:p>
      <w:pPr>
        <w:spacing w:after="0" w:line="115" w:lineRule="exact"/>
        <w:rPr>
          <w:sz w:val="20"/>
          <w:szCs w:val="20"/>
          <w:color w:val="auto"/>
        </w:rPr>
      </w:pPr>
    </w:p>
    <w:p>
      <w:pPr>
        <w:ind w:left="440" w:firstLine="423"/>
        <w:spacing w:after="0" w:line="354" w:lineRule="auto"/>
        <w:rPr>
          <w:sz w:val="20"/>
          <w:szCs w:val="20"/>
          <w:color w:val="auto"/>
        </w:rPr>
      </w:pPr>
      <w:r>
        <w:rPr>
          <w:rFonts w:ascii="Arial" w:cs="Arial" w:eastAsia="Arial" w:hAnsi="Arial"/>
          <w:sz w:val="15"/>
          <w:szCs w:val="15"/>
          <w:color w:val="auto"/>
        </w:rPr>
        <w:t>The CVR milestones relate to OncoMed’s OMP-313M32 (etigilimab) and OMP-305B83 (navicixizumab) therapeutic candidates. The contingent payments become payable to the rights agent, for subsequent distribution to the holders of the CVRs, upon the achievement of the milestones as follows:</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17"/>
          <w:szCs w:val="17"/>
          <w:u w:val="single" w:color="auto"/>
          <w:color w:val="auto"/>
        </w:rPr>
        <w:t>The TIGIT Milestone</w:t>
      </w:r>
    </w:p>
    <w:p>
      <w:pPr>
        <w:spacing w:after="0" w:line="115" w:lineRule="exact"/>
        <w:rPr>
          <w:sz w:val="20"/>
          <w:szCs w:val="20"/>
          <w:color w:val="auto"/>
        </w:rPr>
      </w:pPr>
    </w:p>
    <w:p>
      <w:pPr>
        <w:ind w:left="440" w:right="300" w:firstLine="423"/>
        <w:spacing w:after="0" w:line="284" w:lineRule="auto"/>
        <w:rPr>
          <w:sz w:val="20"/>
          <w:szCs w:val="20"/>
          <w:color w:val="auto"/>
        </w:rPr>
      </w:pPr>
      <w:r>
        <w:rPr>
          <w:rFonts w:ascii="Arial" w:cs="Arial" w:eastAsia="Arial" w:hAnsi="Arial"/>
          <w:sz w:val="17"/>
          <w:szCs w:val="17"/>
          <w:color w:val="auto"/>
        </w:rPr>
        <w:t>A payment, in the form of our ADSs, will be made to CVR holders if, following April 23, 2019 but prior to December 31, 2019, the following milestone is achieved:</w:t>
      </w:r>
    </w:p>
    <w:p>
      <w:pPr>
        <w:spacing w:after="0" w:line="68" w:lineRule="exact"/>
        <w:rPr>
          <w:sz w:val="20"/>
          <w:szCs w:val="20"/>
          <w:color w:val="auto"/>
        </w:rPr>
      </w:pPr>
    </w:p>
    <w:p>
      <w:pPr>
        <w:ind w:left="1260" w:right="600" w:hanging="415"/>
        <w:spacing w:after="0" w:line="284" w:lineRule="auto"/>
        <w:tabs>
          <w:tab w:leader="none" w:pos="1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Celgene exercises the exclusive option granted by OncoMed to Celgene in relation to OncoMed’s etigilimab product pursuant to the Collaboration Agreement; and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OncoMed actually receives the cash payment payable by Celgene pursuant to such Celgene Option Exercise.</w:t>
      </w:r>
    </w:p>
    <w:p>
      <w:pPr>
        <w:spacing w:after="0" w:line="219" w:lineRule="exact"/>
        <w:rPr>
          <w:sz w:val="20"/>
          <w:szCs w:val="20"/>
          <w:color w:val="auto"/>
        </w:rPr>
      </w:pPr>
    </w:p>
    <w:p>
      <w:pPr>
        <w:ind w:left="440" w:right="20" w:firstLine="423"/>
        <w:spacing w:after="0" w:line="258" w:lineRule="auto"/>
        <w:rPr>
          <w:sz w:val="20"/>
          <w:szCs w:val="20"/>
          <w:color w:val="auto"/>
        </w:rPr>
      </w:pPr>
      <w:r>
        <w:rPr>
          <w:rFonts w:ascii="Arial" w:cs="Arial" w:eastAsia="Arial" w:hAnsi="Arial"/>
          <w:sz w:val="17"/>
          <w:szCs w:val="17"/>
          <w:color w:val="auto"/>
        </w:rPr>
        <w:t>If the TIGIT Milestone is achieved, holders of CVRs would be entitled to receive a number of our ADSs equal to (x) the amount of the cash payment actually received by OncoMed upon the Celgene Option Exercise, net of any tax and other reasonable expenses, divided by (y) the volume-weighted average price per ADS for the ten trading day period immediately following the date of the announcement by Mereo of the receipt of such cash payment. The TIGIT Milestone payment is subject to the Share Consideration Cap, such that the number of our ordinary shares underlying the ADSs to be issued pursuant to the CVR Agreement, when aggregated with the number of our ordinary shares underlying the ADSs issued as Share Consideration pursuant to the Merger Agreement, cannot exceed the Share Consideration Cap. No fractional ordinary shares or ADSs shall be issued in connection with the TIGIT Milestone payment, and no certificates or scrip for any such fractional shares shall be issued. Any fractional share resulting from the application of the ratio described in this paragraph shall be rounded down to the nearest whole share, with no cash being paid for any fractional share eliminated by such rounding.</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980"/>
          </w:cols>
          <w:pgMar w:left="240" w:top="445" w:right="6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firstLine="423"/>
        <w:spacing w:after="0" w:line="290" w:lineRule="auto"/>
        <w:rPr>
          <w:sz w:val="20"/>
          <w:szCs w:val="20"/>
          <w:color w:val="auto"/>
        </w:rPr>
      </w:pPr>
      <w:r>
        <w:rPr>
          <w:rFonts w:ascii="Arial" w:cs="Arial" w:eastAsia="Arial" w:hAnsi="Arial"/>
          <w:sz w:val="15"/>
          <w:szCs w:val="15"/>
          <w:color w:val="auto"/>
        </w:rPr>
        <w:t>If the TIGIT Milestone occurs at any time following April 23, 2019 but prior to December 31, 2019, then, thirty days following the achievement thereof, (i) Mereo, or a person nominated by Mereo (with written notice thereof from Mereo to the rights agent), as the case may be, will (A) deliver to the rights agent, a certificate certifying the date of satisfaction of the TIGIT Milestone and that the holders of CVRs are entitled to receive the TIGIT Milestone payment, (B) allot and issue to the depositary, or as the depositary directs, the ordinary shares underlying the ADSs comprising the TIGIT Milestone payment, (C) deliver to the depositary, for the benefit of the holders of CVRs, evidence of book-entry shares representing our ordinary shares underlying our ADSs comprising the TIGIT Milestone payment and (D) take all steps necessary to ensure that the ordinary shares underlying our ADSs comprising the TIGIT Milestone payment are admitted to trading on AIM and (ii) Mereo shall procure that the depositary shall promptly (and in any event, within 10 business days) issue and deliver to the holders of CVRs, by first-class postage prepaid mail, to the address of each holder set forth in the up-to-date CVR register (“CVR Register”) maintained by the rights agent at such time or by other method of delivery as specified by the applicable holder in writing to the rights agent, the number of whole ADSs equal to the product determined by multiplying (A) the quotient determined by dividing</w:t>
      </w:r>
    </w:p>
    <w:p>
      <w:pPr>
        <w:ind w:left="440" w:hanging="9"/>
        <w:spacing w:after="0" w:line="268" w:lineRule="auto"/>
        <w:tabs>
          <w:tab w:leader="none" w:pos="68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TIGIT Milestone payment by (y) the total number of CVRs registered in the CVR Register at such time, by (B) the number of CVRs registered to such holder in the CVR Register at such time.</w:t>
      </w:r>
    </w:p>
    <w:p>
      <w:pPr>
        <w:spacing w:after="0" w:line="276" w:lineRule="exact"/>
        <w:rPr>
          <w:sz w:val="20"/>
          <w:szCs w:val="20"/>
          <w:color w:val="auto"/>
        </w:rPr>
      </w:pPr>
    </w:p>
    <w:p>
      <w:pPr>
        <w:ind w:left="1280"/>
        <w:spacing w:after="0"/>
        <w:rPr>
          <w:sz w:val="20"/>
          <w:szCs w:val="20"/>
          <w:color w:val="auto"/>
        </w:rPr>
      </w:pPr>
      <w:r>
        <w:rPr>
          <w:rFonts w:ascii="Arial" w:cs="Arial" w:eastAsia="Arial" w:hAnsi="Arial"/>
          <w:sz w:val="17"/>
          <w:szCs w:val="17"/>
          <w:u w:val="single" w:color="auto"/>
          <w:color w:val="auto"/>
        </w:rPr>
        <w:t>The NAVI Milestones</w:t>
      </w:r>
    </w:p>
    <w:p>
      <w:pPr>
        <w:spacing w:after="0" w:line="115" w:lineRule="exact"/>
        <w:rPr>
          <w:sz w:val="20"/>
          <w:szCs w:val="20"/>
          <w:color w:val="auto"/>
        </w:rPr>
      </w:pPr>
    </w:p>
    <w:p>
      <w:pPr>
        <w:ind w:left="440" w:right="60" w:firstLine="423"/>
        <w:spacing w:after="0" w:line="261" w:lineRule="auto"/>
        <w:rPr>
          <w:sz w:val="20"/>
          <w:szCs w:val="20"/>
          <w:color w:val="auto"/>
        </w:rPr>
      </w:pPr>
      <w:r>
        <w:rPr>
          <w:rFonts w:ascii="Arial" w:cs="Arial" w:eastAsia="Arial" w:hAnsi="Arial"/>
          <w:sz w:val="17"/>
          <w:szCs w:val="17"/>
          <w:color w:val="auto"/>
        </w:rPr>
        <w:t>A cash payment will be made to CVR holders if, (1) within eighteen months following the closing of the Merger, Mereo or any of its subsidiaries enters into a definitive partnership agreement, collaboration agreement, joint venture agreement, profit sharing agreement, license or sublicense agreement, asset sale agreement, stock sale agreement, investment agreement or similar agreement duly approved by the Mereo Board with one or more third parties regarding the navicixizumab products and (2) within five years of the closing of the Merger, Mereo or any of its subsidiaries actually receives certain eligible cash milestone payments.</w:t>
      </w:r>
    </w:p>
    <w:p>
      <w:pPr>
        <w:spacing w:after="0" w:line="180" w:lineRule="exact"/>
        <w:rPr>
          <w:sz w:val="20"/>
          <w:szCs w:val="20"/>
          <w:color w:val="auto"/>
        </w:rPr>
      </w:pPr>
    </w:p>
    <w:p>
      <w:pPr>
        <w:ind w:left="440" w:right="120" w:firstLine="423"/>
        <w:spacing w:after="0" w:line="276" w:lineRule="auto"/>
        <w:rPr>
          <w:sz w:val="20"/>
          <w:szCs w:val="20"/>
          <w:color w:val="auto"/>
        </w:rPr>
      </w:pPr>
      <w:r>
        <w:rPr>
          <w:rFonts w:ascii="Arial" w:cs="Arial" w:eastAsia="Arial" w:hAnsi="Arial"/>
          <w:sz w:val="16"/>
          <w:szCs w:val="16"/>
          <w:color w:val="auto"/>
        </w:rPr>
        <w:t>NAVI Subsidiary, Inc. (“NAVI Sub”), a wholly-owned subsidiary of OncoMed and an indirect wholly-owned subsidiary of Mereo, has been established to hold all of Mereo’s right, title and interest in and to the navicixizumab products. For a period of 18 months following the closing of the Merger, Mereo will permit certain individuals associated with NAVI Sub and identified on a confidential schedule to the CVR Agreement (the “NAVI Team”) to (i) solicit third party interest with respect to a NAVI Agreement (as defined in the CVR Agreement), such that the NAVI Sub or a third party, as applicable, will advance the navicixizumab products, and (ii) recommend, by written notice to the chief executive officer of Mereo, that Mereo enter into discussions with one or more such third parties that have expressed interest with respect to a NAVI Agreement; provided that, notwithstanding anything to the contrary in the CVR Agreement, Mereo will have no obligation or liability to fund or otherwise support or incur any cost or expense relating to NAVI Sub or the navicixizumab products in excess of the commitments provided for on a confidential schedule to the CVR Agreement (except in respect of clinical trials commenced prior to the date hereof).</w:t>
      </w:r>
    </w:p>
    <w:p>
      <w:pPr>
        <w:spacing w:after="0" w:line="168" w:lineRule="exact"/>
        <w:rPr>
          <w:sz w:val="20"/>
          <w:szCs w:val="20"/>
          <w:color w:val="auto"/>
        </w:rPr>
      </w:pPr>
    </w:p>
    <w:p>
      <w:pPr>
        <w:ind w:left="440" w:right="140" w:firstLine="423"/>
        <w:spacing w:after="0" w:line="260" w:lineRule="auto"/>
        <w:rPr>
          <w:sz w:val="20"/>
          <w:szCs w:val="20"/>
          <w:color w:val="auto"/>
        </w:rPr>
      </w:pPr>
      <w:r>
        <w:rPr>
          <w:rFonts w:ascii="Arial" w:cs="Arial" w:eastAsia="Arial" w:hAnsi="Arial"/>
          <w:sz w:val="17"/>
          <w:szCs w:val="17"/>
          <w:color w:val="auto"/>
        </w:rPr>
        <w:t>The entry into a NAVI Agreement by Mereo or any of its subsidiaries (including NAVI Sub) shall be subject to, and contingent upon, a determination by the Mereo Board, having consulted with outside counsel, that the NAVI Agreement is fair to, advisable and in the best interests of Mereo and its shareholders. Without limiting the foregoing, neither Mereo nor any of its subsidiaries (including NAVI Sub) shall be compelled to enter into any investment agreement, stock sale agreement, or similar agreement with respect to NAVI Sub or the navicixizumab products if, immediately following the execution of such agreement, Mereo or one or more of its subsidiaries (other than NAVI Sub) would hold less than 19.5% of the issued and outstanding equity interests of NAVI Sub on a fully-diluted basis.</w:t>
      </w:r>
    </w:p>
    <w:p>
      <w:pPr>
        <w:spacing w:after="0" w:line="180" w:lineRule="exact"/>
        <w:rPr>
          <w:sz w:val="20"/>
          <w:szCs w:val="20"/>
          <w:color w:val="auto"/>
        </w:rPr>
      </w:pPr>
    </w:p>
    <w:p>
      <w:pPr>
        <w:ind w:left="440" w:right="240" w:firstLine="423"/>
        <w:spacing w:after="0" w:line="260" w:lineRule="auto"/>
        <w:rPr>
          <w:sz w:val="20"/>
          <w:szCs w:val="20"/>
          <w:color w:val="auto"/>
        </w:rPr>
      </w:pPr>
      <w:r>
        <w:rPr>
          <w:rFonts w:ascii="Arial" w:cs="Arial" w:eastAsia="Arial" w:hAnsi="Arial"/>
          <w:sz w:val="17"/>
          <w:szCs w:val="17"/>
          <w:color w:val="auto"/>
        </w:rPr>
        <w:t>Eligible cash milestone payments will include each cash milestone payment payable to Mereo or one or more of its subsidiaries pursuant to a NAVI Agreement (or any agreement contemplated by such NAVI Agreement), except for any (i) royalty or similar sales-based payment that is measured, in whole or in part, by reference to the quantity of navicixizumab product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Agreement.</w:t>
      </w:r>
    </w:p>
    <w:p>
      <w:pPr>
        <w:spacing w:after="0" w:line="180" w:lineRule="exact"/>
        <w:rPr>
          <w:sz w:val="20"/>
          <w:szCs w:val="20"/>
          <w:color w:val="auto"/>
        </w:rPr>
      </w:pPr>
    </w:p>
    <w:p>
      <w:pPr>
        <w:ind w:left="440" w:right="60" w:firstLine="423"/>
        <w:spacing w:after="0" w:line="310" w:lineRule="auto"/>
        <w:rPr>
          <w:sz w:val="20"/>
          <w:szCs w:val="20"/>
          <w:color w:val="auto"/>
        </w:rPr>
      </w:pPr>
      <w:r>
        <w:rPr>
          <w:rFonts w:ascii="Arial" w:cs="Arial" w:eastAsia="Arial" w:hAnsi="Arial"/>
          <w:sz w:val="15"/>
          <w:szCs w:val="15"/>
          <w:color w:val="auto"/>
        </w:rPr>
        <w:t>If a NAVI Milestone is achieved, holders of CVRs would be entitled to receive an amount in cash equal to 70% of the aggregate principal amount actually received by Mereo or one or more of its subsidiaries (other than NAVI Sub), net of (A) any tax (including any applicable value added or sales taxes and including any tax which would be payable but for the utilization of a relief), (B) 50% of any expenditure by Mereo or its subsidiaries pursuant to the budget set forth on a confidential schedule to the CVR Agreement, and (C) any other reasonable cost or expense attributable to</w:t>
      </w:r>
    </w:p>
    <w:p>
      <w:pPr>
        <w:spacing w:after="0" w:line="8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000"/>
          </w:cols>
          <w:pgMar w:left="240" w:top="445" w:right="6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line="279" w:lineRule="auto"/>
        <w:rPr>
          <w:sz w:val="20"/>
          <w:szCs w:val="20"/>
          <w:color w:val="auto"/>
        </w:rPr>
      </w:pPr>
      <w:r>
        <w:rPr>
          <w:rFonts w:ascii="Arial" w:cs="Arial" w:eastAsia="Arial" w:hAnsi="Arial"/>
          <w:sz w:val="16"/>
          <w:szCs w:val="16"/>
          <w:color w:val="auto"/>
        </w:rPr>
        <w:t>the receipt of such payment (which, for the avoidance of doubt, shall include (x) any costs, reasonable out-of-pocket fees, expenses or charges incurred by Mereo or its subsidiaries in excess of the commitments provided for in the budget set forth on a confidential schedule to the CVR Agreement, (y) any costs, reasonable out-of-pocket fees, expenses or charges incurred by Mereo or its subsidiaries under the NAVI Agreement, and (z) any costs, reasonable out-of-pocket fees, expenses or charges incurred by Mereo or its subsidiaries, or for which Mereo or one or more of its subsidiaries is responsible, in connection with the preparation, negotiation and execution of the relevant NAVI Agreement, in each case to the extent such costs, out-of-pocket fees, expenses or charges have not been previously accounted for in the calculation of a prior NAVI Milestone payment).</w:t>
      </w:r>
    </w:p>
    <w:p>
      <w:pPr>
        <w:spacing w:after="0" w:line="167" w:lineRule="exact"/>
        <w:rPr>
          <w:sz w:val="20"/>
          <w:szCs w:val="20"/>
          <w:color w:val="auto"/>
        </w:rPr>
      </w:pPr>
    </w:p>
    <w:p>
      <w:pPr>
        <w:ind w:left="440" w:right="80" w:firstLine="423"/>
        <w:spacing w:after="0" w:line="264" w:lineRule="auto"/>
        <w:rPr>
          <w:sz w:val="20"/>
          <w:szCs w:val="20"/>
          <w:color w:val="auto"/>
        </w:rPr>
      </w:pPr>
      <w:r>
        <w:rPr>
          <w:rFonts w:ascii="Arial" w:cs="Arial" w:eastAsia="Arial" w:hAnsi="Arial"/>
          <w:sz w:val="17"/>
          <w:szCs w:val="17"/>
          <w:color w:val="auto"/>
        </w:rPr>
        <w:t>The NAVI milestone payments are subject to a cash consideration cap, pursuant to which the aggregate principal amount of all cash payments made to holders of CVRs by Mereo shall in no case exceed $79.7 million. If the aggregate principal amount to be paid to holders of CVRs by Mereo pursuant to the CVR Agreement would, together with the aggregate principal amount of any prior such cash payments, otherwise exceed $79.7 million, then the applicable NAVI Milestone payment will be appropriately reduced.</w:t>
      </w:r>
    </w:p>
    <w:p>
      <w:pPr>
        <w:spacing w:after="0" w:line="176" w:lineRule="exact"/>
        <w:rPr>
          <w:sz w:val="20"/>
          <w:szCs w:val="20"/>
          <w:color w:val="auto"/>
        </w:rPr>
      </w:pPr>
    </w:p>
    <w:p>
      <w:pPr>
        <w:ind w:left="440" w:firstLine="423"/>
        <w:spacing w:after="0" w:line="276" w:lineRule="auto"/>
        <w:rPr>
          <w:sz w:val="20"/>
          <w:szCs w:val="20"/>
          <w:color w:val="auto"/>
        </w:rPr>
      </w:pPr>
      <w:r>
        <w:rPr>
          <w:rFonts w:ascii="Arial" w:cs="Arial" w:eastAsia="Arial" w:hAnsi="Arial"/>
          <w:sz w:val="16"/>
          <w:szCs w:val="16"/>
          <w:color w:val="auto"/>
        </w:rPr>
        <w:t>If a NAVI Milestone occurs at any time prior to the fifth anniversary of the closing of the Merger, and on each such occurrence, then, thirty days following the achievement thereof, Mereo, or a person nominated by Mereo (with written notice thereof from Mereo to the rights agent), as the case may be, will deliver to the rights agent (i) a certificate certifying the date of satisfaction of the applicable NAVI Milestone and that the holders of CVRs are entitled to receive a NAVI Milestone payment, and (ii) the applicable NAVI Milestone payment, by wire transfer of immediately available funds to an account designated by the rights agent. Upon receipt of the wire transfer referred to in the foregoing sentence,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the product determined by multiplying (A) the quotient determined by dividing (x) the applicable NAVI Milestone payment by (y) the total number of CVRs registered in the CVR Register at such time, by (B) the number of CVRs registered to such holder in the CVR Register at such time</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CVR Agreement Between OncoMed and Computershare</w:t>
      </w:r>
    </w:p>
    <w:p>
      <w:pPr>
        <w:spacing w:after="0" w:line="115" w:lineRule="exact"/>
        <w:rPr>
          <w:sz w:val="20"/>
          <w:szCs w:val="20"/>
          <w:color w:val="auto"/>
        </w:rPr>
      </w:pPr>
    </w:p>
    <w:p>
      <w:pPr>
        <w:ind w:left="440" w:right="60" w:firstLine="423"/>
        <w:spacing w:after="0" w:line="284" w:lineRule="auto"/>
        <w:rPr>
          <w:sz w:val="20"/>
          <w:szCs w:val="20"/>
          <w:color w:val="auto"/>
        </w:rPr>
      </w:pPr>
      <w:r>
        <w:rPr>
          <w:rFonts w:ascii="Arial" w:cs="Arial" w:eastAsia="Arial" w:hAnsi="Arial"/>
          <w:sz w:val="17"/>
          <w:szCs w:val="17"/>
          <w:color w:val="auto"/>
        </w:rPr>
        <w:t>On March 14, 2019, OncoMed entered into a Contingent Value Rights Agreement, by and between OncoMed and Computershare (the “OncoMed CVR Agreement”). As a result of the Merger, OncoMed became a wholly-owned indirect subsidiary of Mereo.</w:t>
      </w:r>
    </w:p>
    <w:p>
      <w:pPr>
        <w:spacing w:after="0" w:line="159" w:lineRule="exact"/>
        <w:rPr>
          <w:sz w:val="20"/>
          <w:szCs w:val="20"/>
          <w:color w:val="auto"/>
        </w:rPr>
      </w:pPr>
    </w:p>
    <w:p>
      <w:pPr>
        <w:ind w:left="440" w:right="100" w:firstLine="423"/>
        <w:spacing w:after="0" w:line="257" w:lineRule="auto"/>
        <w:rPr>
          <w:sz w:val="20"/>
          <w:szCs w:val="20"/>
          <w:color w:val="auto"/>
        </w:rPr>
      </w:pPr>
      <w:r>
        <w:rPr>
          <w:rFonts w:ascii="Arial" w:cs="Arial" w:eastAsia="Arial" w:hAnsi="Arial"/>
          <w:sz w:val="17"/>
          <w:szCs w:val="17"/>
          <w:color w:val="auto"/>
        </w:rPr>
        <w:t>Pursuant to the OncoMed CVR Agreement, each holder of OncoMed common stock as of the close of business on April 5, 2019, received one contingent value right (each, an “OncoMed CVR”) for each share of OncoMed common stock held by such stockholder as of such date. The OncoMed CVRs represent the non-transferable contractual right to receive cash payments from OncoMed upon the actual receipt by OncoMed or its affiliates of certain contingent cash payments from Celgene in respect of the achievement of specified approval and sales milestones or the payment of royalties pursuant to the Collaboration Agreement. The specified milestone and royalty payment obligations under the OncoMed CVR Agreement relate to OncoMed’s OMP-313M32 (etigilimab) therapeutic candidate. If a specified OncoMed CVR milestone is achieved or if royalties are paid by Celgene to OncoMed or its affiliates in respect of the etigilimab candidate, holders of OncoMed CVRs will be entitled to receive an amount in cash equal to the relevant cash payment actually received by OncoMed from Celgene, net of any tax and reasonable costs and expenses. The contingent payments under the OncoMed CVR Agreement, if they become payable, will become payable to Computershare as rights agent, for subsequent distribution to the holders of the OncoMed CVRs.</w:t>
      </w:r>
    </w:p>
    <w:p>
      <w:pPr>
        <w:spacing w:after="0" w:line="186" w:lineRule="exact"/>
        <w:rPr>
          <w:sz w:val="20"/>
          <w:szCs w:val="20"/>
          <w:color w:val="auto"/>
        </w:rPr>
      </w:pPr>
    </w:p>
    <w:p>
      <w:pPr>
        <w:ind w:left="440" w:right="180" w:firstLine="423"/>
        <w:spacing w:after="0" w:line="264" w:lineRule="auto"/>
        <w:rPr>
          <w:sz w:val="20"/>
          <w:szCs w:val="20"/>
          <w:color w:val="auto"/>
        </w:rPr>
      </w:pPr>
      <w:r>
        <w:rPr>
          <w:rFonts w:ascii="Arial" w:cs="Arial" w:eastAsia="Arial" w:hAnsi="Arial"/>
          <w:sz w:val="17"/>
          <w:szCs w:val="17"/>
          <w:color w:val="auto"/>
        </w:rPr>
        <w:t>The OncoMed CVRs may not be sold, assigned, transferred, pledged or disposed of in any other manner, in whole or in part, other than in the limited circumstances specified in the OncoMed CVR Agreement. In addition, the OncoMed CVRs (i) will not be evidenced by a certificate or other instrument, (ii) will not have any voting or dividend rights and (iii) will not represent any equity or ownership interest in Mereo or any of its affiliates. No interest will accrue on any amounts payable in respect of the OncoMed CVRs.</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Manufacturing</w:t>
      </w:r>
    </w:p>
    <w:p>
      <w:pPr>
        <w:spacing w:after="0" w:line="121" w:lineRule="exact"/>
        <w:rPr>
          <w:sz w:val="20"/>
          <w:szCs w:val="20"/>
          <w:color w:val="auto"/>
        </w:rPr>
      </w:pPr>
    </w:p>
    <w:p>
      <w:pPr>
        <w:ind w:left="440" w:right="200" w:firstLine="423"/>
        <w:spacing w:after="0" w:line="269" w:lineRule="auto"/>
        <w:rPr>
          <w:sz w:val="20"/>
          <w:szCs w:val="20"/>
          <w:color w:val="auto"/>
        </w:rPr>
      </w:pPr>
      <w:r>
        <w:rPr>
          <w:rFonts w:ascii="Arial" w:cs="Arial" w:eastAsia="Arial" w:hAnsi="Arial"/>
          <w:sz w:val="17"/>
          <w:szCs w:val="17"/>
          <w:color w:val="auto"/>
        </w:rPr>
        <w:t>Mereo does not own or operate manufacturing facilities for the production of its product candidates, nor does it have plans to develop its own manufacturing operations in the foreseeable future. Mereo has entered into manufacturing agreements with a number of drug substance, drug product, and other manufacturers and suppliers for</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980"/>
          </w:cols>
          <w:pgMar w:left="240" w:top="445" w:right="67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80"/>
        <w:spacing w:after="0" w:line="285" w:lineRule="auto"/>
        <w:rPr>
          <w:sz w:val="20"/>
          <w:szCs w:val="20"/>
          <w:color w:val="auto"/>
        </w:rPr>
      </w:pPr>
      <w:r>
        <w:rPr>
          <w:rFonts w:ascii="Arial" w:cs="Arial" w:eastAsia="Arial" w:hAnsi="Arial"/>
          <w:sz w:val="16"/>
          <w:szCs w:val="16"/>
          <w:color w:val="auto"/>
        </w:rPr>
        <w:t>BPS-804, BCT-197, BGS-649, OMP-313M32 and OMP-305B83 and Mereo intends to enter into additional manufacturing agreements as necessary. Following Mereo’s license of MPH-966, Mereo acquired certain clinical trial materials and plans to outsource production of further clinical supplies to its own manufacturing suppliers. Mereo also intends to outsource certain product formulation trials. Mereo expects that drug product pre-validation and validation batches will be manufactured to satisfy regulatory requirements where it progresses products to late stage trials.</w:t>
      </w:r>
    </w:p>
    <w:p>
      <w:pPr>
        <w:spacing w:after="0" w:line="162" w:lineRule="exact"/>
        <w:rPr>
          <w:sz w:val="20"/>
          <w:szCs w:val="20"/>
          <w:color w:val="auto"/>
        </w:rPr>
      </w:pPr>
    </w:p>
    <w:p>
      <w:pPr>
        <w:ind w:left="440" w:right="180" w:firstLine="423"/>
        <w:spacing w:after="0" w:line="281" w:lineRule="auto"/>
        <w:rPr>
          <w:sz w:val="20"/>
          <w:szCs w:val="20"/>
          <w:color w:val="auto"/>
        </w:rPr>
      </w:pPr>
      <w:r>
        <w:rPr>
          <w:rFonts w:ascii="Arial" w:cs="Arial" w:eastAsia="Arial" w:hAnsi="Arial"/>
          <w:sz w:val="16"/>
          <w:szCs w:val="16"/>
          <w:color w:val="auto"/>
        </w:rPr>
        <w:t>Mereo does not yet have any contractual relationships for the manufacture of commercial supplies of BPS-804, MPH-966, BCT-197, BGS-649, OMP-313M32 or OMP-305B83 and Mereo intends to enter into contractual relationships for commercial supplies prior to commercialization of any product candidates. Any batches of product candidates for commercialization will need to be manufactured in facilities, and by processes, that comply with the requirements of the FDA, the EMA, and the regulatory agencies of other jurisdictions in which Mereo is seeking approval. Mereo employs internal resources to manage its manufacturing contractors and ensure they are compliant with current good manufacturing practices.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Commercialization, Sales and Marketing</w:t>
      </w:r>
    </w:p>
    <w:p>
      <w:pPr>
        <w:spacing w:after="0" w:line="121" w:lineRule="exact"/>
        <w:rPr>
          <w:sz w:val="20"/>
          <w:szCs w:val="20"/>
          <w:color w:val="auto"/>
        </w:rPr>
      </w:pPr>
    </w:p>
    <w:p>
      <w:pPr>
        <w:ind w:left="440" w:right="20" w:firstLine="423"/>
        <w:spacing w:after="0" w:line="299" w:lineRule="auto"/>
        <w:rPr>
          <w:sz w:val="20"/>
          <w:szCs w:val="20"/>
          <w:color w:val="auto"/>
        </w:rPr>
      </w:pPr>
      <w:r>
        <w:rPr>
          <w:rFonts w:ascii="Arial" w:cs="Arial" w:eastAsia="Arial" w:hAnsi="Arial"/>
          <w:sz w:val="15"/>
          <w:szCs w:val="15"/>
          <w:color w:val="auto"/>
        </w:rPr>
        <w:t>Mereo does not have its own marketing, sales, or distribution capabilities. In order to commercialize Mereo’s product candidates, if approved for commercial sale, Mereo must either develop a sales and marketing infrastructure or collaborate with third parties that have sales and marketing experience. For BPS-804 and MPH-966, if approved, and for any future product candidates for rare diseases, Mereo intends either to establish a sales and marketing organization with technical expertise and supporting distribution capabilities to commercialize these product candidates in major markets or potentially to outsource aspects of these functions to third parties. Mereo intends to seek to enter into one or more strategic relationships with third parties for BCT-197, OMP-313M32 and OMP-305B83 to undertake the next phase of clinical development and, if approved, for commercialization, and to seek to enter into strategic relationships with third parties for further clinical development and/or commercialization of BGS-649.</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Competition</w:t>
      </w:r>
    </w:p>
    <w:p>
      <w:pPr>
        <w:spacing w:after="0" w:line="121" w:lineRule="exact"/>
        <w:rPr>
          <w:sz w:val="20"/>
          <w:szCs w:val="20"/>
          <w:color w:val="auto"/>
        </w:rPr>
      </w:pPr>
    </w:p>
    <w:p>
      <w:pPr>
        <w:ind w:left="440" w:right="40" w:firstLine="423"/>
        <w:spacing w:after="0" w:line="304" w:lineRule="auto"/>
        <w:rPr>
          <w:sz w:val="20"/>
          <w:szCs w:val="20"/>
          <w:color w:val="auto"/>
        </w:rPr>
      </w:pPr>
      <w:r>
        <w:rPr>
          <w:rFonts w:ascii="Arial" w:cs="Arial" w:eastAsia="Arial" w:hAnsi="Arial"/>
          <w:sz w:val="15"/>
          <w:szCs w:val="15"/>
          <w:color w:val="auto"/>
        </w:rPr>
        <w:t>Mereo competes directly with other biopharmaceutical and pharmaceutical companies that focus on the treatment of OI, AATD, AECOPD or HH, as well as those that address solid tumor cancers and hematologic cancers. Mereo may also face competition from academic research institutions, governmental agencies and other various public and private research institutions. Mereo expects to face increasingly intense competition as new technologies become available. Any product candidates, including BPS-804, MPH-966, BCT-197, BGS-649, OMP-313M32 and OMP-305B83 that Mereo successfully develops and commercializes will compete with existing therapies and new therapies that may become available in the future.</w:t>
      </w:r>
    </w:p>
    <w:p>
      <w:pPr>
        <w:spacing w:after="0" w:line="151" w:lineRule="exact"/>
        <w:rPr>
          <w:sz w:val="20"/>
          <w:szCs w:val="20"/>
          <w:color w:val="auto"/>
        </w:rPr>
      </w:pPr>
    </w:p>
    <w:p>
      <w:pPr>
        <w:ind w:left="440" w:right="40" w:firstLine="423"/>
        <w:spacing w:after="0" w:line="260" w:lineRule="auto"/>
        <w:rPr>
          <w:sz w:val="20"/>
          <w:szCs w:val="20"/>
          <w:color w:val="auto"/>
        </w:rPr>
      </w:pPr>
      <w:r>
        <w:rPr>
          <w:rFonts w:ascii="Arial" w:cs="Arial" w:eastAsia="Arial" w:hAnsi="Arial"/>
          <w:sz w:val="17"/>
          <w:szCs w:val="17"/>
          <w:color w:val="auto"/>
        </w:rPr>
        <w:t>Mereo considers BPS-804’s current closest potential competitors in development for the treatment of OI to be Amgen’s denosumab (Prolia) an anti-resorptive agent, and Amgen and UCB’s anti-sclerostin antibody, romosozumab, which was approved in Japan in January 2019. Blosozumab, an anti-sclerostin antibody, was in Phase 1 development for osteoporosis by Eli Lilly; however, Mereo is not aware of any ongoing clinical trials for this product candidate and does not believe this product candidate remains under active development. Additionally, Bone Therapeutics is developing osteoblastic cell therapy products. Baylor College of Medicine is also conducting a Phase 1 open label trial of fresolimumab, a TGF-B inhibitor, in adult OI patients.</w:t>
      </w:r>
    </w:p>
    <w:p>
      <w:pPr>
        <w:spacing w:after="0" w:line="180" w:lineRule="exact"/>
        <w:rPr>
          <w:sz w:val="20"/>
          <w:szCs w:val="20"/>
          <w:color w:val="auto"/>
        </w:rPr>
      </w:pPr>
    </w:p>
    <w:p>
      <w:pPr>
        <w:ind w:left="440" w:right="300" w:firstLine="423"/>
        <w:spacing w:after="0" w:line="284" w:lineRule="auto"/>
        <w:rPr>
          <w:sz w:val="20"/>
          <w:szCs w:val="20"/>
          <w:color w:val="auto"/>
        </w:rPr>
      </w:pPr>
      <w:r>
        <w:rPr>
          <w:rFonts w:ascii="Arial" w:cs="Arial" w:eastAsia="Arial" w:hAnsi="Arial"/>
          <w:sz w:val="17"/>
          <w:szCs w:val="17"/>
          <w:color w:val="auto"/>
        </w:rPr>
        <w:t>Mereo considers MPH-966’s current closest potential competitors for the treatment of severe AATD to be alpha1-proteinase inhibitors that are administered intravenously in AAT augmentation therapy.</w:t>
      </w:r>
    </w:p>
    <w:p>
      <w:pPr>
        <w:spacing w:after="0" w:line="159"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Currently, there are four inhibitors on the market in the United States: Grifols’ Prolastin-C, Shire’s Aralast, CSL’s Zemaira and Kamada’s Glassia. Kamada is also investigating an inhaled version of augmentation therapy, Apic Bio is in the early stages of developing gene-therapy approaches for AATD and Vertex has an early-stage small molecule corrector program for AATD. Santhera has inlicensed an inhaled neutrophil elastase inhibitor and is planning a multiple ascending dose study, with the initial indication targeted being cystic fibrosis.</w:t>
      </w:r>
    </w:p>
    <w:p>
      <w:pPr>
        <w:spacing w:after="0" w:line="176" w:lineRule="exact"/>
        <w:rPr>
          <w:sz w:val="20"/>
          <w:szCs w:val="20"/>
          <w:color w:val="auto"/>
        </w:rPr>
      </w:pPr>
    </w:p>
    <w:p>
      <w:pPr>
        <w:ind w:left="440" w:right="80" w:firstLine="423"/>
        <w:spacing w:after="0" w:line="310" w:lineRule="auto"/>
        <w:rPr>
          <w:sz w:val="20"/>
          <w:szCs w:val="20"/>
          <w:color w:val="auto"/>
        </w:rPr>
      </w:pPr>
      <w:r>
        <w:rPr>
          <w:rFonts w:ascii="Arial" w:cs="Arial" w:eastAsia="Arial" w:hAnsi="Arial"/>
          <w:sz w:val="15"/>
          <w:szCs w:val="15"/>
          <w:color w:val="auto"/>
        </w:rPr>
        <w:t>The current standard of care for AECOPD involves steroids, antibiotics and bronchodilators; however, Mereo is not aware of any drugs specifically approved for the treatment of AECOPD. There are a number of products currently in development, with Verona Pharma, GlaxoSmithKline, and AstraZeneca each conducting Phase 2 clinical trials of drugs for the treatment of COPD. Mereo considers BCT-197’s current closest potential competitor in development for the treatment of AECOPD to be Verona Pharma’s RPL554, a PDE3 / PDE4 dual inhibitor that is currently being</w:t>
      </w:r>
    </w:p>
    <w:p>
      <w:pPr>
        <w:spacing w:after="0" w:line="8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980"/>
          </w:cols>
          <w:pgMar w:left="240" w:top="445" w:right="6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40"/>
        <w:spacing w:after="0" w:line="269" w:lineRule="auto"/>
        <w:rPr>
          <w:sz w:val="20"/>
          <w:szCs w:val="20"/>
          <w:color w:val="auto"/>
        </w:rPr>
      </w:pPr>
      <w:r>
        <w:rPr>
          <w:rFonts w:ascii="Arial" w:cs="Arial" w:eastAsia="Arial" w:hAnsi="Arial"/>
          <w:sz w:val="17"/>
          <w:szCs w:val="17"/>
          <w:color w:val="auto"/>
        </w:rPr>
        <w:t>developed as a bronchodilator and anti-inflammatory agent for COPD and asthma patients. GlaxoSmithKline is developing nemiralisib, a PI3Kd inhibitor, for the treatment of acute and long term use in COPD and asthma, which Mereo believes to be an anti-inflammatory. Nemiralisib is currently being studied in a Phase 2 clinical trial.</w:t>
      </w:r>
    </w:p>
    <w:p>
      <w:pPr>
        <w:spacing w:after="0" w:line="171" w:lineRule="exact"/>
        <w:rPr>
          <w:sz w:val="20"/>
          <w:szCs w:val="20"/>
          <w:color w:val="auto"/>
        </w:rPr>
      </w:pPr>
    </w:p>
    <w:p>
      <w:pPr>
        <w:ind w:left="440" w:right="100" w:firstLine="423"/>
        <w:spacing w:after="0" w:line="301" w:lineRule="auto"/>
        <w:rPr>
          <w:sz w:val="20"/>
          <w:szCs w:val="20"/>
          <w:color w:val="auto"/>
        </w:rPr>
      </w:pPr>
      <w:r>
        <w:rPr>
          <w:rFonts w:ascii="Arial" w:cs="Arial" w:eastAsia="Arial" w:hAnsi="Arial"/>
          <w:sz w:val="15"/>
          <w:szCs w:val="15"/>
          <w:color w:val="auto"/>
        </w:rPr>
        <w:t>Mereo considers BGS-649’s current closest potential competitors for the treatment of HH to be TRT. These include Androgel from Abbvie, and Eli Lilly’s Axiron, both administered transdermally by applying a gel formulation, which are approved in the United States and Europe, Andriol from Merck, an oral testosterone therapy, which is approved in Europe but not in the United States and JATENZO from Clarus approved in the United States in March 2019. There are also other approved TRT products that are administered via injection and other oral TRTs that are still in the development or registration stages, such as TLANDO from Lipocine. The FDA held advisory committee meetings in January 2018 for TLANDO. On May 9, 2018, Lipocine announced that it had received a complete response letter from the FDA and is in the process of addressing the issues identified in the letter.</w:t>
      </w:r>
    </w:p>
    <w:p>
      <w:pPr>
        <w:spacing w:after="0" w:line="152" w:lineRule="exact"/>
        <w:rPr>
          <w:sz w:val="20"/>
          <w:szCs w:val="20"/>
          <w:color w:val="auto"/>
        </w:rPr>
      </w:pPr>
    </w:p>
    <w:p>
      <w:pPr>
        <w:ind w:left="440" w:firstLine="423"/>
        <w:spacing w:after="0" w:line="262" w:lineRule="auto"/>
        <w:rPr>
          <w:sz w:val="20"/>
          <w:szCs w:val="20"/>
          <w:color w:val="auto"/>
        </w:rPr>
      </w:pPr>
      <w:r>
        <w:rPr>
          <w:rFonts w:ascii="Arial" w:cs="Arial" w:eastAsia="Arial" w:hAnsi="Arial"/>
          <w:sz w:val="17"/>
          <w:szCs w:val="17"/>
          <w:color w:val="auto"/>
        </w:rPr>
        <w:t>Mereo considers OMP-305B83’s competitors in ovarian cancer to be existing cancer treatments such as chemotherapeutic agents, Avastin</w:t>
      </w:r>
      <w:r>
        <w:rPr>
          <w:rFonts w:ascii="Arial" w:cs="Arial" w:eastAsia="Arial" w:hAnsi="Arial"/>
          <w:sz w:val="14"/>
          <w:szCs w:val="14"/>
          <w:color w:val="auto"/>
        </w:rPr>
        <w:t>®</w:t>
      </w:r>
      <w:r>
        <w:rPr>
          <w:rFonts w:ascii="Arial" w:cs="Arial" w:eastAsia="Arial" w:hAnsi="Arial"/>
          <w:sz w:val="17"/>
          <w:szCs w:val="17"/>
          <w:color w:val="auto"/>
        </w:rPr>
        <w:t>, the PARP inhibitors (Rubraca, Zejula and Lynparza) and potentially other drug candidates that are in clinical development such as anti-PD1 and antibody drug conjugates. In addition, there are two other anti-DLL4/VEGF dual variable domain immunoglobulins (Abbvie’s ABT-165 and ABL Bio’s ABL001) in clinical development. Finally, there are established pharmaceutical and biotechnology companies that are known to be involved in oncology research.</w:t>
      </w:r>
    </w:p>
    <w:p>
      <w:pPr>
        <w:spacing w:after="0" w:line="177" w:lineRule="exact"/>
        <w:rPr>
          <w:sz w:val="20"/>
          <w:szCs w:val="20"/>
          <w:color w:val="auto"/>
        </w:rPr>
      </w:pPr>
    </w:p>
    <w:p>
      <w:pPr>
        <w:ind w:left="440" w:right="60" w:firstLine="423"/>
        <w:spacing w:after="0" w:line="261" w:lineRule="auto"/>
        <w:rPr>
          <w:sz w:val="20"/>
          <w:szCs w:val="20"/>
          <w:color w:val="auto"/>
        </w:rPr>
      </w:pPr>
      <w:r>
        <w:rPr>
          <w:rFonts w:ascii="Arial" w:cs="Arial" w:eastAsia="Arial" w:hAnsi="Arial"/>
          <w:sz w:val="17"/>
          <w:szCs w:val="17"/>
          <w:color w:val="auto"/>
        </w:rPr>
        <w:t>Mereo considers OMP-313M32’s competitors to be existing cancer treatments such as the commercially available immuno-oncology agents (e.g., Yervoy™, Keytruda</w:t>
      </w:r>
      <w:r>
        <w:rPr>
          <w:rFonts w:ascii="Arial" w:cs="Arial" w:eastAsia="Arial" w:hAnsi="Arial"/>
          <w:sz w:val="14"/>
          <w:szCs w:val="14"/>
          <w:color w:val="auto"/>
        </w:rPr>
        <w:t>®</w:t>
      </w:r>
      <w:r>
        <w:rPr>
          <w:rFonts w:ascii="Arial" w:cs="Arial" w:eastAsia="Arial" w:hAnsi="Arial"/>
          <w:sz w:val="17"/>
          <w:szCs w:val="17"/>
          <w:color w:val="auto"/>
        </w:rPr>
        <w:t>, and Opdivo</w:t>
      </w:r>
      <w:r>
        <w:rPr>
          <w:rFonts w:ascii="Arial" w:cs="Arial" w:eastAsia="Arial" w:hAnsi="Arial"/>
          <w:sz w:val="14"/>
          <w:szCs w:val="14"/>
          <w:color w:val="auto"/>
        </w:rPr>
        <w:t>®</w:t>
      </w:r>
      <w:r>
        <w:rPr>
          <w:rFonts w:ascii="Arial" w:cs="Arial" w:eastAsia="Arial" w:hAnsi="Arial"/>
          <w:sz w:val="17"/>
          <w:szCs w:val="17"/>
          <w:color w:val="auto"/>
        </w:rPr>
        <w:t>, etc.), chemotherapeutic agents, and antibody based therapeutics such as Avastin and Erbitux. In addition, other potential competitors include several other anti-TIGIT agents (e.g., those currently being developed by Genentech (Roche), Merck, Bristol-Myers Squibb or BMS, and Arcus Biosciences) and investigational immuno-oncologic, agents against other targets, there are established pharmaceutical and biotechnology companies that are known to be involved in oncology research.</w:t>
      </w:r>
    </w:p>
    <w:p>
      <w:pPr>
        <w:spacing w:after="0" w:line="180" w:lineRule="exact"/>
        <w:rPr>
          <w:sz w:val="20"/>
          <w:szCs w:val="20"/>
          <w:color w:val="auto"/>
        </w:rPr>
      </w:pPr>
    </w:p>
    <w:p>
      <w:pPr>
        <w:ind w:left="440" w:right="20" w:firstLine="423"/>
        <w:spacing w:after="0" w:line="278" w:lineRule="auto"/>
        <w:rPr>
          <w:sz w:val="20"/>
          <w:szCs w:val="20"/>
          <w:color w:val="auto"/>
        </w:rPr>
      </w:pPr>
      <w:r>
        <w:rPr>
          <w:rFonts w:ascii="Arial" w:cs="Arial" w:eastAsia="Arial" w:hAnsi="Arial"/>
          <w:sz w:val="16"/>
          <w:szCs w:val="16"/>
          <w:color w:val="auto"/>
        </w:rPr>
        <w:t>Mereo may face increasing competition for additional new product acquisitions from pharmaceutical companies as new companies emerge with a similar business model and other more established companies focus on acquiring products to develop their pipelines. Many of Mereo’s competitors have significantly greater financial, manufacturing, marketing, drug development, technical and human resources than Mereo does. Mergers and acquisitions in the pharmaceutical and biotechnology industries may result in even more resources being concentrated among a smaller number of Mereo’s competitors. Smaller or early stage companies may also prove to be significant competitors, particularly through collaborative arrangements with large and established companies. These competitors also compete with Mereo in recruiting and retaining top qualified scientific and management personnel and establishing clinical trial sites and patient registration for clinical trials.</w:t>
      </w:r>
    </w:p>
    <w:p>
      <w:pPr>
        <w:spacing w:after="0" w:line="166"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The key competitive factors affecting the success of BPS-804, MPH-966, BCT-197, BGS-649, OMP-313M32 and OMP-305B83,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171" w:lineRule="exact"/>
        <w:rPr>
          <w:sz w:val="20"/>
          <w:szCs w:val="20"/>
          <w:color w:val="auto"/>
        </w:rPr>
      </w:pPr>
    </w:p>
    <w:p>
      <w:pPr>
        <w:ind w:left="440" w:right="80" w:firstLine="423"/>
        <w:spacing w:after="0" w:line="260" w:lineRule="auto"/>
        <w:rPr>
          <w:sz w:val="20"/>
          <w:szCs w:val="20"/>
          <w:color w:val="auto"/>
        </w:rPr>
      </w:pPr>
      <w:r>
        <w:rPr>
          <w:rFonts w:ascii="Arial" w:cs="Arial" w:eastAsia="Arial" w:hAnsi="Arial"/>
          <w:sz w:val="17"/>
          <w:szCs w:val="17"/>
          <w:color w:val="auto"/>
        </w:rPr>
        <w:t>Mereo’s commercial opportunity could be reduced or eliminated if its competitors develop and commercialize products that are safer, more effective, less expensive, more convenient or easier to administer, or have fewer or less severe effects than any products that Mereo may develop. Mereo’s competitors may also obtain FDA, EMA or other regulatory approval for their products more rapidly than Mereo may obtain approval for its own product candidates, which could result in Mereo’s competitors establishing a strong market position before Mereo is able to enter the market. Even if BPS-804, MPH-966, BCT-197, BGS-649, OMP-313M32 or OMP-305B83 achieve marketing approval, they may be priced at a significant premium over competitive products if any have been approved by then.</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Intellectual Property</w:t>
      </w:r>
    </w:p>
    <w:p>
      <w:pPr>
        <w:spacing w:after="0" w:line="121"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Mereo has acquired or exclusively licensed a comprehensive intellectual property portfolio from Novartis and AstraZeneca, respectively. Mereo strives to protect and enhance the proprietary technologies, inventions and improvements that it believes are important to its business, including seeking, maintaining and defending patent rights, whether developed internally or acquired or licensed from third parties. Mereo’s policy is to seek to protect its proprietary position by, among other methods, pursuing and obtaining patent protection in the United States and in jurisdictions outside of the United States related to Mereo’s proprietary technology, inventions, improvements, platforms and its product candidates that are important to the development and implementation of its business.</w:t>
      </w:r>
    </w:p>
    <w:p>
      <w:pPr>
        <w:spacing w:after="0" w:line="1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980"/>
          </w:cols>
          <w:pgMar w:left="240" w:top="445" w:right="67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firstLine="423"/>
        <w:spacing w:after="0" w:line="285" w:lineRule="auto"/>
        <w:rPr>
          <w:sz w:val="20"/>
          <w:szCs w:val="20"/>
          <w:color w:val="auto"/>
        </w:rPr>
      </w:pPr>
      <w:r>
        <w:rPr>
          <w:rFonts w:ascii="Arial" w:cs="Arial" w:eastAsia="Arial" w:hAnsi="Arial"/>
          <w:sz w:val="16"/>
          <w:szCs w:val="16"/>
          <w:color w:val="auto"/>
        </w:rPr>
        <w:t>Mereo’s intellectual property is held by Mereo BioPharma 1 Limited, Mereo BioPharma 2 Limited, Mereo BioPharma 3 Limited, Mereo BioPharma 4 Limited and OncoMed, each of which is a wholly-owned subsidiary of Mereo and holds the intellectual property for Mereo’s product candidates BCT-197, BGS-649, BPS-804, MPH-966 and OMP-305B83 and OMP-313M32 respectively. As of April 23, 2019 and following the Merger, Mereo’s patent portfolio comprises approximately 855 issued patents and approximately 222 pending patent applications on a global basis.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BPS-804 (setrusumab)</w:t>
      </w:r>
    </w:p>
    <w:p>
      <w:pPr>
        <w:spacing w:after="0" w:line="115" w:lineRule="exact"/>
        <w:rPr>
          <w:sz w:val="20"/>
          <w:szCs w:val="20"/>
          <w:color w:val="auto"/>
        </w:rPr>
      </w:pPr>
    </w:p>
    <w:p>
      <w:pPr>
        <w:ind w:left="440" w:right="60" w:firstLine="423"/>
        <w:spacing w:after="0" w:line="301" w:lineRule="auto"/>
        <w:rPr>
          <w:sz w:val="20"/>
          <w:szCs w:val="20"/>
          <w:color w:val="auto"/>
        </w:rPr>
      </w:pPr>
      <w:r>
        <w:rPr>
          <w:rFonts w:ascii="Arial" w:cs="Arial" w:eastAsia="Arial" w:hAnsi="Arial"/>
          <w:sz w:val="15"/>
          <w:szCs w:val="15"/>
          <w:color w:val="auto"/>
        </w:rPr>
        <w:t>As of January 24, 2019, Mereo’s patent portfolio relating to its product candidate BPS-804 consisted of three issued U.S. patents, one pending U.S. patent application, 86 issued foreign patents, four pending foreign patent applications and two pending international patent applications filed under the Patent Cooperation Treaty (“PCT”). These patents and patent applications include claims directed to the BPS-804 antibody as well as nucleic acids encoding the antibody and the antibody’s use as a medicament; the use of anti-sclerostin antibodies in the treatment of OI; the use of the BPS-804 antibody in the treatment of OI with a specific dosing regimen; the use of a specific anti-sclerostin antibody in the treatment of OI; and use of a sclerostin antagonist in the treatment of a myopathy with expected expiry dates not earlier than between 2028 and 2039.</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patent portfolio relating to Mereo’s product candidate BPS-804 includes three patent families:</w:t>
      </w:r>
    </w:p>
    <w:p>
      <w:pPr>
        <w:spacing w:after="0" w:line="128" w:lineRule="exact"/>
        <w:rPr>
          <w:sz w:val="20"/>
          <w:szCs w:val="20"/>
          <w:color w:val="auto"/>
        </w:rPr>
      </w:pPr>
    </w:p>
    <w:p>
      <w:pPr>
        <w:ind w:left="1260" w:right="20" w:hanging="415"/>
        <w:spacing w:after="0" w:line="259" w:lineRule="auto"/>
        <w:tabs>
          <w:tab w:leader="none" w:pos="12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first of these patent families relates to the BPS-804 antibody as well as nucleic acids encoding the antibody and the antibody’s use as a medicament. As of January 24, 2019, this patent family included granted patents in Algeria, Argentina, Australia, Canada, China, Colombia, Europe (Austria, Belgium, Bulgaria, Croatia, Cyprus, Czech Republic, Denmark, Estonia, Finland, France, Germany, Greece, Hungary, Iceland, Ireland, Italy, Latvia, Lithuania, Luxembourg, Malta, Monaco, Netherlands, Norway, Poland, Portugal, Romania, Slovakia, Slovenia, Spain, Sweden, Switzerland, Turkey and United Kingdom), Gulf Cooperation Council countries, Hong Kong, Indonesia, Israel, Japan, Macau, Mexico, New Zealand, Russia, Singapore, South Africa, South Korea and the United States. Mereo expects patents in this family to expire in 2028.</w:t>
      </w:r>
    </w:p>
    <w:p>
      <w:pPr>
        <w:spacing w:after="0" w:line="90" w:lineRule="exact"/>
        <w:rPr>
          <w:rFonts w:ascii="Arial" w:cs="Arial" w:eastAsia="Arial" w:hAnsi="Arial"/>
          <w:sz w:val="17"/>
          <w:szCs w:val="17"/>
          <w:color w:val="auto"/>
        </w:rPr>
      </w:pPr>
    </w:p>
    <w:p>
      <w:pPr>
        <w:ind w:left="1260" w:right="20" w:hanging="415"/>
        <w:spacing w:after="0" w:line="264" w:lineRule="auto"/>
        <w:tabs>
          <w:tab w:leader="none" w:pos="12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second of these patent families relates to the use of anti-sclerostin antibodies in the treatment of OI and the use of the BPS-804 antibody in the treatment of OI at a specific dosing regimen. As of January 24, 2019, this patent family included one U.S. non-provisional application and two pending international patent applications filed under the PCT. Mereo expects patents emanating from this family to expire in 2036/2037.</w:t>
      </w:r>
    </w:p>
    <w:p>
      <w:pPr>
        <w:spacing w:after="0" w:line="85" w:lineRule="exact"/>
        <w:rPr>
          <w:rFonts w:ascii="Arial" w:cs="Arial" w:eastAsia="Arial" w:hAnsi="Arial"/>
          <w:sz w:val="17"/>
          <w:szCs w:val="17"/>
          <w:color w:val="auto"/>
        </w:rPr>
      </w:pPr>
    </w:p>
    <w:p>
      <w:pPr>
        <w:ind w:left="1260" w:right="180" w:hanging="415"/>
        <w:spacing w:after="0" w:line="316" w:lineRule="auto"/>
        <w:tabs>
          <w:tab w:leader="none" w:pos="1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third of these patent families relates to the use of an anti-sclerostin antagonist in the treatment of a myopathy. As of January 24, 2019, this patent family included one U.K. patent application. Mereo expects patents emanating from this family to expire in 2039.</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MPH-966 (alvelestat)</w:t>
      </w:r>
    </w:p>
    <w:p>
      <w:pPr>
        <w:spacing w:after="0" w:line="115" w:lineRule="exact"/>
        <w:rPr>
          <w:sz w:val="20"/>
          <w:szCs w:val="20"/>
          <w:color w:val="auto"/>
        </w:rPr>
      </w:pPr>
    </w:p>
    <w:p>
      <w:pPr>
        <w:ind w:left="440" w:right="120" w:firstLine="423"/>
        <w:spacing w:after="0" w:line="299" w:lineRule="auto"/>
        <w:rPr>
          <w:sz w:val="20"/>
          <w:szCs w:val="20"/>
          <w:color w:val="auto"/>
        </w:rPr>
      </w:pPr>
      <w:r>
        <w:rPr>
          <w:rFonts w:ascii="Arial" w:cs="Arial" w:eastAsia="Arial" w:hAnsi="Arial"/>
          <w:sz w:val="15"/>
          <w:szCs w:val="15"/>
          <w:color w:val="auto"/>
        </w:rPr>
        <w:t>As of January 24, 2019, Mereo’s patent portfolio relating to its product candidate MPH-966 consisted of three issued U.S. patents, no pending U.S. patent applications, 34 issued foreign patents and six pending foreign patent applications. These patents have all been licensed under Mereo’s agreement with AstraZeneca. See “Item 4. Information On the Company—B. Business Overview—Material Agreements—AstraZeneca Agreement.” These patents and patent applications include claims directed to 2-pyridone derivatives as NE inhibitors and their uses as well as claims to polymorphs of the tosylate salt of a 5-pyrazolyl-2-pyridone derivative, with expected expiry dates not earlier than between 2024 and 2030. Mereo’s patent portfolio also consists of two pending foreign applications which have been filed subsequent to the license agreement with AstraZeneca. These patent applications include claims directed to dosage regimens of MPH-966 with expected expiry dates not earlier than 2039.</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patent portfolio relating to Mereo’s product candidate MPH-966 includes three patent families:</w:t>
      </w:r>
    </w:p>
    <w:p>
      <w:pPr>
        <w:spacing w:after="0" w:line="128" w:lineRule="exact"/>
        <w:rPr>
          <w:sz w:val="20"/>
          <w:szCs w:val="20"/>
          <w:color w:val="auto"/>
        </w:rPr>
      </w:pPr>
    </w:p>
    <w:p>
      <w:pPr>
        <w:ind w:left="1260" w:hanging="415"/>
        <w:spacing w:after="0" w:line="264" w:lineRule="auto"/>
        <w:tabs>
          <w:tab w:leader="none" w:pos="1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first of these patent families relates to 2-pyridone derivatives as NE inhibitors and their use. As of January 24, 2019, this patent family included granted patents in Australia, Canada, China, Europe (France, Germany, Italy, Netherlands, Spain, Sweden, Switzerland, Turkey and United Kingdom), Hong Kong, India, Japan, Mexico, Russia, South Korea and the United States. Mereo expects patents in this family to expire in 2024.</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980"/>
          </w:cols>
          <w:pgMar w:left="240" w:top="445" w:right="67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40" w:hanging="415"/>
        <w:spacing w:after="0" w:line="264" w:lineRule="auto"/>
        <w:tabs>
          <w:tab w:leader="none" w:pos="1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second of these patent families relates to polymorphs of the tosylate salt of a 5-pyrazolyl-2-pyridone derivative. As of January 24, 2019, this patent family included granted patents in Australia, Canada, China, Europe (France, Germany, Italy, Netherlands, Spain, Sweden, Switzerland, Turkey and United Kingdom), Hong Kong, Japan, Mexico, Russia and the United States. Mereo expects patents in this family to expire in 2030.</w:t>
      </w:r>
    </w:p>
    <w:p>
      <w:pPr>
        <w:spacing w:after="0" w:line="85" w:lineRule="exact"/>
        <w:rPr>
          <w:rFonts w:ascii="Arial" w:cs="Arial" w:eastAsia="Arial" w:hAnsi="Arial"/>
          <w:sz w:val="17"/>
          <w:szCs w:val="17"/>
          <w:color w:val="auto"/>
        </w:rPr>
      </w:pPr>
    </w:p>
    <w:p>
      <w:pPr>
        <w:ind w:left="1260" w:right="20" w:hanging="415"/>
        <w:spacing w:after="0" w:line="284" w:lineRule="auto"/>
        <w:tabs>
          <w:tab w:leader="none" w:pos="1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third of these patent families relates to dosage regiments of MPH-966. As of January 242, 2019, this patent family includes two pending U.K. patent applications. Mereo expects patents emanating from this family to expire in 2039.</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BCT-197 (acumapimod)</w:t>
      </w:r>
    </w:p>
    <w:p>
      <w:pPr>
        <w:spacing w:after="0" w:line="115" w:lineRule="exact"/>
        <w:rPr>
          <w:sz w:val="20"/>
          <w:szCs w:val="20"/>
          <w:color w:val="auto"/>
        </w:rPr>
      </w:pPr>
    </w:p>
    <w:p>
      <w:pPr>
        <w:ind w:left="440" w:firstLine="423"/>
        <w:spacing w:after="0" w:line="304" w:lineRule="auto"/>
        <w:rPr>
          <w:sz w:val="20"/>
          <w:szCs w:val="20"/>
          <w:color w:val="auto"/>
        </w:rPr>
      </w:pPr>
      <w:r>
        <w:rPr>
          <w:rFonts w:ascii="Arial" w:cs="Arial" w:eastAsia="Arial" w:hAnsi="Arial"/>
          <w:sz w:val="15"/>
          <w:szCs w:val="15"/>
          <w:color w:val="auto"/>
        </w:rPr>
        <w:t>As of January 24, 2019, Mereo’s patent portfolio relating to its product candidate BCT-197 consisted of five issued U.S. patents, four pending U.S. patent applications, 130 issued foreign patents, 56 pending foreign applications, and two pending international patent applications filed under the PCT. These patents and patent applications include claims directed to 5-membered heterocycle-based p38 kinase inhibitors, the use of a pyrazole derivative in the treatment of AECOPD, dosage regimens of BCT-197, the use of BCT-197 in the treatment of specific patient subpopulations, methods of producing specific polymorphs of BCT-197 and synthetic methods of production of BCT-197 with expected expiry dates not earlier than between 2024 and 2038.</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patent portfolio relating to Mereo’s product candidate BCT-197 includes six patent families:</w:t>
      </w:r>
    </w:p>
    <w:p>
      <w:pPr>
        <w:spacing w:after="0" w:line="128" w:lineRule="exact"/>
        <w:rPr>
          <w:sz w:val="20"/>
          <w:szCs w:val="20"/>
          <w:color w:val="auto"/>
        </w:rPr>
      </w:pPr>
    </w:p>
    <w:p>
      <w:pPr>
        <w:ind w:left="1260" w:right="20" w:hanging="415"/>
        <w:spacing w:after="0" w:line="279"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first of these patent families relates to the key composition per se and other 5-membered heterocycle-based p38 kinase inhibitors. As of January 24, 2019, this patent family included granted patents in Algeria, Australia, Brazil, Canada, China, Colombia, Europe (Austria, Belgium, Bulgaria, Croatia, Cyprus, Czech Republic, Denmark, Estonia, Finland, France, Germany, Greece, Hungary, Iceland, Ireland, Italy, Latvia, Lithuania, Luxembourg, Monaco, Netherlands, Poland, Portugal, Romania, Slovenia, Slovakia, Spain, Sweden, Switzerland, Turkey and United Kingdom), Hong Kong, India, Indonesia, Israel, Japan, Malaysia, Mexico, New Zealand, Norway, Russia, Singapore, South Africa, South Korea and the United States. Mereo expects patents in this family to expire in 2024.</w:t>
      </w:r>
    </w:p>
    <w:p>
      <w:pPr>
        <w:spacing w:after="0" w:line="76" w:lineRule="exact"/>
        <w:rPr>
          <w:rFonts w:ascii="Arial" w:cs="Arial" w:eastAsia="Arial" w:hAnsi="Arial"/>
          <w:sz w:val="16"/>
          <w:szCs w:val="16"/>
          <w:color w:val="auto"/>
        </w:rPr>
      </w:pPr>
    </w:p>
    <w:p>
      <w:pPr>
        <w:ind w:left="1260" w:right="240" w:hanging="415"/>
        <w:spacing w:after="0" w:line="260" w:lineRule="auto"/>
        <w:tabs>
          <w:tab w:leader="none" w:pos="1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second of these patent families relates to the use of pyrazole derivatives in the treatment of AECOPD. As of January 24, 2019, this patent family included granted patents in Algeria, Australia, Canada, China, Europe (Austria, Belgium, Bulgaria, Croatia, Cyprus, Czech Republic, Denmark, Estonia, Germany, Finland, France, Greece, Hungary, Iceland, Ireland, Italy, Latvia, Liechtenstein, Lithuania, Luxembourg, Malta, Monaco, Netherlands, Poland, Portugal, Romania, Slovakia, Slovenia, Spain, Sweden, Switzerland, Turkey, Norway and United Kingdom,), Hong Kong, Israel, Japan, Mexico, New Zealand, Russia, Singapore, South Africa, South Korea, Taiwan and the United States. Mereo expects patents in this family to expire in 2033.</w:t>
      </w:r>
    </w:p>
    <w:p>
      <w:pPr>
        <w:spacing w:after="0" w:line="89" w:lineRule="exact"/>
        <w:rPr>
          <w:rFonts w:ascii="Arial" w:cs="Arial" w:eastAsia="Arial" w:hAnsi="Arial"/>
          <w:sz w:val="17"/>
          <w:szCs w:val="17"/>
          <w:color w:val="auto"/>
        </w:rPr>
      </w:pPr>
    </w:p>
    <w:p>
      <w:pPr>
        <w:jc w:val="both"/>
        <w:ind w:left="1260" w:right="200" w:hanging="415"/>
        <w:spacing w:after="0" w:line="269" w:lineRule="auto"/>
        <w:tabs>
          <w:tab w:leader="none" w:pos="1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third of these patent families relates to dosage regimens of BCT-197. As of January 24, 2019, this patent family included two pending U.S. patent applications and seventeen pending foreign patent applications. Mereo expects patents emanating from this family to expire in 2036.</w:t>
      </w:r>
    </w:p>
    <w:p>
      <w:pPr>
        <w:spacing w:after="0" w:line="80" w:lineRule="exact"/>
        <w:rPr>
          <w:rFonts w:ascii="Arial" w:cs="Arial" w:eastAsia="Arial" w:hAnsi="Arial"/>
          <w:sz w:val="17"/>
          <w:szCs w:val="17"/>
          <w:color w:val="auto"/>
        </w:rPr>
      </w:pPr>
    </w:p>
    <w:p>
      <w:pPr>
        <w:ind w:left="1260" w:right="60" w:hanging="415"/>
        <w:spacing w:after="0" w:line="269" w:lineRule="auto"/>
        <w:tabs>
          <w:tab w:leader="none" w:pos="1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fourth of these patent families relates to specific polymorphs of BCT-197. As of January 24, 2019, this patent family included two pending U.S. patent applications and twenty-eight pending foreign patent applications. Mereo expects patents emanating from this family to expire in 2037.</w:t>
      </w:r>
    </w:p>
    <w:p>
      <w:pPr>
        <w:spacing w:after="0" w:line="80" w:lineRule="exact"/>
        <w:rPr>
          <w:rFonts w:ascii="Arial" w:cs="Arial" w:eastAsia="Arial" w:hAnsi="Arial"/>
          <w:sz w:val="17"/>
          <w:szCs w:val="17"/>
          <w:color w:val="auto"/>
        </w:rPr>
      </w:pPr>
    </w:p>
    <w:p>
      <w:pPr>
        <w:ind w:left="1260" w:right="80" w:hanging="415"/>
        <w:spacing w:after="0" w:line="269" w:lineRule="auto"/>
        <w:tabs>
          <w:tab w:leader="none" w:pos="1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fifth of these patent families relates to novel regimes for the prevention of AECOPD and the use of BCT-197 in a specific patient subpopulation. As of January 24, 2019, this patent family included two PCT patent applications. Mereo expects patents emanating from this family to expire in 2038.</w:t>
      </w:r>
    </w:p>
    <w:p>
      <w:pPr>
        <w:spacing w:after="0" w:line="80" w:lineRule="exact"/>
        <w:rPr>
          <w:rFonts w:ascii="Arial" w:cs="Arial" w:eastAsia="Arial" w:hAnsi="Arial"/>
          <w:sz w:val="17"/>
          <w:szCs w:val="17"/>
          <w:color w:val="auto"/>
        </w:rPr>
      </w:pPr>
    </w:p>
    <w:p>
      <w:pPr>
        <w:ind w:left="1260" w:right="340" w:hanging="415"/>
        <w:spacing w:after="0" w:line="316" w:lineRule="auto"/>
        <w:tabs>
          <w:tab w:leader="none" w:pos="1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sixth of these patent families relates to synthetic methods for the production of BCT-197. As of January 24, 2019, this patent family included three U.K. national patent applications. Mereo expects patents emanating from this family to expire in 2039.</w:t>
      </w:r>
    </w:p>
    <w:p>
      <w:pPr>
        <w:spacing w:after="0" w:line="7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000"/>
          </w:cols>
          <w:pgMar w:left="240" w:top="445" w:right="65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BGS-649 (leflutrozole)</w:t>
      </w:r>
    </w:p>
    <w:p>
      <w:pPr>
        <w:spacing w:after="0" w:line="115"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As of January 24, 2019, Mereo’s patent portfolio relating to its product candidate BGS-649 consisted of four issued U.S. patents, 88 issued foreign patents, 11 pending foreign patent applications, and one pending international patent application filed under the PCT. These patents and patent applications include claims directed to BGS-649 formulations the use of BGS-649 in treating hypogonadism according to a specific dosing regimen and combination drug regimens of BGS-649, with expected expiry dates not earlier than between 2032 and 2039. The pending PCT application includes claims directed to the use of BGS-649 in treating endometriosis according to a specific dosing regimen, with an expected expiry date not earlier than 2037.</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patent portfolio relating to Mereo’s product candidate BGS-649 includes three patent families:</w:t>
      </w:r>
    </w:p>
    <w:p>
      <w:pPr>
        <w:spacing w:after="0" w:line="128" w:lineRule="exact"/>
        <w:rPr>
          <w:sz w:val="20"/>
          <w:szCs w:val="20"/>
          <w:color w:val="auto"/>
        </w:rPr>
      </w:pPr>
    </w:p>
    <w:p>
      <w:pPr>
        <w:ind w:left="1260" w:right="200" w:hanging="415"/>
        <w:spacing w:after="0" w:line="301" w:lineRule="auto"/>
        <w:tabs>
          <w:tab w:leader="none" w:pos="12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first of these patent families relates to BGS-649 formulations and to the use of BGS-649 in treating hypogonadism according to a specific dosing regimen. As of January 24, 2019, this patent family included granted patents in Algeria, Australia, Canada, China, Europe (Austria, Belgium, Bulgaria, Croatia, Cyprus, Czech Republic, Denmark, Estonia, Finland, France, Germany, Greece, Hungary, Iceland, Ireland, Italy, Latvia, Liechtenstein, Lithuania, Luxembourg, Malta, Monaco, Norway, Netherlands, Poland, Portugal, Romania, Slovakia, Slovenia, Spain, Sweden, Switzerland, Turkey, and United Kingdom), GCC, Hong Kong, Indonesia, Israel, Japan, Mexico, New Zealand, Russia, Singapore, South Africa, South Korea and the United States. Mereo expects patents in this family to expire in 2032.</w:t>
      </w:r>
    </w:p>
    <w:p>
      <w:pPr>
        <w:spacing w:after="0" w:line="61" w:lineRule="exact"/>
        <w:rPr>
          <w:rFonts w:ascii="Arial" w:cs="Arial" w:eastAsia="Arial" w:hAnsi="Arial"/>
          <w:sz w:val="15"/>
          <w:szCs w:val="15"/>
          <w:color w:val="auto"/>
        </w:rPr>
      </w:pPr>
    </w:p>
    <w:p>
      <w:pPr>
        <w:ind w:left="1260" w:right="20" w:hanging="415"/>
        <w:spacing w:after="0" w:line="269" w:lineRule="auto"/>
        <w:tabs>
          <w:tab w:leader="none" w:pos="1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second of these patent families relates to the use of BGS-649 in treating endometriosis according to a specific dosing regimen. As of January 24, 2019, this patent family included a single PCT patent application. Mereo expects patents emanating from this family to expire in 2037.</w:t>
      </w:r>
    </w:p>
    <w:p>
      <w:pPr>
        <w:spacing w:after="0" w:line="80" w:lineRule="exact"/>
        <w:rPr>
          <w:rFonts w:ascii="Arial" w:cs="Arial" w:eastAsia="Arial" w:hAnsi="Arial"/>
          <w:sz w:val="17"/>
          <w:szCs w:val="17"/>
          <w:color w:val="auto"/>
        </w:rPr>
      </w:pPr>
    </w:p>
    <w:p>
      <w:pPr>
        <w:ind w:left="1260" w:right="60" w:hanging="415"/>
        <w:spacing w:after="0" w:line="284" w:lineRule="auto"/>
        <w:tabs>
          <w:tab w:leader="none" w:pos="1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third of these patent families relates to combination drug regimens of BGS-649. As of January 24, 2019 this patent family included two U.K. national patent applications. Mereo expects patents emanating from this family to expire in 2039.</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OMP-305B83 (navicixizumab)</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As of April 24, 2019, following the Merger, Mereo’s patent portfolio relating to its therapeutic candidate OMP-305B83 consists of 18 issued U.S.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patents and eight pending U.S. patent applications, as well as corresponding patents or patent applications in major foreign jurisdictions.</w:t>
      </w:r>
    </w:p>
    <w:p>
      <w:pPr>
        <w:spacing w:after="0" w:line="206" w:lineRule="exact"/>
        <w:rPr>
          <w:sz w:val="20"/>
          <w:szCs w:val="20"/>
          <w:color w:val="auto"/>
        </w:rPr>
      </w:pPr>
    </w:p>
    <w:p>
      <w:pPr>
        <w:ind w:left="440" w:right="240" w:firstLine="423"/>
        <w:spacing w:after="0" w:line="354" w:lineRule="auto"/>
        <w:rPr>
          <w:sz w:val="20"/>
          <w:szCs w:val="20"/>
          <w:color w:val="auto"/>
        </w:rPr>
      </w:pPr>
      <w:r>
        <w:rPr>
          <w:rFonts w:ascii="Arial" w:cs="Arial" w:eastAsia="Arial" w:hAnsi="Arial"/>
          <w:sz w:val="15"/>
          <w:szCs w:val="15"/>
          <w:color w:val="auto"/>
        </w:rPr>
        <w:t xml:space="preserve">The patent portfolio relating to Mereo’s therapeutic candidate OMP-305B83 contains two core patent families, both of which cover the product </w:t>
      </w:r>
      <w:r>
        <w:rPr>
          <w:rFonts w:ascii="Arial" w:cs="Arial" w:eastAsia="Arial" w:hAnsi="Arial"/>
          <w:sz w:val="15"/>
          <w:szCs w:val="15"/>
          <w:i w:val="1"/>
          <w:iCs w:val="1"/>
          <w:color w:val="auto"/>
        </w:rPr>
        <w:t xml:space="preserve">per se </w:t>
      </w:r>
      <w:r>
        <w:rPr>
          <w:rFonts w:ascii="Arial" w:cs="Arial" w:eastAsia="Arial" w:hAnsi="Arial"/>
          <w:sz w:val="15"/>
          <w:szCs w:val="15"/>
          <w:color w:val="auto"/>
        </w:rPr>
        <w:t>as well as medical uses thereof. Patents that have issued or will issue in these core families are generally expected to expire in 2030-2032.</w:t>
      </w:r>
    </w:p>
    <w:p>
      <w:pPr>
        <w:spacing w:after="0" w:line="113" w:lineRule="exact"/>
        <w:rPr>
          <w:sz w:val="20"/>
          <w:szCs w:val="20"/>
          <w:color w:val="auto"/>
        </w:rPr>
      </w:pPr>
    </w:p>
    <w:p>
      <w:pPr>
        <w:ind w:left="440" w:right="140" w:firstLine="423"/>
        <w:spacing w:after="0" w:line="284" w:lineRule="auto"/>
        <w:rPr>
          <w:sz w:val="20"/>
          <w:szCs w:val="20"/>
          <w:color w:val="auto"/>
        </w:rPr>
      </w:pPr>
      <w:r>
        <w:rPr>
          <w:rFonts w:ascii="Arial" w:cs="Arial" w:eastAsia="Arial" w:hAnsi="Arial"/>
          <w:sz w:val="17"/>
          <w:szCs w:val="17"/>
          <w:color w:val="auto"/>
        </w:rPr>
        <w:t>The portfolio also includes several other patent families including issued U.S. and foreign patents and pending applications that relate to specific methods of treatment using OMP-305B83 which are set to expire between 2030-2039.</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OMP-313M32 (etigilimab)</w:t>
      </w:r>
    </w:p>
    <w:p>
      <w:pPr>
        <w:spacing w:after="0" w:line="115" w:lineRule="exact"/>
        <w:rPr>
          <w:sz w:val="20"/>
          <w:szCs w:val="20"/>
          <w:color w:val="auto"/>
        </w:rPr>
      </w:pPr>
    </w:p>
    <w:p>
      <w:pPr>
        <w:ind w:left="440" w:right="180" w:firstLine="423"/>
        <w:spacing w:after="0" w:line="284" w:lineRule="auto"/>
        <w:rPr>
          <w:sz w:val="20"/>
          <w:szCs w:val="20"/>
          <w:color w:val="auto"/>
        </w:rPr>
      </w:pPr>
      <w:r>
        <w:rPr>
          <w:rFonts w:ascii="Arial" w:cs="Arial" w:eastAsia="Arial" w:hAnsi="Arial"/>
          <w:sz w:val="17"/>
          <w:szCs w:val="17"/>
          <w:color w:val="auto"/>
        </w:rPr>
        <w:t>As of April 24, 2019, following the Merger, Mereo’s patent portfolio relating to its therapeutic candidate OMP-313M32 consists of two pending U.S. patent applications, as well as corresponding patent applications in major foreign jurisdictions.</w:t>
      </w:r>
    </w:p>
    <w:p>
      <w:pPr>
        <w:spacing w:after="0" w:line="159"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The patent portfolio relating to Mereo’s therapeutic candidate OMP-313M32 contains one core patent family that covers the product per se as well as medical uses thereof. Patents that issue from this core family are generally expected to expire in 2036.</w:t>
      </w:r>
    </w:p>
    <w:p>
      <w:pPr>
        <w:spacing w:after="0" w:line="159" w:lineRule="exact"/>
        <w:rPr>
          <w:sz w:val="20"/>
          <w:szCs w:val="20"/>
          <w:color w:val="auto"/>
        </w:rPr>
      </w:pPr>
    </w:p>
    <w:p>
      <w:pPr>
        <w:ind w:left="440" w:right="120" w:firstLine="423"/>
        <w:spacing w:after="0" w:line="316" w:lineRule="auto"/>
        <w:rPr>
          <w:sz w:val="20"/>
          <w:szCs w:val="20"/>
          <w:color w:val="auto"/>
        </w:rPr>
      </w:pPr>
      <w:r>
        <w:rPr>
          <w:rFonts w:ascii="Arial" w:cs="Arial" w:eastAsia="Arial" w:hAnsi="Arial"/>
          <w:sz w:val="16"/>
          <w:szCs w:val="16"/>
          <w:color w:val="auto"/>
        </w:rPr>
        <w:t>The portfolio also includes a second patent family that relates to specific methods of treatment using OMP-313M32. This patent family currently consists of a pending PCT application, and any patents that issue from this family are generally expected to expire in 2037.</w:t>
      </w:r>
    </w:p>
    <w:p>
      <w:pPr>
        <w:spacing w:after="0" w:line="137"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Individual patents extend for varying periods depending on the date of filing of the patent application or the date of patent issuance and the legal term of patents in the countries in which they are obtained. Generally, patents issued</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980"/>
          </w:cols>
          <w:pgMar w:left="240" w:top="445" w:right="67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line="276" w:lineRule="auto"/>
        <w:rPr>
          <w:sz w:val="20"/>
          <w:szCs w:val="20"/>
          <w:color w:val="auto"/>
        </w:rPr>
      </w:pPr>
      <w:r>
        <w:rPr>
          <w:rFonts w:ascii="Arial" w:cs="Arial" w:eastAsia="Arial" w:hAnsi="Arial"/>
          <w:sz w:val="16"/>
          <w:szCs w:val="16"/>
          <w:color w:val="auto"/>
        </w:rPr>
        <w:t>for regularly filed applications in the United States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172" w:lineRule="exact"/>
        <w:rPr>
          <w:sz w:val="20"/>
          <w:szCs w:val="20"/>
          <w:color w:val="auto"/>
        </w:rPr>
      </w:pPr>
    </w:p>
    <w:p>
      <w:pPr>
        <w:ind w:left="440" w:right="20" w:firstLine="423"/>
        <w:spacing w:after="0" w:line="297" w:lineRule="auto"/>
        <w:rPr>
          <w:sz w:val="20"/>
          <w:szCs w:val="20"/>
          <w:color w:val="auto"/>
        </w:rPr>
      </w:pPr>
      <w:r>
        <w:rPr>
          <w:rFonts w:ascii="Arial" w:cs="Arial" w:eastAsia="Arial" w:hAnsi="Arial"/>
          <w:sz w:val="15"/>
          <w:szCs w:val="15"/>
          <w:color w:val="auto"/>
        </w:rPr>
        <w:t>In addition to patent protection, Mereo also relies upon trademarks, trade secrets and know-how, and continuing technological innovation, to develop and maintain its competitive position. Mereo seeks to protect its proprietary information, in part, using confidentiality agreements with its collaborators, employees and consultants and invention assignment agreements with its employees. Mereo also has confidentiality agreements or invention assignment agreements with its collaborators and selected consultants. These agreements are designed to protect Mereo’s proprietary information and, in the case of the invention assignment agreements, to grant Mereo ownership of technologies that are developed through a relationship with a third party. These agreements may be breached, and Mereo may not have adequate remedies for any breach. In addition, Mereo’s trade secrets may otherwise become known or be independently discovered by competitors. To the extent that Mereo’s collaborators, employees and consultants use intellectual property owned by others in their work for Mereo, disputes may arise as to the rights in related or resulting know-how and inventions.</w:t>
      </w:r>
    </w:p>
    <w:p>
      <w:pPr>
        <w:spacing w:after="0" w:line="157" w:lineRule="exact"/>
        <w:rPr>
          <w:sz w:val="20"/>
          <w:szCs w:val="20"/>
          <w:color w:val="auto"/>
        </w:rPr>
      </w:pPr>
    </w:p>
    <w:p>
      <w:pPr>
        <w:ind w:left="440" w:right="40" w:firstLine="423"/>
        <w:spacing w:after="0" w:line="259" w:lineRule="auto"/>
        <w:rPr>
          <w:sz w:val="20"/>
          <w:szCs w:val="20"/>
          <w:color w:val="auto"/>
        </w:rPr>
      </w:pPr>
      <w:r>
        <w:rPr>
          <w:rFonts w:ascii="Arial" w:cs="Arial" w:eastAsia="Arial" w:hAnsi="Arial"/>
          <w:sz w:val="17"/>
          <w:szCs w:val="17"/>
          <w:color w:val="auto"/>
        </w:rPr>
        <w:t>Mereo’s commercial success will also depend in part on not infringing upon the proprietary rights of third parties. It is uncertain whether the issuance of any third-party patent would require Mereo to alter its development or commercial strategies, or Mereo product candidates or processes, obtain licenses or cease certain activities. Mereo’s breach of any license agreements or failure to obtain a license to proprietary rights that Mereo may require to develop or commercialize its product candidates may have an adverse impact on Mereo. If third parties have prepared and filed patent applications prior to March 16, 2013 in the United States that also claim technology to which Mereo has rights, Mereo may have to participate in interference proceedings in the USPTO, to determine priority of invention. For more information, please see “Item 3. Key Information—D. Risk Factors —Risks Related to Intellectual Property and Data Protection.”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Government Regulation</w:t>
      </w:r>
    </w:p>
    <w:p>
      <w:pPr>
        <w:spacing w:after="0" w:line="121" w:lineRule="exact"/>
        <w:rPr>
          <w:sz w:val="20"/>
          <w:szCs w:val="20"/>
          <w:color w:val="auto"/>
        </w:rPr>
      </w:pPr>
    </w:p>
    <w:p>
      <w:pPr>
        <w:ind w:left="440" w:right="60" w:firstLine="423"/>
        <w:spacing w:after="0" w:line="260" w:lineRule="auto"/>
        <w:rPr>
          <w:sz w:val="20"/>
          <w:szCs w:val="20"/>
          <w:color w:val="auto"/>
        </w:rPr>
      </w:pPr>
      <w:r>
        <w:rPr>
          <w:rFonts w:ascii="Arial" w:cs="Arial" w:eastAsia="Arial" w:hAnsi="Arial"/>
          <w:sz w:val="17"/>
          <w:szCs w:val="17"/>
          <w:color w:val="auto"/>
        </w:rPr>
        <w:t>Among others, the FDA, the EMA, U.S. Department of Health and Human Services Office of Inspector General, CMS and comparable regulatory authorities in state and local jurisdictions and in other countries impose substantial and burdensome requirements upon companies involved in the clinical development, manufacture, marketing and distribution of drugs such as those Mereo is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Mereo’s product candidates.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U.S. Government Regulation</w:t>
      </w:r>
    </w:p>
    <w:p>
      <w:pPr>
        <w:spacing w:after="0" w:line="115" w:lineRule="exact"/>
        <w:rPr>
          <w:sz w:val="20"/>
          <w:szCs w:val="20"/>
          <w:color w:val="auto"/>
        </w:rPr>
      </w:pPr>
    </w:p>
    <w:p>
      <w:pPr>
        <w:ind w:left="440" w:right="60" w:firstLine="423"/>
        <w:spacing w:after="0" w:line="284" w:lineRule="auto"/>
        <w:rPr>
          <w:sz w:val="20"/>
          <w:szCs w:val="20"/>
          <w:color w:val="auto"/>
        </w:rPr>
      </w:pPr>
      <w:r>
        <w:rPr>
          <w:rFonts w:ascii="Arial" w:cs="Arial" w:eastAsia="Arial" w:hAnsi="Arial"/>
          <w:sz w:val="17"/>
          <w:szCs w:val="17"/>
          <w:color w:val="auto"/>
        </w:rPr>
        <w:t>In the United States, the FDA regulates drugs under the FDCA and its implementing regulations, and biological products, or biologics, under both the FDCA and the PHSA and its implementing regulations.</w:t>
      </w:r>
    </w:p>
    <w:p>
      <w:pPr>
        <w:spacing w:after="0" w:line="159" w:lineRule="exact"/>
        <w:rPr>
          <w:sz w:val="20"/>
          <w:szCs w:val="20"/>
          <w:color w:val="auto"/>
        </w:rPr>
      </w:pPr>
    </w:p>
    <w:p>
      <w:pPr>
        <w:ind w:left="440" w:right="40" w:firstLine="423"/>
        <w:spacing w:after="0" w:line="260" w:lineRule="auto"/>
        <w:rPr>
          <w:sz w:val="20"/>
          <w:szCs w:val="20"/>
          <w:color w:val="auto"/>
        </w:rPr>
      </w:pPr>
      <w:r>
        <w:rPr>
          <w:rFonts w:ascii="Arial" w:cs="Arial" w:eastAsia="Arial" w:hAnsi="Arial"/>
          <w:sz w:val="17"/>
          <w:szCs w:val="17"/>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000"/>
          </w:cols>
          <w:pgMar w:left="240" w:top="445" w:right="65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process required by the FDA before a drug or biologic may be marketed in the United States generally involves the following:</w:t>
      </w:r>
    </w:p>
    <w:p>
      <w:pPr>
        <w:spacing w:after="0" w:line="128" w:lineRule="exact"/>
        <w:rPr>
          <w:sz w:val="20"/>
          <w:szCs w:val="20"/>
          <w:color w:val="auto"/>
        </w:rPr>
      </w:pPr>
    </w:p>
    <w:p>
      <w:pPr>
        <w:ind w:left="1260" w:hanging="415"/>
        <w:spacing w:after="0"/>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GLP regulations;</w:t>
      </w:r>
    </w:p>
    <w:p>
      <w:pPr>
        <w:spacing w:after="0" w:line="128" w:lineRule="exact"/>
        <w:rPr>
          <w:rFonts w:ascii="Arial" w:cs="Arial" w:eastAsia="Arial" w:hAnsi="Arial"/>
          <w:sz w:val="17"/>
          <w:szCs w:val="17"/>
          <w:color w:val="auto"/>
        </w:rPr>
      </w:pPr>
    </w:p>
    <w:p>
      <w:pPr>
        <w:ind w:left="1260" w:right="300" w:hanging="415"/>
        <w:spacing w:after="0" w:line="284" w:lineRule="auto"/>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(an “IND”), which must become effective before human clinical trials may begin;</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approval by an IRB at each clinical site before each trial may be initiated;</w:t>
      </w:r>
    </w:p>
    <w:p>
      <w:pPr>
        <w:spacing w:after="0" w:line="128" w:lineRule="exact"/>
        <w:rPr>
          <w:rFonts w:ascii="Arial" w:cs="Arial" w:eastAsia="Arial" w:hAnsi="Arial"/>
          <w:sz w:val="17"/>
          <w:szCs w:val="17"/>
          <w:color w:val="auto"/>
        </w:rPr>
      </w:pPr>
    </w:p>
    <w:p>
      <w:pPr>
        <w:ind w:left="1260" w:right="80" w:hanging="415"/>
        <w:spacing w:after="0" w:line="284" w:lineRule="auto"/>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GCP requirements to establish the safety and efficacy of the proposed drug product for each indication;</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submission to the FDA of an NDA or BLA;</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28" w:lineRule="exact"/>
        <w:rPr>
          <w:rFonts w:ascii="Arial" w:cs="Arial" w:eastAsia="Arial" w:hAnsi="Arial"/>
          <w:sz w:val="17"/>
          <w:szCs w:val="17"/>
          <w:color w:val="auto"/>
        </w:rPr>
      </w:pPr>
    </w:p>
    <w:p>
      <w:pPr>
        <w:ind w:left="1260" w:right="180" w:hanging="415"/>
        <w:spacing w:after="0" w:line="269" w:lineRule="auto"/>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80" w:lineRule="exact"/>
        <w:rPr>
          <w:rFonts w:ascii="Arial" w:cs="Arial" w:eastAsia="Arial" w:hAnsi="Arial"/>
          <w:sz w:val="17"/>
          <w:szCs w:val="17"/>
          <w:color w:val="auto"/>
        </w:rPr>
      </w:pPr>
    </w:p>
    <w:p>
      <w:pPr>
        <w:ind w:left="1260" w:hanging="415"/>
        <w:spacing w:after="0" w:line="284" w:lineRule="auto"/>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satisfactory completion of potential FDA audits of clinical trials sites and the sponsor’s clinical trial records to assure compliance with GCPs and the integrity of the clinical data;</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payment of user fees and FDA review and approval of the NDA or BLA; and</w:t>
      </w:r>
    </w:p>
    <w:p>
      <w:pPr>
        <w:spacing w:after="0" w:line="128" w:lineRule="exact"/>
        <w:rPr>
          <w:rFonts w:ascii="Arial" w:cs="Arial" w:eastAsia="Arial" w:hAnsi="Arial"/>
          <w:sz w:val="17"/>
          <w:szCs w:val="17"/>
          <w:color w:val="auto"/>
        </w:rPr>
      </w:pPr>
    </w:p>
    <w:p>
      <w:pPr>
        <w:ind w:left="1260" w:hanging="415"/>
        <w:spacing w:after="0" w:line="284" w:lineRule="auto"/>
        <w:tabs>
          <w:tab w:leader="none" w:pos="1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the potential requirement to implement a REMS and the potential requirement to conduct post-approval studies.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115" w:lineRule="exact"/>
        <w:rPr>
          <w:sz w:val="20"/>
          <w:szCs w:val="20"/>
          <w:color w:val="auto"/>
        </w:rPr>
      </w:pPr>
    </w:p>
    <w:p>
      <w:pPr>
        <w:ind w:left="440" w:right="60" w:firstLine="423"/>
        <w:spacing w:after="0" w:line="278" w:lineRule="auto"/>
        <w:rPr>
          <w:sz w:val="20"/>
          <w:szCs w:val="20"/>
          <w:color w:val="auto"/>
        </w:rPr>
      </w:pPr>
      <w:r>
        <w:rPr>
          <w:rFonts w:ascii="Arial" w:cs="Arial" w:eastAsia="Arial" w:hAnsi="Arial"/>
          <w:sz w:val="16"/>
          <w:szCs w:val="16"/>
          <w:color w:val="auto"/>
        </w:rPr>
        <w:t>Pre-clinical studies include laboratory evaluation of product chemistry, toxicity and formulation, as well as animal studies to assess potential safety and efficacy. The conduct of the pre-clinical tests must 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Clinical Trials</w:t>
      </w:r>
    </w:p>
    <w:p>
      <w:pPr>
        <w:spacing w:after="0" w:line="115" w:lineRule="exact"/>
        <w:rPr>
          <w:sz w:val="20"/>
          <w:szCs w:val="20"/>
          <w:color w:val="auto"/>
        </w:rPr>
      </w:pPr>
    </w:p>
    <w:p>
      <w:pPr>
        <w:ind w:left="440" w:right="140" w:firstLine="423"/>
        <w:spacing w:after="0" w:line="258" w:lineRule="auto"/>
        <w:rPr>
          <w:sz w:val="20"/>
          <w:szCs w:val="20"/>
          <w:color w:val="auto"/>
        </w:rPr>
      </w:pPr>
      <w:r>
        <w:rPr>
          <w:rFonts w:ascii="Arial" w:cs="Arial" w:eastAsia="Arial" w:hAnsi="Arial"/>
          <w:sz w:val="17"/>
          <w:szCs w:val="17"/>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website, www.clinicaltrials.gov.</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Human clinical trials are typically conducted in three sequential phases, which may overlap or be combined:</w:t>
      </w:r>
    </w:p>
    <w:p>
      <w:pPr>
        <w:spacing w:after="0" w:line="128" w:lineRule="exact"/>
        <w:rPr>
          <w:sz w:val="20"/>
          <w:szCs w:val="20"/>
          <w:color w:val="auto"/>
        </w:rPr>
      </w:pPr>
    </w:p>
    <w:p>
      <w:pPr>
        <w:ind w:left="1260" w:right="100" w:hanging="415"/>
        <w:spacing w:after="0" w:line="354" w:lineRule="auto"/>
        <w:tabs>
          <w:tab w:leader="none" w:pos="12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980"/>
          </w:cols>
          <w:pgMar w:left="240" w:top="445" w:right="67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480" w:hanging="415"/>
        <w:spacing w:after="0" w:line="354" w:lineRule="auto"/>
        <w:tabs>
          <w:tab w:leader="none" w:pos="12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2" w:lineRule="exact"/>
        <w:rPr>
          <w:rFonts w:ascii="Arial" w:cs="Arial" w:eastAsia="Arial" w:hAnsi="Arial"/>
          <w:sz w:val="15"/>
          <w:szCs w:val="15"/>
          <w:color w:val="auto"/>
        </w:rPr>
      </w:pPr>
    </w:p>
    <w:p>
      <w:pPr>
        <w:ind w:left="1260" w:right="160" w:hanging="415"/>
        <w:spacing w:after="0" w:line="293" w:lineRule="auto"/>
        <w:tabs>
          <w:tab w:leader="none" w:pos="12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55" w:lineRule="exact"/>
        <w:rPr>
          <w:sz w:val="20"/>
          <w:szCs w:val="20"/>
          <w:color w:val="auto"/>
        </w:rPr>
      </w:pPr>
    </w:p>
    <w:p>
      <w:pPr>
        <w:ind w:left="440" w:right="20" w:firstLine="423"/>
        <w:spacing w:after="0" w:line="304" w:lineRule="auto"/>
        <w:rPr>
          <w:sz w:val="20"/>
          <w:szCs w:val="20"/>
          <w:color w:val="auto"/>
        </w:rPr>
      </w:pPr>
      <w:r>
        <w:rPr>
          <w:rFonts w:ascii="Arial" w:cs="Arial" w:eastAsia="Arial" w:hAnsi="Arial"/>
          <w:sz w:val="15"/>
          <w:szCs w:val="15"/>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Special FDA Expedited Review and Approval</w:t>
      </w:r>
    </w:p>
    <w:p>
      <w:pPr>
        <w:spacing w:after="0" w:line="115"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176" w:lineRule="exact"/>
        <w:rPr>
          <w:sz w:val="20"/>
          <w:szCs w:val="20"/>
          <w:color w:val="auto"/>
        </w:rPr>
      </w:pPr>
    </w:p>
    <w:p>
      <w:pPr>
        <w:ind w:left="440" w:firstLine="423"/>
        <w:spacing w:after="0" w:line="301" w:lineRule="auto"/>
        <w:rPr>
          <w:sz w:val="20"/>
          <w:szCs w:val="20"/>
          <w:color w:val="auto"/>
        </w:rPr>
      </w:pPr>
      <w:r>
        <w:rPr>
          <w:rFonts w:ascii="Arial" w:cs="Arial" w:eastAsia="Arial" w:hAnsi="Arial"/>
          <w:sz w:val="15"/>
          <w:szCs w:val="15"/>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152"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In addition, under the provisions of the Food and Drug Administration Safety and Innovation Act passed in July 2012,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81" w:lineRule="exact"/>
        <w:rPr>
          <w:sz w:val="20"/>
          <w:szCs w:val="20"/>
          <w:color w:val="auto"/>
        </w:rPr>
      </w:pPr>
    </w:p>
    <w:p>
      <w:pPr>
        <w:ind w:left="440" w:firstLine="423"/>
        <w:spacing w:after="0" w:line="278" w:lineRule="auto"/>
        <w:rPr>
          <w:sz w:val="20"/>
          <w:szCs w:val="20"/>
          <w:color w:val="auto"/>
        </w:rPr>
      </w:pPr>
      <w:r>
        <w:rPr>
          <w:rFonts w:ascii="Arial" w:cs="Arial" w:eastAsia="Arial" w:hAnsi="Arial"/>
          <w:sz w:val="16"/>
          <w:szCs w:val="16"/>
          <w:color w:val="auto"/>
        </w:rPr>
        <w:t>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166"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10 months for a standard review. Most products that are eligible for fast-track or breakthrough therapy designation are also likely to be considered appropriate to receive a priority review.</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980"/>
          </w:cols>
          <w:pgMar w:left="240" w:top="445" w:right="67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Orphan Product Designation and Exclusivity</w:t>
      </w:r>
    </w:p>
    <w:p>
      <w:pPr>
        <w:spacing w:after="0" w:line="115" w:lineRule="exact"/>
        <w:rPr>
          <w:sz w:val="20"/>
          <w:szCs w:val="20"/>
          <w:color w:val="auto"/>
        </w:rPr>
      </w:pPr>
    </w:p>
    <w:p>
      <w:pPr>
        <w:ind w:left="440" w:right="20" w:firstLine="423"/>
        <w:spacing w:after="0" w:line="259" w:lineRule="auto"/>
        <w:rPr>
          <w:sz w:val="20"/>
          <w:szCs w:val="20"/>
          <w:color w:val="auto"/>
        </w:rPr>
      </w:pPr>
      <w:r>
        <w:rPr>
          <w:rFonts w:ascii="Arial" w:cs="Arial" w:eastAsia="Arial" w:hAnsi="Arial"/>
          <w:sz w:val="17"/>
          <w:szCs w:val="17"/>
          <w:color w:val="auto"/>
        </w:rPr>
        <w:t>Under the Orphan Drug Act, the FDA may grant orphan designation to a drug or biologic product candidate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Mereo has been granted orphan product designation by the FDA for Mereo’s product candidate BPS-804 for the treatment of OI. Orphan product designation does not convey any advantage in or shorten the duration of the regulatory review and approval process.</w:t>
      </w:r>
    </w:p>
    <w:p>
      <w:pPr>
        <w:spacing w:after="0" w:line="181" w:lineRule="exact"/>
        <w:rPr>
          <w:sz w:val="20"/>
          <w:szCs w:val="20"/>
          <w:color w:val="auto"/>
        </w:rPr>
      </w:pPr>
    </w:p>
    <w:p>
      <w:pPr>
        <w:ind w:left="440" w:right="100" w:firstLine="423"/>
        <w:spacing w:after="0" w:line="295" w:lineRule="auto"/>
        <w:rPr>
          <w:sz w:val="20"/>
          <w:szCs w:val="20"/>
          <w:color w:val="auto"/>
        </w:rPr>
      </w:pPr>
      <w:r>
        <w:rPr>
          <w:rFonts w:ascii="Arial" w:cs="Arial" w:eastAsia="Arial" w:hAnsi="Arial"/>
          <w:sz w:val="15"/>
          <w:szCs w:val="15"/>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candidate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Marketing Approval</w:t>
      </w:r>
    </w:p>
    <w:p>
      <w:pPr>
        <w:spacing w:after="0" w:line="115" w:lineRule="exact"/>
        <w:rPr>
          <w:sz w:val="20"/>
          <w:szCs w:val="20"/>
          <w:color w:val="auto"/>
        </w:rPr>
      </w:pPr>
    </w:p>
    <w:p>
      <w:pPr>
        <w:ind w:left="440" w:right="20" w:firstLine="423"/>
        <w:spacing w:after="0" w:line="276"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172"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In addition, under the Pediatric Research Equity Act of 2003, as amended and reauthorized, certain NDAs, BLAs or supplements to an NDA or BLA must contain data that are adequate to assess the safety and effectiveness of the product candidate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0" w:lineRule="exact"/>
        <w:rPr>
          <w:sz w:val="20"/>
          <w:szCs w:val="20"/>
          <w:color w:val="auto"/>
        </w:rPr>
      </w:pPr>
    </w:p>
    <w:p>
      <w:pPr>
        <w:ind w:left="440" w:right="100" w:firstLine="423"/>
        <w:spacing w:after="0" w:line="264" w:lineRule="auto"/>
        <w:rPr>
          <w:sz w:val="20"/>
          <w:szCs w:val="20"/>
          <w:color w:val="auto"/>
        </w:rPr>
      </w:pPr>
      <w:r>
        <w:rPr>
          <w:rFonts w:ascii="Arial" w:cs="Arial" w:eastAsia="Arial" w:hAnsi="Arial"/>
          <w:sz w:val="17"/>
          <w:szCs w:val="17"/>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 insert, physician communication plans, assessment plans, and/or elements to assure safe use, such as restricted distribution methods, patient registries, or other risk minimization tools.</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000"/>
          </w:cols>
          <w:pgMar w:left="240" w:top="445" w:right="65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firstLine="423"/>
        <w:spacing w:after="0" w:line="259" w:lineRule="auto"/>
        <w:rPr>
          <w:sz w:val="20"/>
          <w:szCs w:val="20"/>
          <w:color w:val="auto"/>
        </w:rPr>
      </w:pPr>
      <w:r>
        <w:rPr>
          <w:rFonts w:ascii="Arial" w:cs="Arial" w:eastAsia="Arial" w:hAnsi="Arial"/>
          <w:sz w:val="17"/>
          <w:szCs w:val="17"/>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181" w:lineRule="exact"/>
        <w:rPr>
          <w:sz w:val="20"/>
          <w:szCs w:val="20"/>
          <w:color w:val="auto"/>
        </w:rPr>
      </w:pPr>
    </w:p>
    <w:p>
      <w:pPr>
        <w:ind w:left="440" w:right="200" w:firstLine="423"/>
        <w:spacing w:after="0" w:line="264" w:lineRule="auto"/>
        <w:rPr>
          <w:sz w:val="20"/>
          <w:szCs w:val="20"/>
          <w:color w:val="auto"/>
        </w:rPr>
      </w:pPr>
      <w:r>
        <w:rPr>
          <w:rFonts w:ascii="Arial" w:cs="Arial" w:eastAsia="Arial" w:hAnsi="Arial"/>
          <w:sz w:val="17"/>
          <w:szCs w:val="17"/>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6" w:lineRule="exact"/>
        <w:rPr>
          <w:sz w:val="20"/>
          <w:szCs w:val="20"/>
          <w:color w:val="auto"/>
        </w:rPr>
      </w:pPr>
    </w:p>
    <w:p>
      <w:pPr>
        <w:ind w:left="440" w:right="140" w:firstLine="423"/>
        <w:spacing w:after="0" w:line="310" w:lineRule="auto"/>
        <w:rPr>
          <w:sz w:val="20"/>
          <w:szCs w:val="20"/>
          <w:color w:val="auto"/>
        </w:rPr>
      </w:pPr>
      <w:r>
        <w:rPr>
          <w:rFonts w:ascii="Arial" w:cs="Arial" w:eastAsia="Arial" w:hAnsi="Arial"/>
          <w:sz w:val="15"/>
          <w:szCs w:val="15"/>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145" w:lineRule="exact"/>
        <w:rPr>
          <w:sz w:val="20"/>
          <w:szCs w:val="20"/>
          <w:color w:val="auto"/>
        </w:rPr>
      </w:pPr>
    </w:p>
    <w:p>
      <w:pPr>
        <w:ind w:left="440" w:right="40" w:firstLine="423"/>
        <w:spacing w:after="0" w:line="259" w:lineRule="auto"/>
        <w:rPr>
          <w:sz w:val="20"/>
          <w:szCs w:val="20"/>
          <w:color w:val="auto"/>
        </w:rPr>
      </w:pPr>
      <w:r>
        <w:rPr>
          <w:rFonts w:ascii="Arial" w:cs="Arial" w:eastAsia="Arial" w:hAnsi="Arial"/>
          <w:sz w:val="17"/>
          <w:szCs w:val="17"/>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details specific conditions that must be met in order to secure final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81" w:lineRule="exact"/>
        <w:rPr>
          <w:sz w:val="20"/>
          <w:szCs w:val="20"/>
          <w:color w:val="auto"/>
        </w:rPr>
      </w:pPr>
    </w:p>
    <w:p>
      <w:pPr>
        <w:ind w:left="440" w:right="20" w:firstLine="423"/>
        <w:spacing w:after="0" w:line="278" w:lineRule="auto"/>
        <w:rPr>
          <w:sz w:val="20"/>
          <w:szCs w:val="20"/>
          <w:color w:val="auto"/>
        </w:rPr>
      </w:pPr>
      <w:r>
        <w:rPr>
          <w:rFonts w:ascii="Arial" w:cs="Arial" w:eastAsia="Arial" w:hAnsi="Arial"/>
          <w:sz w:val="16"/>
          <w:szCs w:val="16"/>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15" w:lineRule="exact"/>
        <w:rPr>
          <w:sz w:val="20"/>
          <w:szCs w:val="20"/>
          <w:color w:val="auto"/>
        </w:rPr>
      </w:pPr>
    </w:p>
    <w:p>
      <w:pPr>
        <w:ind w:left="440" w:firstLine="423"/>
        <w:spacing w:after="0" w:line="304" w:lineRule="auto"/>
        <w:rPr>
          <w:sz w:val="20"/>
          <w:szCs w:val="20"/>
          <w:color w:val="auto"/>
        </w:rPr>
      </w:pPr>
      <w:r>
        <w:rPr>
          <w:rFonts w:ascii="Arial" w:cs="Arial" w:eastAsia="Arial" w:hAnsi="Arial"/>
          <w:sz w:val="15"/>
          <w:szCs w:val="15"/>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51"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980"/>
          </w:cols>
          <w:pgMar w:left="240" w:top="445" w:right="67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60" w:firstLine="423"/>
        <w:spacing w:after="0" w:line="279" w:lineRule="auto"/>
        <w:rPr>
          <w:sz w:val="20"/>
          <w:szCs w:val="20"/>
          <w:color w:val="auto"/>
        </w:rPr>
      </w:pPr>
      <w:r>
        <w:rPr>
          <w:rFonts w:ascii="Arial" w:cs="Arial" w:eastAsia="Arial" w:hAnsi="Arial"/>
          <w:sz w:val="16"/>
          <w:szCs w:val="16"/>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7" w:lineRule="exact"/>
        <w:rPr>
          <w:sz w:val="20"/>
          <w:szCs w:val="20"/>
          <w:color w:val="auto"/>
        </w:rPr>
      </w:pPr>
    </w:p>
    <w:p>
      <w:pPr>
        <w:ind w:left="440" w:right="120" w:firstLine="423"/>
        <w:spacing w:after="0" w:line="281"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260" w:hanging="415"/>
        <w:spacing w:after="0"/>
        <w:tabs>
          <w:tab w:leader="none" w:pos="12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139" w:lineRule="exact"/>
        <w:rPr>
          <w:rFonts w:ascii="Arial" w:cs="Arial" w:eastAsia="Arial" w:hAnsi="Arial"/>
          <w:sz w:val="16"/>
          <w:szCs w:val="16"/>
          <w:color w:val="auto"/>
        </w:rPr>
      </w:pPr>
    </w:p>
    <w:p>
      <w:pPr>
        <w:ind w:left="1260" w:hanging="415"/>
        <w:spacing w:after="0"/>
        <w:tabs>
          <w:tab w:leader="none" w:pos="1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fines, warning letters or holds on post-approval clinical trials;</w:t>
      </w:r>
    </w:p>
    <w:p>
      <w:pPr>
        <w:spacing w:after="0" w:line="128" w:lineRule="exact"/>
        <w:rPr>
          <w:rFonts w:ascii="Arial" w:cs="Arial" w:eastAsia="Arial" w:hAnsi="Arial"/>
          <w:sz w:val="17"/>
          <w:szCs w:val="17"/>
          <w:color w:val="auto"/>
        </w:rPr>
      </w:pPr>
    </w:p>
    <w:p>
      <w:pPr>
        <w:ind w:left="1260" w:right="580" w:hanging="415"/>
        <w:spacing w:after="0" w:line="284" w:lineRule="auto"/>
        <w:tabs>
          <w:tab w:leader="none" w:pos="1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product approvals;</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consent decrees, corporate integrity agreements, debarment, or exclusion from federal healthcare programs;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mandated modification of promotional materials and labeling and the issuance of corrective information; or</w:t>
      </w:r>
    </w:p>
    <w:p>
      <w:pPr>
        <w:spacing w:after="0" w:line="128" w:lineRule="exact"/>
        <w:rPr>
          <w:rFonts w:ascii="Arial" w:cs="Arial" w:eastAsia="Arial" w:hAnsi="Arial"/>
          <w:sz w:val="17"/>
          <w:szCs w:val="17"/>
          <w:color w:val="auto"/>
        </w:rPr>
      </w:pPr>
    </w:p>
    <w:p>
      <w:pPr>
        <w:ind w:left="1260" w:right="140" w:hanging="415"/>
        <w:spacing w:after="0" w:line="284" w:lineRule="auto"/>
        <w:tabs>
          <w:tab w:leader="none" w:pos="1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FDA or other regulatory authorities may issue safety alerts, “Dear Healthcare Provider” letters, press releases or other communications containing warnings or other safety information about the product.</w:t>
      </w:r>
    </w:p>
    <w:p>
      <w:pPr>
        <w:spacing w:after="0" w:line="159" w:lineRule="exact"/>
        <w:rPr>
          <w:sz w:val="20"/>
          <w:szCs w:val="20"/>
          <w:color w:val="auto"/>
        </w:rPr>
      </w:pPr>
    </w:p>
    <w:p>
      <w:pPr>
        <w:jc w:val="both"/>
        <w:ind w:left="440" w:right="180" w:firstLine="423"/>
        <w:spacing w:after="0" w:line="264"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Foreign Government Regulation</w:t>
      </w:r>
    </w:p>
    <w:p>
      <w:pPr>
        <w:spacing w:after="0" w:line="115" w:lineRule="exact"/>
        <w:rPr>
          <w:sz w:val="20"/>
          <w:szCs w:val="20"/>
          <w:color w:val="auto"/>
        </w:rPr>
      </w:pPr>
    </w:p>
    <w:p>
      <w:pPr>
        <w:ind w:left="440" w:right="20" w:firstLine="423"/>
        <w:spacing w:after="0" w:line="293" w:lineRule="auto"/>
        <w:rPr>
          <w:sz w:val="20"/>
          <w:szCs w:val="20"/>
          <w:color w:val="auto"/>
        </w:rPr>
      </w:pPr>
      <w:r>
        <w:rPr>
          <w:rFonts w:ascii="Arial" w:cs="Arial" w:eastAsia="Arial" w:hAnsi="Arial"/>
          <w:sz w:val="16"/>
          <w:szCs w:val="16"/>
          <w:color w:val="auto"/>
        </w:rPr>
        <w:t>Mereo’s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55" w:lineRule="exact"/>
        <w:rPr>
          <w:sz w:val="20"/>
          <w:szCs w:val="20"/>
          <w:color w:val="auto"/>
        </w:rPr>
      </w:pPr>
    </w:p>
    <w:p>
      <w:pPr>
        <w:ind w:left="440" w:right="60" w:firstLine="423"/>
        <w:spacing w:after="0" w:line="264" w:lineRule="auto"/>
        <w:rPr>
          <w:sz w:val="20"/>
          <w:szCs w:val="20"/>
          <w:color w:val="auto"/>
        </w:rPr>
      </w:pPr>
      <w:r>
        <w:rPr>
          <w:rFonts w:ascii="Arial" w:cs="Arial" w:eastAsia="Arial" w:hAnsi="Arial"/>
          <w:sz w:val="17"/>
          <w:szCs w:val="17"/>
          <w:color w:val="auto"/>
        </w:rPr>
        <w:t>In order to market Mereo’s future products in the European Economic Area (which is comprised of the 28 Member States of the EU plus Norway, Iceland and Liechtenstein) (the “EEA”), and many other foreign jurisdictions, Mereo must obtain separate regulatory approvals. More concretely, in the EEA, medicinal products can only be commercialized after obtaining a Marketing Authorization (“MA”). There are two types of marketing authorizations:</w:t>
      </w:r>
    </w:p>
    <w:p>
      <w:pPr>
        <w:spacing w:after="0" w:line="85" w:lineRule="exact"/>
        <w:rPr>
          <w:sz w:val="20"/>
          <w:szCs w:val="20"/>
          <w:color w:val="auto"/>
        </w:rPr>
      </w:pPr>
    </w:p>
    <w:p>
      <w:pPr>
        <w:ind w:left="1260" w:hanging="415"/>
        <w:spacing w:after="0" w:line="321" w:lineRule="auto"/>
        <w:tabs>
          <w:tab w:leader="none" w:pos="12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“Community MA”, which is issued by the European Commission through the Centralized Procedure, based on the opinion of the Committee for Medicinal Products for Human Use of the European Medicines Agency, and which is valid throughout the entire territory of the EEA. The Centralized Procedure is mandatory for certain types of products, such as biotechnology medicinal products, orphan medicinal</w:t>
      </w:r>
    </w:p>
    <w:p>
      <w:pPr>
        <w:spacing w:after="0" w:line="7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980"/>
          </w:cols>
          <w:pgMar w:left="240" w:top="445" w:right="67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80"/>
        <w:spacing w:after="0" w:line="321" w:lineRule="auto"/>
        <w:rPr>
          <w:sz w:val="20"/>
          <w:szCs w:val="20"/>
          <w:color w:val="auto"/>
        </w:rPr>
      </w:pPr>
      <w:r>
        <w:rPr>
          <w:rFonts w:ascii="Arial" w:cs="Arial" w:eastAsia="Arial" w:hAnsi="Arial"/>
          <w:sz w:val="15"/>
          <w:szCs w:val="15"/>
          <w:color w:val="auto"/>
        </w:rPr>
        <w:t>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46" w:lineRule="exact"/>
        <w:rPr>
          <w:sz w:val="20"/>
          <w:szCs w:val="20"/>
          <w:color w:val="auto"/>
        </w:rPr>
      </w:pPr>
    </w:p>
    <w:p>
      <w:pPr>
        <w:ind w:left="1260" w:right="40" w:hanging="415"/>
        <w:spacing w:after="0" w:line="261" w:lineRule="auto"/>
        <w:tabs>
          <w:tab w:leader="none" w:pos="1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80" w:lineRule="exact"/>
        <w:rPr>
          <w:sz w:val="20"/>
          <w:szCs w:val="20"/>
          <w:color w:val="auto"/>
        </w:rPr>
      </w:pPr>
    </w:p>
    <w:p>
      <w:pPr>
        <w:ind w:left="440" w:right="120" w:firstLine="423"/>
        <w:spacing w:after="0" w:line="316" w:lineRule="auto"/>
        <w:rPr>
          <w:sz w:val="20"/>
          <w:szCs w:val="20"/>
          <w:color w:val="auto"/>
        </w:rPr>
      </w:pPr>
      <w:r>
        <w:rPr>
          <w:rFonts w:ascii="Arial" w:cs="Arial" w:eastAsia="Arial" w:hAnsi="Arial"/>
          <w:sz w:val="16"/>
          <w:szCs w:val="16"/>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37" w:lineRule="exact"/>
        <w:rPr>
          <w:sz w:val="20"/>
          <w:szCs w:val="20"/>
          <w:color w:val="auto"/>
        </w:rPr>
      </w:pPr>
    </w:p>
    <w:p>
      <w:pPr>
        <w:ind w:left="440" w:right="20" w:firstLine="423"/>
        <w:spacing w:after="0" w:line="258" w:lineRule="auto"/>
        <w:rPr>
          <w:sz w:val="20"/>
          <w:szCs w:val="20"/>
          <w:color w:val="auto"/>
        </w:rPr>
      </w:pPr>
      <w:r>
        <w:rPr>
          <w:rFonts w:ascii="Arial" w:cs="Arial" w:eastAsia="Arial" w:hAnsi="Arial"/>
          <w:sz w:val="17"/>
          <w:szCs w:val="17"/>
          <w:i w:val="1"/>
          <w:iCs w:val="1"/>
          <w:color w:val="auto"/>
        </w:rPr>
        <w:t xml:space="preserve">Data and marketing exclusivity. </w:t>
      </w:r>
      <w:r>
        <w:rPr>
          <w:rFonts w:ascii="Arial" w:cs="Arial" w:eastAsia="Arial" w:hAnsi="Arial"/>
          <w:sz w:val="17"/>
          <w:szCs w:val="17"/>
          <w:color w:val="auto"/>
        </w:rPr>
        <w:t>In the EEA, new products authorized for marketing, or reference products, qualify for eight years of data</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1" w:lineRule="exact"/>
        <w:rPr>
          <w:sz w:val="20"/>
          <w:szCs w:val="20"/>
          <w:color w:val="auto"/>
        </w:rPr>
      </w:pPr>
    </w:p>
    <w:p>
      <w:pPr>
        <w:ind w:left="440" w:right="20" w:firstLine="423"/>
        <w:spacing w:after="0" w:line="296" w:lineRule="auto"/>
        <w:rPr>
          <w:sz w:val="20"/>
          <w:szCs w:val="20"/>
          <w:color w:val="auto"/>
        </w:rPr>
      </w:pPr>
      <w:r>
        <w:rPr>
          <w:rFonts w:ascii="Arial" w:cs="Arial" w:eastAsia="Arial" w:hAnsi="Arial"/>
          <w:sz w:val="15"/>
          <w:szCs w:val="15"/>
          <w:i w:val="1"/>
          <w:iCs w:val="1"/>
          <w:color w:val="auto"/>
        </w:rPr>
        <w:t xml:space="preserve">Pediatric investigation plan. </w:t>
      </w:r>
      <w:r>
        <w:rPr>
          <w:rFonts w:ascii="Arial" w:cs="Arial" w:eastAsia="Arial" w:hAnsi="Arial"/>
          <w:sz w:val="15"/>
          <w:szCs w:val="15"/>
          <w:color w:val="auto"/>
        </w:rPr>
        <w:t>In the EEA, marketing authorization applications for new medicinal products not authorized have to include the</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 supplementary protection certificate extension.</w:t>
      </w:r>
    </w:p>
    <w:p>
      <w:pPr>
        <w:spacing w:after="0" w:line="157" w:lineRule="exact"/>
        <w:rPr>
          <w:sz w:val="20"/>
          <w:szCs w:val="20"/>
          <w:color w:val="auto"/>
        </w:rPr>
      </w:pPr>
    </w:p>
    <w:p>
      <w:pPr>
        <w:ind w:left="440" w:right="20" w:firstLine="423"/>
        <w:spacing w:after="0" w:line="259" w:lineRule="auto"/>
        <w:rPr>
          <w:sz w:val="20"/>
          <w:szCs w:val="20"/>
          <w:color w:val="auto"/>
        </w:rPr>
      </w:pPr>
      <w:r>
        <w:rPr>
          <w:rFonts w:ascii="Arial" w:cs="Arial" w:eastAsia="Arial" w:hAnsi="Arial"/>
          <w:sz w:val="17"/>
          <w:szCs w:val="17"/>
          <w:i w:val="1"/>
          <w:iCs w:val="1"/>
          <w:color w:val="auto"/>
        </w:rPr>
        <w:t xml:space="preserve">Orphan drug designation. </w:t>
      </w:r>
      <w:r>
        <w:rPr>
          <w:rFonts w:ascii="Arial" w:cs="Arial" w:eastAsia="Arial" w:hAnsi="Arial"/>
          <w:sz w:val="17"/>
          <w:szCs w:val="17"/>
          <w:color w:val="auto"/>
        </w:rPr>
        <w:t>In the EEA, a medicinal product can be designated as an orphan drug if its sponsor can establish that the product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81" w:lineRule="exact"/>
        <w:rPr>
          <w:sz w:val="20"/>
          <w:szCs w:val="20"/>
          <w:color w:val="auto"/>
        </w:rPr>
      </w:pPr>
    </w:p>
    <w:p>
      <w:pPr>
        <w:ind w:left="440" w:right="20" w:firstLine="423"/>
        <w:spacing w:after="0" w:line="261" w:lineRule="auto"/>
        <w:rPr>
          <w:sz w:val="20"/>
          <w:szCs w:val="20"/>
          <w:color w:val="auto"/>
        </w:rPr>
      </w:pPr>
      <w:r>
        <w:rPr>
          <w:rFonts w:ascii="Arial" w:cs="Arial" w:eastAsia="Arial" w:hAnsi="Arial"/>
          <w:sz w:val="17"/>
          <w:szCs w:val="17"/>
          <w:color w:val="auto"/>
        </w:rPr>
        <w:t>In the EEA,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competent authorities of the Member States, cannot accept another application for a marketing authorization, or grant a marketing authorization, for a similar medicinal product for the same indication. The period of market exclusivity is extended by two years for medicines that have also complied with an agreed PIP.</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000"/>
          </w:cols>
          <w:pgMar w:left="240" w:top="445" w:right="65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firstLine="423"/>
        <w:spacing w:after="0" w:line="278" w:lineRule="auto"/>
        <w:rPr>
          <w:sz w:val="20"/>
          <w:szCs w:val="20"/>
          <w:color w:val="auto"/>
        </w:rPr>
      </w:pPr>
      <w:r>
        <w:rPr>
          <w:rFonts w:ascii="Arial" w:cs="Arial" w:eastAsia="Arial" w:hAnsi="Arial"/>
          <w:sz w:val="16"/>
          <w:szCs w:val="16"/>
          <w:color w:val="auto"/>
        </w:rPr>
        <w:t>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 superiority” by a similar medicinal product, or, after a review by the COMP, requested by a member state in the fifth year of the marketing exclusivity period (if the designation criteria are believed to no longer apply). Medicinal products designated as orphan drugs are eligible for incentives made available by the EU and its Member States to support research into, and the development and availability of, orphan drugs. In March 2016, Mereo obtained orphan drug designation for BPS-804 for the treatment of OI in the EU.</w:t>
      </w:r>
    </w:p>
    <w:p>
      <w:pPr>
        <w:spacing w:after="0" w:line="166" w:lineRule="exact"/>
        <w:rPr>
          <w:sz w:val="20"/>
          <w:szCs w:val="20"/>
          <w:color w:val="auto"/>
        </w:rPr>
      </w:pPr>
    </w:p>
    <w:p>
      <w:pPr>
        <w:ind w:left="440" w:right="80" w:firstLine="423"/>
        <w:spacing w:after="0" w:line="275" w:lineRule="auto"/>
        <w:rPr>
          <w:sz w:val="20"/>
          <w:szCs w:val="20"/>
          <w:color w:val="auto"/>
        </w:rPr>
      </w:pPr>
      <w:r>
        <w:rPr>
          <w:rFonts w:ascii="Arial" w:cs="Arial" w:eastAsia="Arial" w:hAnsi="Arial"/>
          <w:sz w:val="16"/>
          <w:szCs w:val="16"/>
          <w:i w:val="1"/>
          <w:iCs w:val="1"/>
          <w:color w:val="auto"/>
        </w:rPr>
        <w:t xml:space="preserve">Adaptive pathways. </w:t>
      </w:r>
      <w:r>
        <w:rPr>
          <w:rFonts w:ascii="Arial" w:cs="Arial" w:eastAsia="Arial" w:hAnsi="Arial"/>
          <w:sz w:val="16"/>
          <w:szCs w:val="16"/>
          <w:color w:val="auto"/>
        </w:rPr>
        <w:t>The EMA has an adaptive pathways program which allows for early and progressive patient access to a medicine. The</w:t>
      </w:r>
      <w:r>
        <w:rPr>
          <w:rFonts w:ascii="Arial" w:cs="Arial" w:eastAsia="Arial" w:hAnsi="Arial"/>
          <w:sz w:val="16"/>
          <w:szCs w:val="16"/>
          <w:i w:val="1"/>
          <w:iCs w:val="1"/>
          <w:color w:val="auto"/>
        </w:rPr>
        <w:t xml:space="preserve"> </w:t>
      </w:r>
      <w:r>
        <w:rPr>
          <w:rFonts w:ascii="Arial" w:cs="Arial" w:eastAsia="Arial" w:hAnsi="Arial"/>
          <w:sz w:val="16"/>
          <w:szCs w:val="16"/>
          <w:color w:val="auto"/>
        </w:rPr>
        <w:t>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171" w:lineRule="exact"/>
        <w:rPr>
          <w:sz w:val="20"/>
          <w:szCs w:val="20"/>
          <w:color w:val="auto"/>
        </w:rPr>
      </w:pPr>
    </w:p>
    <w:p>
      <w:pPr>
        <w:ind w:left="440" w:right="40" w:firstLine="423"/>
        <w:spacing w:after="0" w:line="316" w:lineRule="auto"/>
        <w:rPr>
          <w:sz w:val="20"/>
          <w:szCs w:val="20"/>
          <w:color w:val="auto"/>
        </w:rPr>
      </w:pPr>
      <w:r>
        <w:rPr>
          <w:rFonts w:ascii="Arial" w:cs="Arial" w:eastAsia="Arial" w:hAnsi="Arial"/>
          <w:sz w:val="16"/>
          <w:szCs w:val="16"/>
          <w:color w:val="auto"/>
        </w:rPr>
        <w:t>The adaptive pathways program does not change the standards for the evaluation of benefits and risks or the requirement to demonstrate a positive benefit-risk balance to obtain marketing authorization. In February 2017, BPS-804 was accepted into the adaptive pathways program.</w:t>
      </w:r>
    </w:p>
    <w:p>
      <w:pPr>
        <w:spacing w:after="0" w:line="137" w:lineRule="exact"/>
        <w:rPr>
          <w:sz w:val="20"/>
          <w:szCs w:val="20"/>
          <w:color w:val="auto"/>
        </w:rPr>
      </w:pPr>
    </w:p>
    <w:p>
      <w:pPr>
        <w:ind w:left="440" w:firstLine="423"/>
        <w:spacing w:after="0" w:line="278" w:lineRule="auto"/>
        <w:rPr>
          <w:sz w:val="20"/>
          <w:szCs w:val="20"/>
          <w:color w:val="auto"/>
        </w:rPr>
      </w:pPr>
      <w:r>
        <w:rPr>
          <w:rFonts w:ascii="Arial" w:cs="Arial" w:eastAsia="Arial" w:hAnsi="Arial"/>
          <w:sz w:val="16"/>
          <w:szCs w:val="16"/>
          <w:i w:val="1"/>
          <w:iCs w:val="1"/>
          <w:color w:val="auto"/>
        </w:rPr>
        <w:t xml:space="preserve">PRIME scheme. </w:t>
      </w:r>
      <w:r>
        <w:rPr>
          <w:rFonts w:ascii="Arial" w:cs="Arial" w:eastAsia="Arial" w:hAnsi="Arial"/>
          <w:sz w:val="16"/>
          <w:szCs w:val="16"/>
          <w:color w:val="auto"/>
        </w:rPr>
        <w:t>In July 2016, the EMA launched its Priority Medicines scheme (“PRIME”). PRIME is a voluntary scheme aimed at enhancing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Products for Human Use before submission of an MAA, early dialogue and scientific advice at key development milestones, and the potential to qualify products for accelerated review earlier in the application process. In November 2017, the EMA granted PRIME designation for BPS-804 for the treatment of OI.</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Other U.S. Healthcare Laws</w:t>
      </w:r>
    </w:p>
    <w:p>
      <w:pPr>
        <w:spacing w:after="0" w:line="115" w:lineRule="exact"/>
        <w:rPr>
          <w:sz w:val="20"/>
          <w:szCs w:val="20"/>
          <w:color w:val="auto"/>
        </w:rPr>
      </w:pPr>
    </w:p>
    <w:p>
      <w:pPr>
        <w:ind w:left="440" w:right="160" w:firstLine="423"/>
        <w:spacing w:after="0" w:line="269" w:lineRule="auto"/>
        <w:rPr>
          <w:sz w:val="20"/>
          <w:szCs w:val="20"/>
          <w:color w:val="auto"/>
        </w:rPr>
      </w:pPr>
      <w:r>
        <w:rPr>
          <w:rFonts w:ascii="Arial" w:cs="Arial" w:eastAsia="Arial" w:hAnsi="Arial"/>
          <w:sz w:val="17"/>
          <w:szCs w:val="17"/>
          <w:color w:val="auto"/>
        </w:rPr>
        <w:t>In addition to FDA restrictions on marketing of pharmaceutical and biologic products,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171" w:lineRule="exact"/>
        <w:rPr>
          <w:sz w:val="20"/>
          <w:szCs w:val="20"/>
          <w:color w:val="auto"/>
        </w:rPr>
      </w:pPr>
    </w:p>
    <w:p>
      <w:pPr>
        <w:ind w:left="440" w:right="60" w:firstLine="423"/>
        <w:spacing w:after="0" w:line="257" w:lineRule="auto"/>
        <w:rPr>
          <w:sz w:val="20"/>
          <w:szCs w:val="20"/>
          <w:color w:val="auto"/>
        </w:rPr>
      </w:pPr>
      <w:r>
        <w:rPr>
          <w:rFonts w:ascii="Arial" w:cs="Arial" w:eastAsia="Arial" w:hAnsi="Arial"/>
          <w:sz w:val="17"/>
          <w:szCs w:val="17"/>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000"/>
          </w:cols>
          <w:pgMar w:left="240" w:top="445" w:right="65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line="354" w:lineRule="auto"/>
        <w:rPr>
          <w:sz w:val="20"/>
          <w:szCs w:val="20"/>
          <w:color w:val="auto"/>
        </w:rPr>
      </w:pPr>
      <w:r>
        <w:rPr>
          <w:rFonts w:ascii="Arial" w:cs="Arial" w:eastAsia="Arial" w:hAnsi="Arial"/>
          <w:sz w:val="15"/>
          <w:szCs w:val="15"/>
          <w:color w:val="auto"/>
        </w:rPr>
        <w:t>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13" w:lineRule="exact"/>
        <w:rPr>
          <w:sz w:val="20"/>
          <w:szCs w:val="20"/>
          <w:color w:val="auto"/>
        </w:rPr>
      </w:pPr>
    </w:p>
    <w:p>
      <w:pPr>
        <w:ind w:left="440" w:right="40" w:firstLine="423"/>
        <w:spacing w:after="0" w:line="260" w:lineRule="auto"/>
        <w:rPr>
          <w:sz w:val="20"/>
          <w:szCs w:val="20"/>
          <w:color w:val="auto"/>
        </w:rPr>
      </w:pPr>
      <w:r>
        <w:rPr>
          <w:rFonts w:ascii="Arial" w:cs="Arial" w:eastAsia="Arial" w:hAnsi="Arial"/>
          <w:sz w:val="17"/>
          <w:szCs w:val="17"/>
          <w:color w:val="auto"/>
        </w:rPr>
        <w:t>Additionally, the intent standard under the U.S. federal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 or to self-pay patients.</w:t>
      </w:r>
    </w:p>
    <w:p>
      <w:pPr>
        <w:spacing w:after="0" w:line="180" w:lineRule="exact"/>
        <w:rPr>
          <w:sz w:val="20"/>
          <w:szCs w:val="20"/>
          <w:color w:val="auto"/>
        </w:rPr>
      </w:pPr>
    </w:p>
    <w:p>
      <w:pPr>
        <w:ind w:left="440" w:firstLine="423"/>
        <w:spacing w:after="0" w:line="274" w:lineRule="auto"/>
        <w:rPr>
          <w:sz w:val="20"/>
          <w:szCs w:val="20"/>
          <w:color w:val="auto"/>
        </w:rPr>
      </w:pPr>
      <w:r>
        <w:rPr>
          <w:rFonts w:ascii="Arial" w:cs="Arial" w:eastAsia="Arial" w:hAnsi="Arial"/>
          <w:sz w:val="16"/>
          <w:szCs w:val="16"/>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170"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181" w:lineRule="exact"/>
        <w:rPr>
          <w:sz w:val="20"/>
          <w:szCs w:val="20"/>
          <w:color w:val="auto"/>
        </w:rPr>
      </w:pPr>
    </w:p>
    <w:p>
      <w:pPr>
        <w:ind w:left="440" w:right="20" w:firstLine="423"/>
        <w:spacing w:after="0" w:line="276" w:lineRule="auto"/>
        <w:rPr>
          <w:sz w:val="20"/>
          <w:szCs w:val="20"/>
          <w:color w:val="auto"/>
        </w:rPr>
      </w:pPr>
      <w:r>
        <w:rPr>
          <w:rFonts w:ascii="Arial" w:cs="Arial" w:eastAsia="Arial" w:hAnsi="Arial"/>
          <w:sz w:val="16"/>
          <w:szCs w:val="16"/>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68" w:lineRule="exact"/>
        <w:rPr>
          <w:sz w:val="20"/>
          <w:szCs w:val="20"/>
          <w:color w:val="auto"/>
        </w:rPr>
      </w:pPr>
    </w:p>
    <w:p>
      <w:pPr>
        <w:ind w:left="440" w:right="80" w:firstLine="423"/>
        <w:spacing w:after="0" w:line="281" w:lineRule="auto"/>
        <w:rPr>
          <w:sz w:val="20"/>
          <w:szCs w:val="20"/>
          <w:color w:val="auto"/>
        </w:rPr>
      </w:pPr>
      <w:r>
        <w:rPr>
          <w:rFonts w:ascii="Arial" w:cs="Arial" w:eastAsia="Arial" w:hAnsi="Arial"/>
          <w:sz w:val="16"/>
          <w:szCs w:val="16"/>
          <w:color w:val="auto"/>
        </w:rPr>
        <w:t>Mereo may also be subject to data privacy and security regulation by both the federal government and the states in which it conducts its business. HIPAA, as amended by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980"/>
          </w:cols>
          <w:pgMar w:left="240" w:top="445" w:right="67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40"/>
        <w:spacing w:after="0" w:line="281" w:lineRule="auto"/>
        <w:rPr>
          <w:sz w:val="20"/>
          <w:szCs w:val="20"/>
          <w:color w:val="auto"/>
        </w:rPr>
      </w:pPr>
      <w:r>
        <w:rPr>
          <w:rFonts w:ascii="Arial" w:cs="Arial" w:eastAsia="Arial" w:hAnsi="Arial"/>
          <w:sz w:val="16"/>
          <w:szCs w:val="16"/>
          <w:color w:val="auto"/>
        </w:rPr>
        <w:t>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66" w:lineRule="exact"/>
        <w:rPr>
          <w:sz w:val="20"/>
          <w:szCs w:val="20"/>
          <w:color w:val="auto"/>
        </w:rPr>
      </w:pPr>
    </w:p>
    <w:p>
      <w:pPr>
        <w:ind w:left="440" w:right="340" w:firstLine="423"/>
        <w:spacing w:after="0" w:line="269"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171" w:lineRule="exact"/>
        <w:rPr>
          <w:sz w:val="20"/>
          <w:szCs w:val="20"/>
          <w:color w:val="auto"/>
        </w:rPr>
      </w:pPr>
    </w:p>
    <w:p>
      <w:pPr>
        <w:ind w:left="440" w:right="60" w:firstLine="423"/>
        <w:spacing w:after="0" w:line="260" w:lineRule="auto"/>
        <w:rPr>
          <w:sz w:val="20"/>
          <w:szCs w:val="20"/>
          <w:color w:val="auto"/>
        </w:rPr>
      </w:pPr>
      <w:r>
        <w:rPr>
          <w:rFonts w:ascii="Arial" w:cs="Arial" w:eastAsia="Arial" w:hAnsi="Arial"/>
          <w:sz w:val="17"/>
          <w:szCs w:val="17"/>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Privacy and Data Protection Laws in Europe</w:t>
      </w:r>
    </w:p>
    <w:p>
      <w:pPr>
        <w:spacing w:after="0" w:line="115" w:lineRule="exact"/>
        <w:rPr>
          <w:sz w:val="20"/>
          <w:szCs w:val="20"/>
          <w:color w:val="auto"/>
        </w:rPr>
      </w:pPr>
    </w:p>
    <w:p>
      <w:pPr>
        <w:ind w:left="440" w:right="20" w:firstLine="423"/>
        <w:spacing w:after="0" w:line="278" w:lineRule="auto"/>
        <w:rPr>
          <w:sz w:val="20"/>
          <w:szCs w:val="20"/>
          <w:color w:val="auto"/>
        </w:rPr>
      </w:pPr>
      <w:r>
        <w:rPr>
          <w:rFonts w:ascii="Arial" w:cs="Arial" w:eastAsia="Arial" w:hAnsi="Arial"/>
          <w:sz w:val="16"/>
          <w:szCs w:val="16"/>
          <w:color w:val="auto"/>
        </w:rPr>
        <w:t>Mereo is subject to European laws relating to its and its suppliers’, partners’ and subcontractors’ collection, control, processing and other use of personal data (i.e. any data relating to an identifiable living individual, whether that individual can be identified directly or indirectly). Mereo is subject to the supervision of local data protection authorities in those jurisdictions where Mereo is established, where Mereo offers goods or services to EU residents and where Mereo monitors the behavior of individuals in the EU (i.e. undertaking clinical trials). Mereo and its suppliers, partners and subcontractors process personal data including in relation to Mereo’s employees, employees of customers, clinical trial patients, healthcare professionals and employees of suppliers including health and medical information. The data privacy regime in the EU includes the GDPR, the e-Privacy Directive and the e-Privacy Regulation (once in force) and the national laws and regulations implementing or supplementing each of them.</w:t>
      </w:r>
    </w:p>
    <w:p>
      <w:pPr>
        <w:spacing w:after="0" w:line="166" w:lineRule="exact"/>
        <w:rPr>
          <w:sz w:val="20"/>
          <w:szCs w:val="20"/>
          <w:color w:val="auto"/>
        </w:rPr>
      </w:pPr>
    </w:p>
    <w:p>
      <w:pPr>
        <w:ind w:left="440" w:firstLine="423"/>
        <w:spacing w:after="0" w:line="295" w:lineRule="auto"/>
        <w:rPr>
          <w:sz w:val="20"/>
          <w:szCs w:val="20"/>
          <w:color w:val="auto"/>
        </w:rPr>
      </w:pPr>
      <w:r>
        <w:rPr>
          <w:rFonts w:ascii="Arial" w:cs="Arial" w:eastAsia="Arial" w:hAnsi="Arial"/>
          <w:sz w:val="15"/>
          <w:szCs w:val="15"/>
          <w:color w:val="auto"/>
        </w:rPr>
        <w:t>The GDPR requires that personal data is only collected for specified, explicit and legal purposes as set out in the GDPR or local laws, and the data may then only be processed in a manner consistent with those purposes. The personal data collected and processed must be adequate, relevant and not excessive in relation to the purposes for which it is collected and processed, it must be held securely, not transferred outside of the EEA (unless certain steps are taken to ensure an adequate level of protection), and must not be retained for longer than necessary for the purposes for which it was collected. In addition, the GDPR requires companies processing personal data to take certain organizational steps to ensure that they have adequate records, policies, security, training and governance frameworks in place to ensure the protection of data subject rights, including as required to respond to complaints and requests from data subjects. For example, the GDPR requires Mereo to make more detailed disclosures to data subjects, requires disclosure of the legal basis on which Mereo can process personal data, makes it harder for Mereo to obtain valid consent for processing, will require the appointment of a data protection officer where sensitive personal data (i.e. health data) is processed on a large scale, introduces mandatory data breach notification throughout the EU and imposes additional obligations on Mereo when it is contracting with service providers.</w:t>
      </w:r>
    </w:p>
    <w:p>
      <w:pPr>
        <w:spacing w:after="0" w:line="159" w:lineRule="exact"/>
        <w:rPr>
          <w:sz w:val="20"/>
          <w:szCs w:val="20"/>
          <w:color w:val="auto"/>
        </w:rPr>
      </w:pPr>
    </w:p>
    <w:p>
      <w:pPr>
        <w:jc w:val="both"/>
        <w:ind w:left="440" w:right="140" w:firstLine="423"/>
        <w:spacing w:after="0" w:line="279" w:lineRule="auto"/>
        <w:rPr>
          <w:sz w:val="20"/>
          <w:szCs w:val="20"/>
          <w:color w:val="auto"/>
        </w:rPr>
      </w:pPr>
      <w:r>
        <w:rPr>
          <w:rFonts w:ascii="Arial" w:cs="Arial" w:eastAsia="Arial" w:hAnsi="Arial"/>
          <w:sz w:val="16"/>
          <w:szCs w:val="16"/>
          <w:color w:val="auto"/>
        </w:rPr>
        <w:t>In addition, to the extent a company processes, controls or otherwise uses “special category” personal data (including patients’ health or medical information, genetic information and biometric information), more stringent rules apply, further limiting the circumstances and the manner in which a company is legally permitted to process that data. Finally, the GDPR provides a broad right for EU member states to create supplemental national laws which may result in divergence across Europe making it harder to maintain a consistent operating model or standard operating procedures. Such laws, for example, may relate to the processing of health, genetic and biometric data, which could further limit Mereo’s ability to use and share such data or could cause its costs to increase, and harm its business and financial condition.</w:t>
      </w:r>
    </w:p>
    <w:p>
      <w:pPr>
        <w:spacing w:after="0" w:line="167"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Mereo depends on a number of third parties in relation to the provision of its services, a number of which process personal data on Mereo’s behalf. With each such provider Mereo enters into contractual arrangements to ensure that</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980"/>
          </w:cols>
          <w:pgMar w:left="240" w:top="445" w:right="6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20"/>
        <w:spacing w:after="0" w:line="285" w:lineRule="auto"/>
        <w:rPr>
          <w:sz w:val="20"/>
          <w:szCs w:val="20"/>
          <w:color w:val="auto"/>
        </w:rPr>
      </w:pPr>
      <w:r>
        <w:rPr>
          <w:rFonts w:ascii="Arial" w:cs="Arial" w:eastAsia="Arial" w:hAnsi="Arial"/>
          <w:sz w:val="16"/>
          <w:szCs w:val="16"/>
          <w:color w:val="auto"/>
        </w:rPr>
        <w:t>they only process personal data according to Mereo’s instructions, and that they have sufficient technical and organizational security measures in place. Where Mereo transfer personal data outside the EU, it does so in compliance with the relevant data export requirements from time to time. Mereo takes its data protection obligations seriously, as any improper, unlawful or accidental disclosure, loss, alteration or access to, personal data, particularly sensitive personal data (i.e. special category), could negatively impact its business and/or its reputation.</w:t>
      </w:r>
    </w:p>
    <w:p>
      <w:pPr>
        <w:spacing w:after="0" w:line="162" w:lineRule="exact"/>
        <w:rPr>
          <w:sz w:val="20"/>
          <w:szCs w:val="20"/>
          <w:color w:val="auto"/>
        </w:rPr>
      </w:pPr>
    </w:p>
    <w:p>
      <w:pPr>
        <w:ind w:left="440" w:right="40" w:firstLine="423"/>
        <w:spacing w:after="0" w:line="276" w:lineRule="auto"/>
        <w:rPr>
          <w:sz w:val="20"/>
          <w:szCs w:val="20"/>
          <w:color w:val="auto"/>
        </w:rPr>
      </w:pPr>
      <w:r>
        <w:rPr>
          <w:rFonts w:ascii="Arial" w:cs="Arial" w:eastAsia="Arial" w:hAnsi="Arial"/>
          <w:sz w:val="16"/>
          <w:szCs w:val="16"/>
          <w:color w:val="auto"/>
        </w:rPr>
        <w:t>Mereo is also subject to EU laws on personal data export, as it may transfer personal data from the EU to other jurisdictions which are not considered by the European Commission to offer adequate protection of personal data. Such transfers need to be legitimized by a valid transfer mechanism under the GDPR. There is currently ongoing litigation challenging the commonly used transfer mechanisms, the EU Commission approved model clauses. In addition, the EU-U.S. Privacy Shield (the “Privacy Shield”) is currently under review by the European Commission. As such, it is uncertain whether the Privacy Shield framework and/or model clauses will be invalidated in the near future. These changes may require Mereo to find alternative bases for the compliant transfer of personal data from the EU to the United States and Mereo is monitoring developments in this area. Invalidation of any mechanism on which Mereo relies could require operational changes and increased costs and may lead to governmental enforcement actions, litigation, fines and penalties or adverse publicity that could have an adverse effect on Mereo’s business.</w:t>
      </w:r>
    </w:p>
    <w:p>
      <w:pPr>
        <w:spacing w:after="0" w:line="172" w:lineRule="exact"/>
        <w:rPr>
          <w:sz w:val="20"/>
          <w:szCs w:val="20"/>
          <w:color w:val="auto"/>
        </w:rPr>
      </w:pPr>
    </w:p>
    <w:p>
      <w:pPr>
        <w:ind w:left="440" w:right="20" w:firstLine="423"/>
        <w:spacing w:after="0" w:line="278" w:lineRule="auto"/>
        <w:rPr>
          <w:sz w:val="20"/>
          <w:szCs w:val="20"/>
          <w:color w:val="auto"/>
        </w:rPr>
      </w:pPr>
      <w:r>
        <w:rPr>
          <w:rFonts w:ascii="Arial" w:cs="Arial" w:eastAsia="Arial" w:hAnsi="Arial"/>
          <w:sz w:val="16"/>
          <w:szCs w:val="16"/>
          <w:color w:val="auto"/>
        </w:rPr>
        <w:t>The EU is in the process of replacing the e-Privacy Directive with a new set of rules taking the form of a regulation, which will be directly implemented in the laws of each European member state, without the need for further enactment. The draft e-Privacy Regulation imposes strict opt-in marketing rules with limited exceptions for business-to-business communications and alters rules on third-party cookies, web beacons and similar technology. Regulation of cookies and web beacons may lead to broader restrictions on online research activities, including efforts to understand users’ internet usage. The current draft also significantly increases fining powers to the same levels as GDPR (i.e. the greater of 20 million Euros or 4% of total global annual revenue). While no official timeframe has been provided, commentators have stated that the e-Privacy Regulation is likely to be agreed in 2019 and to come into force during the second half of 2020 or during 2021 following a transition period.</w:t>
      </w:r>
    </w:p>
    <w:p>
      <w:pPr>
        <w:spacing w:after="0" w:line="166" w:lineRule="exact"/>
        <w:rPr>
          <w:sz w:val="20"/>
          <w:szCs w:val="20"/>
          <w:color w:val="auto"/>
        </w:rPr>
      </w:pPr>
    </w:p>
    <w:p>
      <w:pPr>
        <w:ind w:left="440" w:right="20" w:firstLine="423"/>
        <w:spacing w:after="0" w:line="259" w:lineRule="auto"/>
        <w:rPr>
          <w:sz w:val="20"/>
          <w:szCs w:val="20"/>
          <w:color w:val="auto"/>
        </w:rPr>
      </w:pPr>
      <w:r>
        <w:rPr>
          <w:rFonts w:ascii="Arial" w:cs="Arial" w:eastAsia="Arial" w:hAnsi="Arial"/>
          <w:sz w:val="17"/>
          <w:szCs w:val="17"/>
          <w:color w:val="auto"/>
        </w:rPr>
        <w:t>There are costs and administrative burdens associated with compliance with the GDPR and the resultant changes in the EU and EEA member states’ national laws and the introduction of the e-Privacy Regulation once it takes effect. Any failure or perceived failure to comply with global privacy laws carries with it the risk of significant penalties and sanctions of up to €20 million or 4% of global turnover. These laws or new interpretations, enactments or supplementary forms of these laws, could create liability for Mereo, could impose additional operational requirements on Mereo’s business, could affect the manner in which it uses and transmits patient information and could increase its cost of doing business. Claims of violations of privacy rights or contractual breaches, even if Mereo is not found liable, could be expensive and time-consuming to defend and could result in adverse publicity that could harm Mereo’s business.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Coverage and Reimbursement</w:t>
      </w:r>
    </w:p>
    <w:p>
      <w:pPr>
        <w:spacing w:after="0" w:line="121" w:lineRule="exact"/>
        <w:rPr>
          <w:sz w:val="20"/>
          <w:szCs w:val="20"/>
          <w:color w:val="auto"/>
        </w:rPr>
      </w:pPr>
    </w:p>
    <w:p>
      <w:pPr>
        <w:ind w:left="440" w:right="40" w:firstLine="423"/>
        <w:spacing w:after="0" w:line="259" w:lineRule="auto"/>
        <w:rPr>
          <w:sz w:val="20"/>
          <w:szCs w:val="20"/>
          <w:color w:val="auto"/>
        </w:rPr>
      </w:pPr>
      <w:r>
        <w:rPr>
          <w:rFonts w:ascii="Arial" w:cs="Arial" w:eastAsia="Arial" w:hAnsi="Arial"/>
          <w:sz w:val="17"/>
          <w:szCs w:val="17"/>
          <w:color w:val="auto"/>
        </w:rPr>
        <w:t>Significant uncertainty exists as to the coverage and reimbursement status of any pharmaceutical or biological product for which Mereo obtains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Mereo’s products unless coverage is provided and reimbursement is adequate to cover a significant portion of the cost of Mereo’s products. Sales of any products for which Mereo receives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181" w:lineRule="exact"/>
        <w:rPr>
          <w:sz w:val="20"/>
          <w:szCs w:val="20"/>
          <w:color w:val="auto"/>
        </w:rPr>
      </w:pPr>
    </w:p>
    <w:p>
      <w:pPr>
        <w:ind w:left="440" w:firstLine="423"/>
        <w:spacing w:after="0" w:line="299" w:lineRule="auto"/>
        <w:rPr>
          <w:sz w:val="20"/>
          <w:szCs w:val="20"/>
          <w:color w:val="auto"/>
        </w:rPr>
      </w:pPr>
      <w:r>
        <w:rPr>
          <w:rFonts w:ascii="Arial" w:cs="Arial" w:eastAsia="Arial" w:hAnsi="Arial"/>
          <w:sz w:val="15"/>
          <w:szCs w:val="15"/>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Mereo’s product candidates could reduce physician utilization of its products once approved and have a material adverse effect on Mereo’s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Mereo to maintain price levels</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000"/>
          </w:cols>
          <w:pgMar w:left="240" w:top="445" w:right="6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60"/>
        <w:spacing w:after="0" w:line="261" w:lineRule="auto"/>
        <w:rPr>
          <w:sz w:val="20"/>
          <w:szCs w:val="20"/>
          <w:color w:val="auto"/>
        </w:rPr>
      </w:pPr>
      <w:r>
        <w:rPr>
          <w:rFonts w:ascii="Arial" w:cs="Arial" w:eastAsia="Arial" w:hAnsi="Arial"/>
          <w:sz w:val="17"/>
          <w:szCs w:val="17"/>
          <w:color w:val="auto"/>
        </w:rPr>
        <w:t>sufficient to realize an appropriate return on Mereo’s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Mereo to provide scientific and clinical support for the use of its products to each payor separately and will be a time-consuming process.</w:t>
      </w:r>
    </w:p>
    <w:p>
      <w:pPr>
        <w:spacing w:after="0" w:line="180" w:lineRule="exact"/>
        <w:rPr>
          <w:sz w:val="20"/>
          <w:szCs w:val="20"/>
          <w:color w:val="auto"/>
        </w:rPr>
      </w:pPr>
    </w:p>
    <w:p>
      <w:pPr>
        <w:ind w:left="440" w:firstLine="423"/>
        <w:spacing w:after="0" w:line="258" w:lineRule="auto"/>
        <w:rPr>
          <w:sz w:val="20"/>
          <w:szCs w:val="20"/>
          <w:color w:val="auto"/>
        </w:rPr>
      </w:pPr>
      <w:r>
        <w:rPr>
          <w:rFonts w:ascii="Arial" w:cs="Arial" w:eastAsia="Arial" w:hAnsi="Arial"/>
          <w:sz w:val="17"/>
          <w:szCs w:val="17"/>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4" w:lineRule="exact"/>
        <w:rPr>
          <w:sz w:val="20"/>
          <w:szCs w:val="20"/>
          <w:color w:val="auto"/>
        </w:rPr>
      </w:pPr>
    </w:p>
    <w:p>
      <w:pPr>
        <w:ind w:left="440" w:right="140" w:firstLine="423"/>
        <w:spacing w:after="0" w:line="260"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Mereo’s products to be cost effective compared to other available therapies, they may not cover Mereo’s products after approval, if any, or, if they do, the level of payment may not be sufficient to allow Mereo to sell its products at a profit.</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Healthcare Reform</w:t>
      </w:r>
    </w:p>
    <w:p>
      <w:pPr>
        <w:spacing w:after="0" w:line="121" w:lineRule="exact"/>
        <w:rPr>
          <w:sz w:val="20"/>
          <w:szCs w:val="20"/>
          <w:color w:val="auto"/>
        </w:rPr>
      </w:pPr>
    </w:p>
    <w:p>
      <w:pPr>
        <w:ind w:left="440" w:firstLine="423"/>
        <w:spacing w:after="0" w:line="293" w:lineRule="auto"/>
        <w:rPr>
          <w:sz w:val="20"/>
          <w:szCs w:val="20"/>
          <w:color w:val="auto"/>
        </w:rPr>
      </w:pPr>
      <w:r>
        <w:rPr>
          <w:rFonts w:ascii="Arial" w:cs="Arial" w:eastAsia="Arial" w:hAnsi="Arial"/>
          <w:sz w:val="15"/>
          <w:szCs w:val="15"/>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the ACA, among other things, increased the minimum Medicaid rebates owed by most manufacturers under the Medicaid Drug Rebate Program; introduced a new methodology by which rebates owed by manufacturers under the Medicaid Drug Rebate Program are calculated for products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Mereo expects there will be additional challenges and amendments to the ACA in the future.</w:t>
      </w:r>
    </w:p>
    <w:p>
      <w:pPr>
        <w:spacing w:after="0" w:line="163" w:lineRule="exact"/>
        <w:rPr>
          <w:sz w:val="20"/>
          <w:szCs w:val="20"/>
          <w:color w:val="auto"/>
        </w:rPr>
      </w:pPr>
    </w:p>
    <w:p>
      <w:pPr>
        <w:ind w:left="440" w:right="20" w:firstLine="423"/>
        <w:spacing w:after="0" w:line="260" w:lineRule="auto"/>
        <w:rPr>
          <w:sz w:val="20"/>
          <w:szCs w:val="20"/>
          <w:color w:val="auto"/>
        </w:rPr>
      </w:pPr>
      <w:r>
        <w:rPr>
          <w:rFonts w:ascii="Arial" w:cs="Arial" w:eastAsia="Arial" w:hAnsi="Arial"/>
          <w:sz w:val="17"/>
          <w:szCs w:val="17"/>
          <w:color w:val="auto"/>
        </w:rPr>
        <w:t>Mereo expects that the ACA, as well as other healthcare reform measures that may be adopted in the future, may result in more rigorous coverage criteria and lower reimbursement, and additional downward pressure on the price that Mereo receives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Mereo from being able to generate revenue, attain profitability or commercialize Mereo’s product candidates.</w:t>
      </w:r>
    </w:p>
    <w:p>
      <w:pPr>
        <w:spacing w:after="0" w:line="180"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 2012 was signed</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980"/>
          </w:cols>
          <w:pgMar w:left="240" w:top="445" w:right="67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line="260" w:lineRule="auto"/>
        <w:rPr>
          <w:sz w:val="20"/>
          <w:szCs w:val="20"/>
          <w:color w:val="auto"/>
        </w:rPr>
      </w:pPr>
      <w:r>
        <w:rPr>
          <w:rFonts w:ascii="Arial" w:cs="Arial" w:eastAsia="Arial" w:hAnsi="Arial"/>
          <w:sz w:val="17"/>
          <w:szCs w:val="17"/>
          <w:color w:val="auto"/>
        </w:rPr>
        <w:t>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products.</w:t>
      </w:r>
    </w:p>
    <w:p>
      <w:pPr>
        <w:spacing w:after="0" w:line="180"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Mereo expects that additional state and federal healthcare reform measures will be adopted in the future, any of which could limit the amounts that federal and state governments will pay for healthcare products and services, which could result in reduced demand for Mereo’s products once approved or additional pricing pressures.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Employees</w:t>
      </w:r>
    </w:p>
    <w:p>
      <w:pPr>
        <w:spacing w:after="0" w:line="121" w:lineRule="exact"/>
        <w:rPr>
          <w:sz w:val="20"/>
          <w:szCs w:val="20"/>
          <w:color w:val="auto"/>
        </w:rPr>
      </w:pPr>
    </w:p>
    <w:p>
      <w:pPr>
        <w:ind w:left="440" w:right="120" w:firstLine="423"/>
        <w:spacing w:after="0" w:line="269" w:lineRule="auto"/>
        <w:rPr>
          <w:sz w:val="20"/>
          <w:szCs w:val="20"/>
          <w:color w:val="auto"/>
        </w:rPr>
      </w:pPr>
      <w:r>
        <w:rPr>
          <w:rFonts w:ascii="Arial" w:cs="Arial" w:eastAsia="Arial" w:hAnsi="Arial"/>
          <w:sz w:val="17"/>
          <w:szCs w:val="17"/>
          <w:color w:val="auto"/>
        </w:rPr>
        <w:t>As of December 31, 2018, Mereo had 31 employees, excluding non-executive directors. Following the Merger, Mereo had 42 employees, excluding non-executive directors. None of Mereo’s employees is subject to a collective bargaining agreement or represented by a trade or labor union. Mereo considers its relationship with its employees to be good.</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There are no governmental, legal or arbitration proceedings (including any such proceedings which are pending or threatened of which Mereo is aware) that may have, or have had in the recent past (covering the 12 months immediately preceding the date of this annual report), significant effects on Mereo’s financial position or profitability.</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4.C. Organizational Structure</w:t>
      </w:r>
    </w:p>
    <w:p>
      <w:pPr>
        <w:spacing w:after="0" w:line="121" w:lineRule="exact"/>
        <w:rPr>
          <w:sz w:val="20"/>
          <w:szCs w:val="20"/>
          <w:color w:val="auto"/>
        </w:rPr>
      </w:pPr>
    </w:p>
    <w:p>
      <w:pPr>
        <w:ind w:left="440" w:right="80" w:firstLine="423"/>
        <w:spacing w:after="0" w:line="354" w:lineRule="auto"/>
        <w:rPr>
          <w:sz w:val="20"/>
          <w:szCs w:val="20"/>
          <w:color w:val="auto"/>
        </w:rPr>
      </w:pPr>
      <w:r>
        <w:rPr>
          <w:rFonts w:ascii="Arial" w:cs="Arial" w:eastAsia="Arial" w:hAnsi="Arial"/>
          <w:sz w:val="15"/>
          <w:szCs w:val="15"/>
          <w:color w:val="auto"/>
        </w:rPr>
        <w:t>Mereo BioPharma Group plc was formed as a private limited company organized under the laws of England and Wales on March 10, 2015 and re-registered as a public limited company on June 3, 2016. Mereo BioPharma Group plc has the following wholly-owned direct or indirect subsidiaries:</w:t>
      </w:r>
    </w:p>
    <w:p>
      <w:pPr>
        <w:spacing w:after="0" w:line="110"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Jurisdiction of</w:t>
            </w:r>
          </w:p>
        </w:tc>
        <w:tc>
          <w:tcPr>
            <w:tcW w:w="0" w:type="dxa"/>
            <w:vAlign w:val="bottom"/>
          </w:tcPr>
          <w:p>
            <w:pPr>
              <w:spacing w:after="0"/>
              <w:rPr>
                <w:sz w:val="1"/>
                <w:szCs w:val="1"/>
                <w:color w:val="auto"/>
              </w:rPr>
            </w:pPr>
          </w:p>
        </w:tc>
      </w:tr>
      <w:tr>
        <w:trPr>
          <w:trHeight w:val="178"/>
        </w:trPr>
        <w:tc>
          <w:tcPr>
            <w:tcW w:w="5960" w:type="dxa"/>
            <w:vAlign w:val="bottom"/>
            <w:vMerge w:val="restart"/>
          </w:tcPr>
          <w:p>
            <w:pPr>
              <w:spacing w:after="0"/>
              <w:rPr>
                <w:sz w:val="20"/>
                <w:szCs w:val="20"/>
                <w:color w:val="auto"/>
              </w:rPr>
            </w:pPr>
            <w:r>
              <w:rPr>
                <w:rFonts w:ascii="Arial" w:cs="Arial" w:eastAsia="Arial" w:hAnsi="Arial"/>
                <w:sz w:val="17"/>
                <w:szCs w:val="17"/>
                <w:b w:val="1"/>
                <w:bCs w:val="1"/>
                <w:color w:val="auto"/>
              </w:rPr>
              <w:t>Legal Name of Subsidiary</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Organization</w:t>
            </w:r>
          </w:p>
        </w:tc>
        <w:tc>
          <w:tcPr>
            <w:tcW w:w="0" w:type="dxa"/>
            <w:vAlign w:val="bottom"/>
          </w:tcPr>
          <w:p>
            <w:pPr>
              <w:spacing w:after="0"/>
              <w:rPr>
                <w:sz w:val="1"/>
                <w:szCs w:val="1"/>
                <w:color w:val="auto"/>
              </w:rPr>
            </w:pPr>
          </w:p>
        </w:tc>
      </w:tr>
      <w:tr>
        <w:trPr>
          <w:trHeight w:val="175"/>
        </w:trPr>
        <w:tc>
          <w:tcPr>
            <w:tcW w:w="59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BioPharma 1 Limited</w:t>
            </w:r>
          </w:p>
        </w:tc>
        <w:tc>
          <w:tcPr>
            <w:tcW w:w="1220" w:type="dxa"/>
            <w:vAlign w:val="bottom"/>
          </w:tcPr>
          <w:p>
            <w:pPr>
              <w:jc w:val="center"/>
              <w:spacing w:after="0"/>
              <w:rPr>
                <w:sz w:val="20"/>
                <w:szCs w:val="20"/>
                <w:color w:val="auto"/>
              </w:rPr>
            </w:pPr>
            <w:r>
              <w:rPr>
                <w:rFonts w:ascii="Arial" w:cs="Arial" w:eastAsia="Arial" w:hAnsi="Arial"/>
                <w:sz w:val="17"/>
                <w:szCs w:val="17"/>
                <w:color w:val="auto"/>
                <w:w w:val="97"/>
              </w:rPr>
              <w:t>United Kingdom</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BioPharma 2 Limited</w:t>
            </w:r>
          </w:p>
        </w:tc>
        <w:tc>
          <w:tcPr>
            <w:tcW w:w="1220" w:type="dxa"/>
            <w:vAlign w:val="bottom"/>
          </w:tcPr>
          <w:p>
            <w:pPr>
              <w:jc w:val="center"/>
              <w:spacing w:after="0"/>
              <w:rPr>
                <w:sz w:val="20"/>
                <w:szCs w:val="20"/>
                <w:color w:val="auto"/>
              </w:rPr>
            </w:pPr>
            <w:r>
              <w:rPr>
                <w:rFonts w:ascii="Arial" w:cs="Arial" w:eastAsia="Arial" w:hAnsi="Arial"/>
                <w:sz w:val="17"/>
                <w:szCs w:val="17"/>
                <w:color w:val="auto"/>
                <w:w w:val="97"/>
              </w:rPr>
              <w:t>United Kingdom</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BioPharma 3 Limited</w:t>
            </w:r>
          </w:p>
        </w:tc>
        <w:tc>
          <w:tcPr>
            <w:tcW w:w="1220" w:type="dxa"/>
            <w:vAlign w:val="bottom"/>
          </w:tcPr>
          <w:p>
            <w:pPr>
              <w:jc w:val="center"/>
              <w:spacing w:after="0"/>
              <w:rPr>
                <w:sz w:val="20"/>
                <w:szCs w:val="20"/>
                <w:color w:val="auto"/>
              </w:rPr>
            </w:pPr>
            <w:r>
              <w:rPr>
                <w:rFonts w:ascii="Arial" w:cs="Arial" w:eastAsia="Arial" w:hAnsi="Arial"/>
                <w:sz w:val="17"/>
                <w:szCs w:val="17"/>
                <w:color w:val="auto"/>
                <w:w w:val="97"/>
              </w:rPr>
              <w:t>United Kingdom</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BioPharma 4 Limited</w:t>
            </w:r>
          </w:p>
        </w:tc>
        <w:tc>
          <w:tcPr>
            <w:tcW w:w="1220" w:type="dxa"/>
            <w:vAlign w:val="bottom"/>
          </w:tcPr>
          <w:p>
            <w:pPr>
              <w:jc w:val="center"/>
              <w:spacing w:after="0"/>
              <w:rPr>
                <w:sz w:val="20"/>
                <w:szCs w:val="20"/>
                <w:color w:val="auto"/>
              </w:rPr>
            </w:pPr>
            <w:r>
              <w:rPr>
                <w:rFonts w:ascii="Arial" w:cs="Arial" w:eastAsia="Arial" w:hAnsi="Arial"/>
                <w:sz w:val="17"/>
                <w:szCs w:val="17"/>
                <w:color w:val="auto"/>
                <w:w w:val="97"/>
              </w:rPr>
              <w:t>United Kingdom</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BioPharma Ireland Limited</w:t>
            </w:r>
          </w:p>
        </w:tc>
        <w:tc>
          <w:tcPr>
            <w:tcW w:w="1220" w:type="dxa"/>
            <w:vAlign w:val="bottom"/>
          </w:tcPr>
          <w:p>
            <w:pPr>
              <w:jc w:val="center"/>
              <w:spacing w:after="0"/>
              <w:rPr>
                <w:sz w:val="20"/>
                <w:szCs w:val="20"/>
                <w:color w:val="auto"/>
              </w:rPr>
            </w:pPr>
            <w:r>
              <w:rPr>
                <w:rFonts w:ascii="Arial" w:cs="Arial" w:eastAsia="Arial" w:hAnsi="Arial"/>
                <w:sz w:val="17"/>
                <w:szCs w:val="17"/>
                <w:color w:val="auto"/>
                <w:w w:val="96"/>
              </w:rPr>
              <w:t>Ireland</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US Holdings Inc.</w:t>
            </w: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Delaware</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OncoMed Pharmaceuticals, Inc.</w:t>
            </w: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Delaware</w:t>
            </w:r>
          </w:p>
        </w:tc>
        <w:tc>
          <w:tcPr>
            <w:tcW w:w="0" w:type="dxa"/>
            <w:vAlign w:val="bottom"/>
          </w:tcPr>
          <w:p>
            <w:pPr>
              <w:spacing w:after="0"/>
              <w:rPr>
                <w:sz w:val="1"/>
                <w:szCs w:val="1"/>
                <w:color w:val="auto"/>
              </w:rPr>
            </w:pPr>
          </w:p>
        </w:tc>
      </w:tr>
      <w:tr>
        <w:trPr>
          <w:trHeight w:val="220"/>
        </w:trPr>
        <w:tc>
          <w:tcPr>
            <w:tcW w:w="5960" w:type="dxa"/>
            <w:vAlign w:val="bottom"/>
          </w:tcPr>
          <w:p>
            <w:pPr>
              <w:spacing w:after="0"/>
              <w:rPr>
                <w:sz w:val="20"/>
                <w:szCs w:val="20"/>
                <w:color w:val="auto"/>
              </w:rPr>
            </w:pPr>
            <w:r>
              <w:rPr>
                <w:rFonts w:ascii="Arial" w:cs="Arial" w:eastAsia="Arial" w:hAnsi="Arial"/>
                <w:sz w:val="17"/>
                <w:szCs w:val="17"/>
                <w:color w:val="auto"/>
              </w:rPr>
              <w:t>NAVI Subsidiary, Inc.</w:t>
            </w: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Delaware</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4.D. Property, Plants and Equipment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Mereo’s principal office is located at 4th Floor, One Cavendish Place, London W1G 0QF, United Kingdom, where Mereo leases approximately</w:t>
      </w:r>
    </w:p>
    <w:p>
      <w:pPr>
        <w:spacing w:after="0" w:line="36" w:lineRule="exact"/>
        <w:rPr>
          <w:sz w:val="20"/>
          <w:szCs w:val="20"/>
          <w:color w:val="auto"/>
        </w:rPr>
      </w:pPr>
    </w:p>
    <w:p>
      <w:pPr>
        <w:ind w:left="440" w:right="360"/>
        <w:spacing w:after="0" w:line="259" w:lineRule="auto"/>
        <w:rPr>
          <w:sz w:val="20"/>
          <w:szCs w:val="20"/>
          <w:color w:val="auto"/>
        </w:rPr>
      </w:pPr>
      <w:r>
        <w:rPr>
          <w:rFonts w:ascii="Arial" w:cs="Arial" w:eastAsia="Arial" w:hAnsi="Arial"/>
          <w:sz w:val="17"/>
          <w:szCs w:val="17"/>
          <w:color w:val="auto"/>
        </w:rPr>
        <w:t>4,000 square feet of office space. Mereo leases this office space under a lease that terminates on August 16, 2025. As a result of the Merger, Mereo leases approximately 45,000 square feet in Redwood City, California of which approximately 15,000 square feet is subject to third party sub-leases. Mereo intends to add new facilities as it adds employees, and believes that suitable additional or substitute space will be available as needed to accommodate any such expansion of its operations.</w:t>
      </w:r>
    </w:p>
    <w:p>
      <w:pPr>
        <w:spacing w:after="0" w:line="316"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7"/>
          <w:szCs w:val="17"/>
          <w:b w:val="1"/>
          <w:bCs w:val="1"/>
          <w:color w:val="auto"/>
        </w:rPr>
        <w:t>Item 4A.</w:t>
      </w:r>
      <w:r>
        <w:rPr>
          <w:sz w:val="20"/>
          <w:szCs w:val="20"/>
          <w:color w:val="auto"/>
        </w:rPr>
        <w:tab/>
      </w:r>
      <w:r>
        <w:rPr>
          <w:rFonts w:ascii="Arial" w:cs="Arial" w:eastAsia="Arial" w:hAnsi="Arial"/>
          <w:sz w:val="15"/>
          <w:szCs w:val="15"/>
          <w:b w:val="1"/>
          <w:bCs w:val="1"/>
          <w:color w:val="auto"/>
        </w:rPr>
        <w:t>Unresolved Staff Comments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None.</w:t>
      </w:r>
    </w:p>
    <w:p>
      <w:pPr>
        <w:spacing w:after="0" w:line="1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980"/>
          </w:cols>
          <w:pgMar w:left="240" w:top="445" w:right="67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5.A. Operating Results</w:t>
      </w:r>
    </w:p>
    <w:p>
      <w:pPr>
        <w:spacing w:after="0" w:line="121" w:lineRule="exact"/>
        <w:rPr>
          <w:sz w:val="20"/>
          <w:szCs w:val="20"/>
          <w:color w:val="auto"/>
        </w:rPr>
      </w:pPr>
    </w:p>
    <w:p>
      <w:pPr>
        <w:ind w:left="440" w:right="80" w:firstLine="423"/>
        <w:spacing w:after="0" w:line="25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Mereo’s audited consolidated financial statements and related notes included elsewhere in this annual report. The following discussion is based on Mereo’s financial information prepared in accordance with IFRS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Mereo’s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ind w:left="440" w:right="100" w:firstLine="423"/>
        <w:spacing w:after="0" w:line="276" w:lineRule="auto"/>
        <w:rPr>
          <w:sz w:val="20"/>
          <w:szCs w:val="20"/>
          <w:color w:val="auto"/>
        </w:rPr>
      </w:pPr>
      <w:r>
        <w:rPr>
          <w:rFonts w:ascii="Arial" w:cs="Arial" w:eastAsia="Arial" w:hAnsi="Arial"/>
          <w:sz w:val="16"/>
          <w:szCs w:val="16"/>
          <w:color w:val="auto"/>
        </w:rPr>
        <w:t>Mereo is a biopharmaceutical company focused on the development and commercialization of innovative therapeutics that aim to improve outcomes for patients with rare diseases. Mereo’s portfolio consists of six clinical-stage product candidates, four of which were acquired from large pharmaceutical companies and two anti-cancer product candidates which we acquired in the Merger. Mereo is developing BPS-804 for the treatment of OI, MPH-966 for the treatment of severe AATD, BCT-197 for the treatment of AECOPD and BGS-649 for the treatment of HH in obese men. Each of Mereo’s product candidates has generated positive clinical data for Mereo’s target indication or for a related indication. Our two anti-cancer therapeutic candidates, OMP-305B83 and OMP-313M32, are currently in clinical development. Mereo believes its portfolio is well diversified because each of its product candidates employs a different mechanism of action and targets a separate indication. Mereo intends to develop and directly commercialize Mereo’s rare disease product candidates. For its specialty disease product candidates, Mereo intends to seek strategic relationships for further clinical development and commercialization.</w:t>
      </w:r>
    </w:p>
    <w:p>
      <w:pPr>
        <w:spacing w:after="0" w:line="168"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Mereo’s strategy is to selectively acquire product candidates that have already received significant investment from pharmaceutical companies and that have substantial pre-clinical, clinical, and manufacturing data packages. Since Mereo’s formation in March 2015, it has successfully executed on this strategy by acquiring its current product candidates from Novartis and AstraZeneca. Mereo has commenced or completed large, randomized, placebo-controlled Phase 2 clinical trials for all of its product candidates.</w:t>
      </w:r>
    </w:p>
    <w:p>
      <w:pPr>
        <w:spacing w:after="0" w:line="176" w:lineRule="exact"/>
        <w:rPr>
          <w:sz w:val="20"/>
          <w:szCs w:val="20"/>
          <w:color w:val="auto"/>
        </w:rPr>
      </w:pPr>
    </w:p>
    <w:p>
      <w:pPr>
        <w:ind w:left="440" w:firstLine="423"/>
        <w:spacing w:after="0" w:line="310" w:lineRule="auto"/>
        <w:rPr>
          <w:sz w:val="20"/>
          <w:szCs w:val="20"/>
          <w:color w:val="auto"/>
        </w:rPr>
      </w:pPr>
      <w:r>
        <w:rPr>
          <w:rFonts w:ascii="Arial" w:cs="Arial" w:eastAsia="Arial" w:hAnsi="Arial"/>
          <w:sz w:val="15"/>
          <w:szCs w:val="15"/>
          <w:color w:val="auto"/>
        </w:rPr>
        <w:t>Mereo does not have any approved products and, as a result, has not generated any revenue from product sales. Mereo’s ability to generate revenue sufficient to achieve profitability will depend on its successful development and eventual commercialization of its product candidates, if approved. Since Mereo’s formation, it has incurred significant operating losses. For the years ended December 31, 2016, 2017 and 2018, Mereo incurred net losses of £28.4 million, £38.8 million and £32.0 million, respectively. As of December 31, 2018, Mereo had an accumulated loss of £111.2 million.</w:t>
      </w:r>
    </w:p>
    <w:p>
      <w:pPr>
        <w:spacing w:after="0" w:line="145" w:lineRule="exact"/>
        <w:rPr>
          <w:sz w:val="20"/>
          <w:szCs w:val="20"/>
          <w:color w:val="auto"/>
        </w:rPr>
      </w:pPr>
    </w:p>
    <w:p>
      <w:pPr>
        <w:ind w:left="440" w:firstLine="423"/>
        <w:spacing w:after="0" w:line="278" w:lineRule="auto"/>
        <w:rPr>
          <w:sz w:val="20"/>
          <w:szCs w:val="20"/>
          <w:color w:val="auto"/>
        </w:rPr>
      </w:pPr>
      <w:r>
        <w:rPr>
          <w:rFonts w:ascii="Arial" w:cs="Arial" w:eastAsia="Arial" w:hAnsi="Arial"/>
          <w:sz w:val="16"/>
          <w:szCs w:val="16"/>
          <w:color w:val="auto"/>
        </w:rPr>
        <w:t>Mereo expects to continue to incur significant expenses and operating losses for the foreseeable future as it advances the clinical development of its product candidates and seeks regulatory approval. In addition, if Mereo obtains regulatory approval for any of its product candidates and does not enter into a third-party commercialization relationship, Mereo expects to incur significant commercialization expenses related to product manufacturing, marketing, sales, and distribution. Mereo also expects to incur expenses in connection with the in-license or acquisition of additional product candidates and the potential clinical development of any such product candidates. Furthermore, Mereo expects to incur additional costs associated with operating as a U.S. public company listed on Nasdaq in addition to operating as a U.K. public company admitted for trading on AIM, including significant legal, accounting, investor relations, and other expenses that it did not incur prior to the Merger.</w:t>
      </w:r>
    </w:p>
    <w:p>
      <w:pPr>
        <w:spacing w:after="0" w:line="166" w:lineRule="exact"/>
        <w:rPr>
          <w:sz w:val="20"/>
          <w:szCs w:val="20"/>
          <w:color w:val="auto"/>
        </w:rPr>
      </w:pPr>
    </w:p>
    <w:p>
      <w:pPr>
        <w:ind w:left="440" w:firstLine="423"/>
        <w:spacing w:after="0" w:line="304" w:lineRule="auto"/>
        <w:rPr>
          <w:sz w:val="20"/>
          <w:szCs w:val="20"/>
          <w:color w:val="auto"/>
        </w:rPr>
      </w:pPr>
      <w:r>
        <w:rPr>
          <w:rFonts w:ascii="Arial" w:cs="Arial" w:eastAsia="Arial" w:hAnsi="Arial"/>
          <w:sz w:val="15"/>
          <w:szCs w:val="15"/>
          <w:color w:val="auto"/>
        </w:rPr>
        <w:t>As a result of these anticipated expenditures, Mereo will need additional financing to support its continuing operations. Until such time as Mereo can generate significant revenue from product sales, if ever, Mereo expects to finance its operations through a combination of public or private equity or debt financings or other sources, which may include collaborations with third parties. Adequate additional financing may not be available to Mereo on acceptable terms, or at all. Mereo’s inability to raise capital as and when needed would have a negative impact on its financial condition and its ability to pursue its business strategy. Mereo will need to generate significant revenue to achieve profitability, and it may never do so.</w:t>
      </w:r>
    </w:p>
    <w:p>
      <w:pPr>
        <w:spacing w:after="0" w:line="8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980"/>
          </w:cols>
          <w:pgMar w:left="240" w:top="445" w:right="6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firstLine="423"/>
        <w:spacing w:after="0" w:line="279" w:lineRule="auto"/>
        <w:rPr>
          <w:sz w:val="20"/>
          <w:szCs w:val="20"/>
          <w:color w:val="auto"/>
        </w:rPr>
      </w:pPr>
      <w:r>
        <w:rPr>
          <w:rFonts w:ascii="Arial" w:cs="Arial" w:eastAsia="Arial" w:hAnsi="Arial"/>
          <w:sz w:val="16"/>
          <w:szCs w:val="16"/>
          <w:color w:val="auto"/>
        </w:rPr>
        <w:t>Mereo was incorporated in March 2015 and is headquartered in London, United Kingdom. Since June 9, 2016, Mereo ordinary shares have traded on AIM under the symbol “MPH.” Since its formation, Mereo has raised a total of £102.9 million in gross proceeds from private and public placements of its ordinary shares to institutional investors and £3.5 million from the issuance of the Novartis Notes. In August 2017, Mereo also entered into a credit facility in the amount of £20.0 million which was fully drawn by December 31, 2017. As of December 31, 2018, Mereo had cash and short-term deposits and short-term investments of £27.5 million. As at April 23, 2019, immediately following the completion of the Merger with OncoMed, Mereo’s aggregate cash, short-term deposits and short-term investments were approximately £53.9 million ($70.1 million).</w:t>
      </w:r>
    </w:p>
    <w:p>
      <w:pPr>
        <w:spacing w:after="0" w:line="167" w:lineRule="exact"/>
        <w:rPr>
          <w:sz w:val="20"/>
          <w:szCs w:val="20"/>
          <w:color w:val="auto"/>
        </w:rPr>
      </w:pPr>
    </w:p>
    <w:p>
      <w:pPr>
        <w:ind w:left="440" w:right="160" w:firstLine="423"/>
        <w:spacing w:after="0" w:line="269" w:lineRule="auto"/>
        <w:rPr>
          <w:sz w:val="20"/>
          <w:szCs w:val="20"/>
          <w:color w:val="auto"/>
        </w:rPr>
      </w:pPr>
      <w:r>
        <w:rPr>
          <w:rFonts w:ascii="Arial" w:cs="Arial" w:eastAsia="Arial" w:hAnsi="Arial"/>
          <w:sz w:val="17"/>
          <w:szCs w:val="17"/>
          <w:color w:val="auto"/>
        </w:rPr>
        <w:t>Mereo is organized into a single segment following management’s view of the business as a single portfolio of product candidates. Research and development expenses are monitored at a product candidate level; however, decisions over resource allocation are made at an overall portfolio level. Mereo’s financing is managed and monitored on a consolidated basis.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Asset Purchase Agreements with Novartis</w:t>
      </w:r>
    </w:p>
    <w:p>
      <w:pPr>
        <w:spacing w:after="0" w:line="121" w:lineRule="exact"/>
        <w:rPr>
          <w:sz w:val="20"/>
          <w:szCs w:val="20"/>
          <w:color w:val="auto"/>
        </w:rPr>
      </w:pPr>
    </w:p>
    <w:p>
      <w:pPr>
        <w:ind w:left="440" w:right="220" w:firstLine="423"/>
        <w:spacing w:after="0" w:line="284" w:lineRule="auto"/>
        <w:rPr>
          <w:sz w:val="20"/>
          <w:szCs w:val="20"/>
          <w:color w:val="auto"/>
        </w:rPr>
      </w:pPr>
      <w:r>
        <w:rPr>
          <w:rFonts w:ascii="Arial" w:cs="Arial" w:eastAsia="Arial" w:hAnsi="Arial"/>
          <w:sz w:val="17"/>
          <w:szCs w:val="17"/>
          <w:color w:val="auto"/>
        </w:rPr>
        <w:t>In July 2015, three of Mereo’s wholly-owned subsidiaries, Mereo BioPharma 3 Limited, Mereo BioPharma 2 Limited, and Mereo BioPharma 1 Limited entered into the Purchase Agreements to acquire from Novartis rights to the Novartis Assets.</w:t>
      </w:r>
    </w:p>
    <w:p>
      <w:pPr>
        <w:spacing w:after="0" w:line="159" w:lineRule="exact"/>
        <w:rPr>
          <w:sz w:val="20"/>
          <w:szCs w:val="20"/>
          <w:color w:val="auto"/>
        </w:rPr>
      </w:pPr>
    </w:p>
    <w:p>
      <w:pPr>
        <w:ind w:left="440" w:right="100" w:firstLine="423"/>
        <w:spacing w:after="0" w:line="258" w:lineRule="auto"/>
        <w:rPr>
          <w:sz w:val="20"/>
          <w:szCs w:val="20"/>
          <w:color w:val="auto"/>
        </w:rPr>
      </w:pPr>
      <w:r>
        <w:rPr>
          <w:rFonts w:ascii="Arial" w:cs="Arial" w:eastAsia="Arial" w:hAnsi="Arial"/>
          <w:sz w:val="17"/>
          <w:szCs w:val="17"/>
          <w:color w:val="auto"/>
        </w:rPr>
        <w:t>In connection with the acquisition of the Novartis Assets, Mereo issued 3,849,000 Mereo ordinary shares to Novartis pursuant to a subscription agreement. See “Item 7. Major Shareholders and Related Party Transactions—B. Related Party Transactions—Subscription Agreement.” In addition, Mereo paid Novartis $1.5 million for a payment made by Novartis to a third party in full satisfaction of all monetary obligations of Novartis to such third party with respect to BCT-197. Under the Purchase Agreements, Mereo has agreed to make tiered royalty payments to Novartis based on annual worldwide net sales of the Acquired Novartis Products, at percentages ranging from the high single digits to low double digits. In the event that the parties agree or it is otherwise determined in accordance with the Purchase Agreements that Mereo require third-party intellectual property rights to exploit the Acquired Novartis Products, Mereo is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w:t>
      </w:r>
    </w:p>
    <w:p>
      <w:pPr>
        <w:spacing w:after="0" w:line="181" w:lineRule="exact"/>
        <w:rPr>
          <w:sz w:val="20"/>
          <w:szCs w:val="20"/>
          <w:color w:val="auto"/>
        </w:rPr>
      </w:pPr>
    </w:p>
    <w:p>
      <w:pPr>
        <w:ind w:left="440" w:right="160" w:firstLine="423"/>
        <w:spacing w:after="0" w:line="264" w:lineRule="auto"/>
        <w:rPr>
          <w:sz w:val="20"/>
          <w:szCs w:val="20"/>
          <w:color w:val="auto"/>
        </w:rPr>
      </w:pPr>
      <w:r>
        <w:rPr>
          <w:rFonts w:ascii="Arial" w:cs="Arial" w:eastAsia="Arial" w:hAnsi="Arial"/>
          <w:sz w:val="17"/>
          <w:szCs w:val="17"/>
          <w:color w:val="auto"/>
        </w:rPr>
        <w:t>Mereo further agreed that in the event of a change in control that involves the transfer, license, assignment, or lease of all or substantially all of a subsidiary’s assets, including a Compound and related assets, Mereo will pay Novartis a percentage of the proceeds of such transaction, with the majority of the proceeds being retained by Mereo. No payment, however, is required with respect to any transaction of Mereo involving its equity interests, a merger or consolidation of it, or a sale of any of its assets.</w:t>
      </w:r>
    </w:p>
    <w:p>
      <w:pPr>
        <w:spacing w:after="0" w:line="176"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Mereo also entered into the Sublicense Agreement, pursuant to which Novartis granted Mereo an exclusive, worldwide, royalty-bearing sublicense for the Antibody Products, including BPS-804. Under the Sublicense Agreement, Mereo has agreed to pay Novartis royalties in the low single digits on worldwide net sales of Antibody Products. Mereo has also agreed to pay Novartis up to $3.25 million in development and regulatory milestones, and to use commercially reasonable efforts to develop and commercialize an Antibody Product.</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License Agreement with AstraZeneca</w:t>
      </w:r>
    </w:p>
    <w:p>
      <w:pPr>
        <w:spacing w:after="0" w:line="121"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In October 2017, Mereo’s wholly-owned subsidiary Mereo BioPharma 4 Limited entered into the License Agreement, to obtain from AstraZeneca an exclusive worldwide, sub-licensable license under AstraZeneca’s intellectual property rights relating to certain products containing a NE inhibitor, including products that contain MPH-966, with an option to acquire such intellectual property rights, following commencement of a pivotal trial and payment of related milestone payments, together with the acquisition of certain related assets.</w:t>
      </w:r>
    </w:p>
    <w:p>
      <w:pPr>
        <w:spacing w:after="0" w:line="176" w:lineRule="exact"/>
        <w:rPr>
          <w:sz w:val="20"/>
          <w:szCs w:val="20"/>
          <w:color w:val="auto"/>
        </w:rPr>
      </w:pPr>
    </w:p>
    <w:p>
      <w:pPr>
        <w:ind w:left="440" w:right="300" w:firstLine="423"/>
        <w:spacing w:after="0" w:line="281" w:lineRule="auto"/>
        <w:rPr>
          <w:sz w:val="20"/>
          <w:szCs w:val="20"/>
          <w:color w:val="auto"/>
        </w:rPr>
      </w:pPr>
      <w:r>
        <w:rPr>
          <w:rFonts w:ascii="Arial" w:cs="Arial" w:eastAsia="Arial" w:hAnsi="Arial"/>
          <w:sz w:val="16"/>
          <w:szCs w:val="16"/>
          <w:color w:val="auto"/>
        </w:rPr>
        <w:t>Upon entering into the License Agreement, Mereo made an upfront payment of $3.0 million to AstraZeneca in cash and issued 490,798 new Mereo ordinary shares for an aggregate upfront payment equal to $5.0 million. In connection with certain development and regulatory milestones, Mereo has agreed to make payments of up to $115.5 million in the aggregate and issue additional Mereo ordinary shares to AstraZeneca for licensed products containing MPH-966. In addition, Mereo has agreed to make payments to AstraZeneca based on specified commercial milestones of the product. In the event that Mereo sub-license MPH-966, it has also agreed to pay a specified percentage of</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000"/>
          </w:cols>
          <w:pgMar w:left="240" w:top="445" w:right="6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440" w:right="120"/>
        <w:spacing w:after="0" w:line="269" w:lineRule="auto"/>
        <w:rPr>
          <w:sz w:val="20"/>
          <w:szCs w:val="20"/>
          <w:color w:val="auto"/>
        </w:rPr>
      </w:pPr>
      <w:r>
        <w:rPr>
          <w:rFonts w:ascii="Arial" w:cs="Arial" w:eastAsia="Arial" w:hAnsi="Arial"/>
          <w:sz w:val="17"/>
          <w:szCs w:val="17"/>
          <w:color w:val="auto"/>
        </w:rPr>
        <w:t>sublicensing revenue to AstraZeneca. Otherwise, Mereo has agreed to make royalty payments to AstraZeneca equal to ascending specified percentages of tiered annual worldwide net sales by Mereo or its affiliates of licensed products (subject to certain reductions), ranging from the high single digits to low double digits.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Merger Agreement with OncoMed</w:t>
      </w:r>
    </w:p>
    <w:p>
      <w:pPr>
        <w:spacing w:after="0" w:line="121" w:lineRule="exact"/>
        <w:rPr>
          <w:sz w:val="20"/>
          <w:szCs w:val="20"/>
          <w:color w:val="auto"/>
        </w:rPr>
      </w:pPr>
    </w:p>
    <w:p>
      <w:pPr>
        <w:ind w:left="440" w:right="140" w:firstLine="423"/>
        <w:spacing w:after="0" w:line="259" w:lineRule="auto"/>
        <w:rPr>
          <w:sz w:val="20"/>
          <w:szCs w:val="20"/>
          <w:color w:val="auto"/>
        </w:rPr>
      </w:pPr>
      <w:r>
        <w:rPr>
          <w:rFonts w:ascii="Arial" w:cs="Arial" w:eastAsia="Arial" w:hAnsi="Arial"/>
          <w:sz w:val="17"/>
          <w:szCs w:val="17"/>
          <w:color w:val="auto"/>
        </w:rPr>
        <w:t>On April 23, 2019, we completed the Merger under which an indirect, wholly-owned subsidiary of Mereo was merged with and into OncoMed, with OncoMed continuing as the surviving corporation in the Merger and an indirect, wholly-owned subsidiary of Mereo. Upon completion of the Merger, Mereo issued 24,783,320 ordinary shares and OncoMed stockholders received, in exchange for each share of OncoMed common stock owned immediately prior to the Merger: (1) 0.127694 ADSs, each representing five Mereo ordinary shares, and (2) one contingent value right per OncoMed stockholder, each representing the right to receive contingent consideration upon the achievement of certain milestones relating to certain OncoMed products or product candidates. Immediately following the effective time of the Merger, former OncoMed stockholders owned 25.8% of Mereo and its subsidiaries (including OncoMed) on an undiluted basis.</w:t>
      </w:r>
    </w:p>
    <w:p>
      <w:pPr>
        <w:spacing w:after="0" w:line="181" w:lineRule="exact"/>
        <w:rPr>
          <w:sz w:val="20"/>
          <w:szCs w:val="20"/>
          <w:color w:val="auto"/>
        </w:rPr>
      </w:pPr>
    </w:p>
    <w:p>
      <w:pPr>
        <w:ind w:left="440" w:firstLine="423"/>
        <w:spacing w:after="0" w:line="279" w:lineRule="auto"/>
        <w:rPr>
          <w:sz w:val="20"/>
          <w:szCs w:val="20"/>
          <w:color w:val="auto"/>
        </w:rPr>
      </w:pPr>
      <w:r>
        <w:rPr>
          <w:rFonts w:ascii="Arial" w:cs="Arial" w:eastAsia="Arial" w:hAnsi="Arial"/>
          <w:sz w:val="16"/>
          <w:szCs w:val="16"/>
          <w:color w:val="auto"/>
        </w:rPr>
        <w:t>Mereo believes that (1) the combination of Mereo’s biopharmaceutical portfolio of four products with OncoMed’s two lead products will create a diversified combined portfolio, resulting in an increased number of potential near-term catalysts with a core focus remaining on Mereo’s strategy to develop and commercialize products for rare diseases, (2) the cash position of the Mereo will provide an extended operational runway, with the potential for such runway to be extended significantly through partnering deals with respect to Mereo’s non-Orphan products, OncoMed’s navicixzumab products and the potential Celgene Option Exercise and (3) the Nasdaq listing of Mereo in connection with the Merger, in addition to Mereo’s existing AIM listing, will provide a diversified international shareholder base for Mereo following the Merger.</w:t>
      </w:r>
    </w:p>
    <w:p>
      <w:pPr>
        <w:spacing w:after="0" w:line="167" w:lineRule="exact"/>
        <w:rPr>
          <w:sz w:val="20"/>
          <w:szCs w:val="20"/>
          <w:color w:val="auto"/>
        </w:rPr>
      </w:pPr>
    </w:p>
    <w:p>
      <w:pPr>
        <w:jc w:val="both"/>
        <w:ind w:left="440" w:right="220" w:firstLine="423"/>
        <w:spacing w:after="0" w:line="269" w:lineRule="auto"/>
        <w:rPr>
          <w:sz w:val="20"/>
          <w:szCs w:val="20"/>
          <w:color w:val="auto"/>
        </w:rPr>
      </w:pPr>
      <w:r>
        <w:rPr>
          <w:rFonts w:ascii="Arial" w:cs="Arial" w:eastAsia="Arial" w:hAnsi="Arial"/>
          <w:sz w:val="17"/>
          <w:szCs w:val="17"/>
          <w:color w:val="auto"/>
        </w:rPr>
        <w:t>Unless otherwise noted, the following discussion and analysis of our results of operations and our liquidity and capital resources focuses on our existing operations exclusive of the impact of the acquisition of OncoMed. Any forward-looking statements contained herein do not take into account the impact of this acquisition.</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Financial 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Revenue</w:t>
      </w:r>
    </w:p>
    <w:p>
      <w:pPr>
        <w:spacing w:after="0" w:line="115" w:lineRule="exact"/>
        <w:rPr>
          <w:sz w:val="20"/>
          <w:szCs w:val="20"/>
          <w:color w:val="auto"/>
        </w:rPr>
      </w:pPr>
    </w:p>
    <w:p>
      <w:pPr>
        <w:ind w:left="440" w:right="60" w:firstLine="423"/>
        <w:spacing w:after="0" w:line="269" w:lineRule="auto"/>
        <w:rPr>
          <w:sz w:val="20"/>
          <w:szCs w:val="20"/>
          <w:color w:val="auto"/>
        </w:rPr>
      </w:pPr>
      <w:r>
        <w:rPr>
          <w:rFonts w:ascii="Arial" w:cs="Arial" w:eastAsia="Arial" w:hAnsi="Arial"/>
          <w:sz w:val="17"/>
          <w:szCs w:val="17"/>
          <w:color w:val="auto"/>
        </w:rPr>
        <w:t>Mereo does not currently have any approved products. Accordingly, Mereo has not generated any revenue and does not expect to do so unless it obtains regulatory approval and commercializes any of its product candidates or until it receives revenues from collaborations with third parties, neither of which may occur.</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Research and development expenses include:</w:t>
      </w:r>
    </w:p>
    <w:p>
      <w:pPr>
        <w:spacing w:after="0" w:line="128" w:lineRule="exact"/>
        <w:rPr>
          <w:sz w:val="20"/>
          <w:szCs w:val="20"/>
          <w:color w:val="auto"/>
        </w:rPr>
      </w:pPr>
    </w:p>
    <w:p>
      <w:pPr>
        <w:ind w:left="1260" w:right="740" w:hanging="415"/>
        <w:spacing w:after="0" w:line="284" w:lineRule="auto"/>
        <w:tabs>
          <w:tab w:leader="none" w:pos="1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employee-related expenses, such as salaries, share-based compensation, and other benefits, for Mereo’s research and development personnel;</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costs for production of drug substance and drug product and development of Mereo’s manufacturing processes by CMOs;</w:t>
      </w:r>
    </w:p>
    <w:p>
      <w:pPr>
        <w:spacing w:after="0" w:line="128" w:lineRule="exact"/>
        <w:rPr>
          <w:rFonts w:ascii="Arial" w:cs="Arial" w:eastAsia="Arial" w:hAnsi="Arial"/>
          <w:sz w:val="17"/>
          <w:szCs w:val="17"/>
          <w:color w:val="auto"/>
        </w:rPr>
      </w:pPr>
    </w:p>
    <w:p>
      <w:pPr>
        <w:ind w:left="1260" w:right="520" w:hanging="415"/>
        <w:spacing w:after="0" w:line="284" w:lineRule="auto"/>
        <w:tabs>
          <w:tab w:leader="none" w:pos="1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fees and other costs paid to CROs, consultants, and other suppliers to conduct Mereo’s clinical trials and pre-clinical and non-clinical studies; and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costs of facilities, materials, and equipment related to drug production and Mereo’s clinical trials and pre-clinical and non-clinical studies.</w:t>
      </w:r>
    </w:p>
    <w:p>
      <w:pPr>
        <w:spacing w:after="0" w:line="230" w:lineRule="exact"/>
        <w:rPr>
          <w:sz w:val="20"/>
          <w:szCs w:val="20"/>
          <w:color w:val="auto"/>
        </w:rPr>
      </w:pPr>
    </w:p>
    <w:p>
      <w:pPr>
        <w:ind w:left="440" w:right="260" w:firstLine="423"/>
        <w:spacing w:after="0" w:line="316" w:lineRule="auto"/>
        <w:rPr>
          <w:sz w:val="20"/>
          <w:szCs w:val="20"/>
          <w:color w:val="auto"/>
        </w:rPr>
      </w:pPr>
      <w:r>
        <w:rPr>
          <w:rFonts w:ascii="Arial" w:cs="Arial" w:eastAsia="Arial" w:hAnsi="Arial"/>
          <w:sz w:val="16"/>
          <w:szCs w:val="16"/>
          <w:color w:val="auto"/>
        </w:rPr>
        <w:t>Mereo’s direct research and development expenses are allocated on a product-by-product basis. Mereo allocates employee-related expenses for Mereo’s research and development personnel and other related expenses to specific product candidate development programs.</w:t>
      </w:r>
    </w:p>
    <w:p>
      <w:pPr>
        <w:spacing w:after="0" w:line="137" w:lineRule="exact"/>
        <w:rPr>
          <w:sz w:val="20"/>
          <w:szCs w:val="20"/>
          <w:color w:val="auto"/>
        </w:rPr>
      </w:pPr>
    </w:p>
    <w:p>
      <w:pPr>
        <w:ind w:left="440" w:right="620" w:firstLine="423"/>
        <w:spacing w:after="0" w:line="284" w:lineRule="auto"/>
        <w:rPr>
          <w:sz w:val="20"/>
          <w:szCs w:val="20"/>
          <w:color w:val="auto"/>
        </w:rPr>
      </w:pPr>
      <w:r>
        <w:rPr>
          <w:rFonts w:ascii="Arial" w:cs="Arial" w:eastAsia="Arial" w:hAnsi="Arial"/>
          <w:sz w:val="17"/>
          <w:szCs w:val="17"/>
          <w:color w:val="auto"/>
        </w:rPr>
        <w:t>Product candidates in a later stage of clinical development generally have higher development costs than those in earlier stages of clinical development, primarily due to the increased size and duration of later stage clinical trials.</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980"/>
          </w:cols>
          <w:pgMar w:left="240" w:top="445" w:right="67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40"/>
        <w:spacing w:after="0" w:line="310" w:lineRule="auto"/>
        <w:rPr>
          <w:sz w:val="20"/>
          <w:szCs w:val="20"/>
          <w:color w:val="auto"/>
        </w:rPr>
      </w:pPr>
      <w:r>
        <w:rPr>
          <w:rFonts w:ascii="Arial" w:cs="Arial" w:eastAsia="Arial" w:hAnsi="Arial"/>
          <w:sz w:val="15"/>
          <w:szCs w:val="15"/>
          <w:color w:val="auto"/>
        </w:rPr>
        <w:t>Mereo expects that its research and development expense will increase substantially as it continues to advance the clinical development of its product candidates, including through its ongoing Phase 2b clinical trial of BPS-804 in adults and its planned Phase 3 clinical trial of BPS-804 in children, its ongoing Phase 2 proof-of-concept trial for MPH-966; hire additional clinical, scientific, and commercial personnel; and acquire or in-license future product candidates and technologies. As a result, Mereo expects its research and development expenses will increase for the foreseeable future.</w:t>
      </w:r>
    </w:p>
    <w:p>
      <w:pPr>
        <w:spacing w:after="0" w:line="145" w:lineRule="exact"/>
        <w:rPr>
          <w:sz w:val="20"/>
          <w:szCs w:val="20"/>
          <w:color w:val="auto"/>
        </w:rPr>
      </w:pPr>
    </w:p>
    <w:p>
      <w:pPr>
        <w:ind w:left="440" w:right="140" w:firstLine="423"/>
        <w:spacing w:after="0" w:line="269" w:lineRule="auto"/>
        <w:rPr>
          <w:sz w:val="20"/>
          <w:szCs w:val="20"/>
          <w:color w:val="auto"/>
        </w:rPr>
      </w:pPr>
      <w:r>
        <w:rPr>
          <w:rFonts w:ascii="Arial" w:cs="Arial" w:eastAsia="Arial" w:hAnsi="Arial"/>
          <w:sz w:val="17"/>
          <w:szCs w:val="17"/>
          <w:color w:val="auto"/>
        </w:rPr>
        <w:t>The successful development, approval, and commercialization of Mereo’s product candidates is highly uncertain. At this time, Mereo cannot reasonably estimate the nature, timing, and estimated costs of the efforts that will be necessary to complete the development of, or the period, if any, in which material net cash inflows may commence from any of Mereo’s product candidates.</w:t>
      </w:r>
    </w:p>
    <w:p>
      <w:pPr>
        <w:spacing w:after="0" w:line="171" w:lineRule="exact"/>
        <w:rPr>
          <w:sz w:val="20"/>
          <w:szCs w:val="20"/>
          <w:color w:val="auto"/>
        </w:rPr>
      </w:pPr>
    </w:p>
    <w:p>
      <w:pPr>
        <w:ind w:left="440" w:right="340" w:firstLine="423"/>
        <w:spacing w:after="0" w:line="284" w:lineRule="auto"/>
        <w:rPr>
          <w:sz w:val="20"/>
          <w:szCs w:val="20"/>
          <w:color w:val="auto"/>
        </w:rPr>
      </w:pPr>
      <w:r>
        <w:rPr>
          <w:rFonts w:ascii="Arial" w:cs="Arial" w:eastAsia="Arial" w:hAnsi="Arial"/>
          <w:sz w:val="17"/>
          <w:szCs w:val="17"/>
          <w:color w:val="auto"/>
        </w:rPr>
        <w:t>Mereo’s future expenditure on developing its product candidates is therefore highly uncertain. This is due to numerous risks and uncertainties associated with developing Mereo’s drugs, including the uncertainty of:</w:t>
      </w:r>
    </w:p>
    <w:p>
      <w:pPr>
        <w:spacing w:after="0" w:line="68" w:lineRule="exact"/>
        <w:rPr>
          <w:sz w:val="20"/>
          <w:szCs w:val="20"/>
          <w:color w:val="auto"/>
        </w:rPr>
      </w:pPr>
    </w:p>
    <w:p>
      <w:pPr>
        <w:ind w:left="1260" w:hanging="415"/>
        <w:spacing w:after="0"/>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scope, rate of progress, and expense of Mereo’s research and development activities;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progress and results of Mereo’s clinical trials and Mereo’s pre-clinical and non-clinical studies;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terms and timing of regulatory approvals, if any;</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establishment of arrangements with Mereo’s third-party manufacturers to obtain manufacturing supply;</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protection of Mereo’s rights in its intellectual property portfolio;</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launch of commercial sales of any of Mereo’s product candidates, if approved, whether alone or in collaboration with others;</w:t>
      </w:r>
    </w:p>
    <w:p>
      <w:pPr>
        <w:spacing w:after="0" w:line="128" w:lineRule="exact"/>
        <w:rPr>
          <w:rFonts w:ascii="Arial" w:cs="Arial" w:eastAsia="Arial" w:hAnsi="Arial"/>
          <w:sz w:val="17"/>
          <w:szCs w:val="17"/>
          <w:color w:val="auto"/>
        </w:rPr>
      </w:pPr>
    </w:p>
    <w:p>
      <w:pPr>
        <w:ind w:left="1260" w:right="120" w:hanging="415"/>
        <w:spacing w:after="0" w:line="284" w:lineRule="auto"/>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third party strategic relationships for late-stage clinical development and/or commercialization of Mereo’s specialty product candidates and performance of Mereo’s strategic partners under these arrangements;</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acceptance of any of Mereo’s product candidates, if approved, by patients, the medical community and payors;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competition with other therapies;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continued acceptable safety profile of any of Mereo’s product candidates following approval.</w:t>
      </w:r>
    </w:p>
    <w:p>
      <w:pPr>
        <w:spacing w:after="0" w:line="219"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Any of these variables with respect to the development of Mereo’s product candidates or any other future candidate that Mereo may develop could result in a significant change in the costs and timing associated with their development. For example, if the FDA, the EMA, or another regulatory authority were to require Mereo to conduct pre-clinical studies and clinical trials beyond those that Mereo currently anticipates will be required for the completion of clinical development or if Mereo experiences significant delays in enrollment in any clinical trials, Mereo could be required to expend significant additional financial resources and time on the completion of Mereo’s clinical development programs. Mereo may never succeed in obtaining regulatory approval for any of its product candidates.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5" w:lineRule="exact"/>
        <w:rPr>
          <w:sz w:val="20"/>
          <w:szCs w:val="20"/>
          <w:color w:val="auto"/>
        </w:rPr>
      </w:pPr>
    </w:p>
    <w:p>
      <w:pPr>
        <w:ind w:left="440" w:right="80" w:firstLine="423"/>
        <w:spacing w:after="0" w:line="281" w:lineRule="auto"/>
        <w:rPr>
          <w:sz w:val="20"/>
          <w:szCs w:val="20"/>
          <w:color w:val="auto"/>
        </w:rPr>
      </w:pPr>
      <w:r>
        <w:rPr>
          <w:rFonts w:ascii="Arial" w:cs="Arial" w:eastAsia="Arial" w:hAnsi="Arial"/>
          <w:sz w:val="16"/>
          <w:szCs w:val="16"/>
          <w:color w:val="auto"/>
        </w:rPr>
        <w:t>Mereo’s general and administrative expenses principally consist of salaries and related benefits, including share-based compensation, for personnel in Mereo’s executive, finance and other administrative functions. Other general and administrative costs include facility-related costs and professional services fees for auditing, tax and general legal services, as well as expenses associated with the Merger with OncoMed, Mereo’s requirements of being a listed public company on AIM and costs incurred relating to the issue of equity to the extent not capitalized, including the costs associated with the aborted initial public offering in the United States of Mereo ordinary shares in 2018.</w:t>
      </w:r>
    </w:p>
    <w:p>
      <w:pPr>
        <w:spacing w:after="0" w:line="166"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Mereo expects that its general and administrative costs will increase in the future as its business expands and increases its headcount to support the expected growth in its operating activities. These increases will likely include increased costs related to the hiring of additional personnel and fees to outside consultants, lawyers and accountants,</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980"/>
          </w:cols>
          <w:pgMar w:left="240" w:top="445" w:right="67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spacing w:after="0" w:line="261" w:lineRule="auto"/>
        <w:rPr>
          <w:sz w:val="20"/>
          <w:szCs w:val="20"/>
          <w:color w:val="auto"/>
        </w:rPr>
      </w:pPr>
      <w:r>
        <w:rPr>
          <w:rFonts w:ascii="Arial" w:cs="Arial" w:eastAsia="Arial" w:hAnsi="Arial"/>
          <w:sz w:val="17"/>
          <w:szCs w:val="17"/>
          <w:color w:val="auto"/>
        </w:rPr>
        <w:t>among other expenses. In addition, Mereo expects to continue to grant share-based compensation awards to existing and future key management personnel and other employees. Additionally, Mereo anticipates increased costs associated with being a U.S. public company, including expenses related to services associated with maintaining compliance with Nasdaq rules and SEC requirements, director compensation, insurance, and investor relation costs. If any of Mereo’s product candidates that Mereo intends to directly commercialize obtains regulatory approval, Mereo expects that it will incur expenses associated with building a sales and marketing team.</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Finance Income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Finance income consists of interest earned on Mereo short-term cash deposits and short-term investments.</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Finance Charge</w:t>
      </w:r>
    </w:p>
    <w:p>
      <w:pPr>
        <w:spacing w:after="0" w:line="115"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Finance charge consists of interest on the Novartis Notes, interest on Mereo’s credit facility and losses on short term deposits. For further information on the terms of the Novartis Notes and Mereo’s credit facility see “Item 5. Operating and Financial Review and Prospects—B. Liquidity and Capital Resources—Indebtedness.”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Net Foreign Exchange Gain/(Loss)</w:t>
      </w:r>
    </w:p>
    <w:p>
      <w:pPr>
        <w:spacing w:after="0" w:line="115" w:lineRule="exact"/>
        <w:rPr>
          <w:sz w:val="20"/>
          <w:szCs w:val="20"/>
          <w:color w:val="auto"/>
        </w:rPr>
      </w:pPr>
    </w:p>
    <w:p>
      <w:pPr>
        <w:ind w:left="440" w:right="440" w:firstLine="423"/>
        <w:spacing w:after="0" w:line="269" w:lineRule="auto"/>
        <w:rPr>
          <w:sz w:val="20"/>
          <w:szCs w:val="20"/>
          <w:color w:val="auto"/>
        </w:rPr>
      </w:pPr>
      <w:r>
        <w:rPr>
          <w:rFonts w:ascii="Arial" w:cs="Arial" w:eastAsia="Arial" w:hAnsi="Arial"/>
          <w:sz w:val="17"/>
          <w:szCs w:val="17"/>
          <w:color w:val="auto"/>
        </w:rPr>
        <w:t>Mereo’s functional currency is pound sterling. Mereo initially records transactions in foreign currencies at the rate ruling on the date the transaction first qualifies for recognition. Net foreign exchange gain/(loss) consists of the difference arising on settlement or translation of Mereo’s foreign currencies, which are primarily held in U.S. dollars.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Taxation</w:t>
      </w:r>
    </w:p>
    <w:p>
      <w:pPr>
        <w:spacing w:after="0" w:line="115" w:lineRule="exact"/>
        <w:rPr>
          <w:sz w:val="20"/>
          <w:szCs w:val="20"/>
          <w:color w:val="auto"/>
        </w:rPr>
      </w:pPr>
    </w:p>
    <w:p>
      <w:pPr>
        <w:ind w:left="440" w:right="20" w:firstLine="423"/>
        <w:spacing w:after="0" w:line="274" w:lineRule="auto"/>
        <w:rPr>
          <w:sz w:val="20"/>
          <w:szCs w:val="20"/>
          <w:color w:val="auto"/>
        </w:rPr>
      </w:pPr>
      <w:r>
        <w:rPr>
          <w:rFonts w:ascii="Arial" w:cs="Arial" w:eastAsia="Arial" w:hAnsi="Arial"/>
          <w:sz w:val="16"/>
          <w:szCs w:val="16"/>
          <w:color w:val="auto"/>
        </w:rPr>
        <w:t>As a U.K. resident trading entity, Mereo is subject to U.K. corporate taxation. Due to the nature of Mereo’s business, it has generated losses since formation. As of December 31, 2016, 2017 and 2018, Mereo had cumulative carryforward tax losses of £16.3 million, £36.0 million and £44.2 million, respectively. Subject to any relevant restrictions, Mereo expects these to be available to carry forward and offset against future profits. As a company that carries out extensive research and development (“R&amp;D”) activities, Mereo benefits from the U.K. R&amp;D small or medium-sized enterprise tax credit regime and is able to surrender some of its trading losses that arise from its research and development activities for a cash rebate of up to 33.35% of eligible R&amp;D expenditure. Qualifying expenditures largely comprise employment costs for research staff, subcontracted CRO and CMO costs, consumables and certain internal overhead costs incurred as part of research projects. Certain subcontracted qualifying research expenditures are eligible for a cash rebate of up to 21.67%. Mereo’s effective cash rebate on qualifying R&amp;D expenditure in 2017 was £8.2 million, which it received in August 2018. Mereo’s cash rebate for 2016 was £5.3 million, which it received in May 2017. The cash rebate Mereo received in 2018 with respect to 2017 increased by £2.9 million, reflecting the higher level of qualifying R&amp;D spend in 2017. Mereo may not be able to continue to claim payable R&amp;D tax credits in the future because it may no longer qualify as a small or medium-sized company.</w:t>
      </w:r>
    </w:p>
    <w:p>
      <w:pPr>
        <w:spacing w:after="0" w:line="176" w:lineRule="exact"/>
        <w:rPr>
          <w:sz w:val="20"/>
          <w:szCs w:val="20"/>
          <w:color w:val="auto"/>
        </w:rPr>
      </w:pPr>
    </w:p>
    <w:p>
      <w:pPr>
        <w:ind w:left="440" w:right="140" w:firstLine="423"/>
        <w:spacing w:after="0" w:line="279" w:lineRule="auto"/>
        <w:rPr>
          <w:sz w:val="20"/>
          <w:szCs w:val="20"/>
          <w:color w:val="auto"/>
        </w:rPr>
      </w:pPr>
      <w:r>
        <w:rPr>
          <w:rFonts w:ascii="Arial" w:cs="Arial" w:eastAsia="Arial" w:hAnsi="Arial"/>
          <w:sz w:val="16"/>
          <w:szCs w:val="16"/>
          <w:color w:val="auto"/>
        </w:rPr>
        <w:t>In the event Mereo generates revenues in the future, it may benefit from the U.K. “patent box” regime that allows profits attributable to revenues from patents or patented products to be taxed at an effective rate of 10%. This relief applies to profits earned from April 1, 2013. When taken in combination with the enhanced relief available on Mereo’s R&amp;D expenditures, Mereo expects a long-term lower rate of corporation tax to apply to Mereo. If, however, there are unexpected adverse changes to the U.K. R&amp;D tax credit regime or the “patent box” regime, or for any reason Mereo is unable to qualify for such advantageous tax legislation, or is unable to use net operating loss and tax credit carryforwards and certain built-in losses to reduce future tax payments, its business, results of operations, and financial condition may be adversely affected.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000"/>
          </w:cols>
          <w:pgMar w:left="240" w:top="445" w:right="6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Results of Operations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table sets forth Mereo’s results of operations for the years ended December 31, 2016, 2017 and 2018.</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6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78"/>
              <w:spacing w:after="0" w:line="13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2017</w:t>
            </w:r>
          </w:p>
        </w:tc>
        <w:tc>
          <w:tcPr>
            <w:tcW w:w="3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95"/>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250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85"/>
              </w:rPr>
              <w:t>(in thousands of pounds)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(24,563)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(34,607)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(22,704)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(11,617)</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(10,697)</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(12,505)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(36,180)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(45,304)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(35,208)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Finance income</w:t>
            </w:r>
          </w:p>
        </w:tc>
        <w:tc>
          <w:tcPr>
            <w:tcW w:w="600" w:type="dxa"/>
            <w:vAlign w:val="bottom"/>
          </w:tcPr>
          <w:p>
            <w:pPr>
              <w:jc w:val="right"/>
              <w:spacing w:after="0"/>
              <w:rPr>
                <w:sz w:val="20"/>
                <w:szCs w:val="20"/>
                <w:color w:val="auto"/>
              </w:rPr>
            </w:pPr>
            <w:r>
              <w:rPr>
                <w:rFonts w:ascii="Arial" w:cs="Arial" w:eastAsia="Arial" w:hAnsi="Arial"/>
                <w:sz w:val="17"/>
                <w:szCs w:val="17"/>
                <w:color w:val="auto"/>
              </w:rPr>
              <w:t>375</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827</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Finance charge</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(180)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(1,090)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Net foreign exchange gain/(loss)</w:t>
            </w:r>
          </w:p>
        </w:tc>
        <w:tc>
          <w:tcPr>
            <w:tcW w:w="600" w:type="dxa"/>
            <w:vAlign w:val="bottom"/>
          </w:tcPr>
          <w:p>
            <w:pPr>
              <w:jc w:val="right"/>
              <w:spacing w:after="0"/>
              <w:rPr>
                <w:sz w:val="20"/>
                <w:szCs w:val="20"/>
                <w:color w:val="auto"/>
              </w:rPr>
            </w:pPr>
            <w:r>
              <w:rPr>
                <w:rFonts w:ascii="Arial" w:cs="Arial" w:eastAsia="Arial" w:hAnsi="Arial"/>
                <w:sz w:val="17"/>
                <w:szCs w:val="17"/>
                <w:color w:val="auto"/>
              </w:rPr>
              <w:t>2,263</w:t>
            </w:r>
          </w:p>
        </w:tc>
        <w:tc>
          <w:tcPr>
            <w:tcW w:w="3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(1,384)</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Net loss before tax</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(33,722)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(46,951)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(37,306)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7"/>
                <w:szCs w:val="17"/>
                <w:color w:val="auto"/>
              </w:rPr>
              <w:t>Income tax benefit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5,331</w:t>
            </w:r>
          </w:p>
        </w:tc>
        <w:tc>
          <w:tcPr>
            <w:tcW w:w="3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8,152</w:t>
            </w:r>
          </w:p>
        </w:tc>
        <w:tc>
          <w:tcPr>
            <w:tcW w:w="3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Loss attributable to equity holders of Mereo</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(28,391)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(38,799)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(32,029)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Comparison of Years Ended December 31, 2017 and 2018</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Research and Development Expenses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following table sets forth Mereo’s research and development expenses by product development program for the years ended December 31,</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2017 and 2018.</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6260" w:type="dxa"/>
            <w:vAlign w:val="bottom"/>
          </w:tcPr>
          <w:p>
            <w:pPr>
              <w:spacing w:after="0"/>
              <w:rPr>
                <w:sz w:val="14"/>
                <w:szCs w:val="14"/>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r>
      <w:tr>
        <w:trPr>
          <w:trHeight w:val="135"/>
        </w:trPr>
        <w:tc>
          <w:tcPr>
            <w:tcW w:w="62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19"/>
              <w:spacing w:after="0" w:line="13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r>
      <w:tr>
        <w:trPr>
          <w:trHeight w:val="135"/>
        </w:trPr>
        <w:tc>
          <w:tcPr>
            <w:tcW w:w="6260" w:type="dxa"/>
            <w:vAlign w:val="bottom"/>
          </w:tcPr>
          <w:p>
            <w:pPr>
              <w:spacing w:after="0"/>
              <w:rPr>
                <w:sz w:val="11"/>
                <w:szCs w:val="11"/>
                <w:color w:val="auto"/>
              </w:rPr>
            </w:pPr>
          </w:p>
        </w:tc>
        <w:tc>
          <w:tcPr>
            <w:tcW w:w="1720" w:type="dxa"/>
            <w:vAlign w:val="bottom"/>
            <w:gridSpan w:val="3"/>
          </w:tcPr>
          <w:p>
            <w:pPr>
              <w:jc w:val="right"/>
              <w:ind w:right="56"/>
              <w:spacing w:after="0" w:line="135" w:lineRule="exact"/>
              <w:rPr>
                <w:sz w:val="20"/>
                <w:szCs w:val="20"/>
                <w:color w:val="auto"/>
              </w:rPr>
            </w:pPr>
            <w:r>
              <w:rPr>
                <w:rFonts w:ascii="Arial" w:cs="Arial" w:eastAsia="Arial" w:hAnsi="Arial"/>
                <w:sz w:val="14"/>
                <w:szCs w:val="14"/>
                <w:b w:val="1"/>
                <w:bCs w:val="1"/>
                <w:color w:val="auto"/>
                <w:w w:val="92"/>
              </w:rPr>
              <w:t>(in thousands of pounds)</w:t>
            </w:r>
          </w:p>
        </w:tc>
        <w:tc>
          <w:tcPr>
            <w:tcW w:w="40" w:type="dxa"/>
            <w:vAlign w:val="bottom"/>
          </w:tcPr>
          <w:p>
            <w:pPr>
              <w:spacing w:after="0"/>
              <w:rPr>
                <w:sz w:val="11"/>
                <w:szCs w:val="11"/>
                <w:color w:val="auto"/>
              </w:rPr>
            </w:pPr>
          </w:p>
        </w:tc>
      </w:tr>
      <w:tr>
        <w:trPr>
          <w:trHeight w:val="207"/>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BPS-804</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13,380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11,304</w:t>
            </w:r>
          </w:p>
        </w:tc>
      </w:tr>
      <w:tr>
        <w:trPr>
          <w:trHeight w:val="207"/>
        </w:trPr>
        <w:tc>
          <w:tcPr>
            <w:tcW w:w="6260" w:type="dxa"/>
            <w:vAlign w:val="bottom"/>
          </w:tcPr>
          <w:p>
            <w:pPr>
              <w:spacing w:after="0"/>
              <w:rPr>
                <w:sz w:val="20"/>
                <w:szCs w:val="20"/>
                <w:color w:val="auto"/>
              </w:rPr>
            </w:pPr>
            <w:r>
              <w:rPr>
                <w:rFonts w:ascii="Arial" w:cs="Arial" w:eastAsia="Arial" w:hAnsi="Arial"/>
                <w:sz w:val="17"/>
                <w:szCs w:val="17"/>
                <w:color w:val="auto"/>
              </w:rPr>
              <w:t>MPH-966</w:t>
            </w:r>
          </w:p>
        </w:tc>
        <w:tc>
          <w:tcPr>
            <w:tcW w:w="660" w:type="dxa"/>
            <w:vAlign w:val="bottom"/>
          </w:tcPr>
          <w:p>
            <w:pPr>
              <w:jc w:val="right"/>
              <w:spacing w:after="0"/>
              <w:rPr>
                <w:sz w:val="20"/>
                <w:szCs w:val="20"/>
                <w:color w:val="auto"/>
              </w:rPr>
            </w:pPr>
            <w:r>
              <w:rPr>
                <w:rFonts w:ascii="Arial" w:cs="Arial" w:eastAsia="Arial" w:hAnsi="Arial"/>
                <w:sz w:val="17"/>
                <w:szCs w:val="17"/>
                <w:color w:val="auto"/>
              </w:rPr>
              <w:t>2</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3,722</w:t>
            </w:r>
          </w:p>
        </w:tc>
      </w:tr>
      <w:tr>
        <w:trPr>
          <w:trHeight w:val="207"/>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BGS-649</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10,014</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5,091</w:t>
            </w:r>
          </w:p>
        </w:tc>
      </w:tr>
      <w:tr>
        <w:trPr>
          <w:trHeight w:val="207"/>
        </w:trPr>
        <w:tc>
          <w:tcPr>
            <w:tcW w:w="6260" w:type="dxa"/>
            <w:vAlign w:val="bottom"/>
          </w:tcPr>
          <w:p>
            <w:pPr>
              <w:spacing w:after="0"/>
              <w:rPr>
                <w:sz w:val="20"/>
                <w:szCs w:val="20"/>
                <w:color w:val="auto"/>
              </w:rPr>
            </w:pPr>
            <w:r>
              <w:rPr>
                <w:rFonts w:ascii="Arial" w:cs="Arial" w:eastAsia="Arial" w:hAnsi="Arial"/>
                <w:sz w:val="17"/>
                <w:szCs w:val="17"/>
                <w:color w:val="auto"/>
              </w:rPr>
              <w:t>BCT-197</w:t>
            </w:r>
          </w:p>
        </w:tc>
        <w:tc>
          <w:tcPr>
            <w:tcW w:w="660" w:type="dxa"/>
            <w:vAlign w:val="bottom"/>
          </w:tcPr>
          <w:p>
            <w:pPr>
              <w:jc w:val="right"/>
              <w:spacing w:after="0"/>
              <w:rPr>
                <w:sz w:val="20"/>
                <w:szCs w:val="20"/>
                <w:color w:val="auto"/>
              </w:rPr>
            </w:pPr>
            <w:r>
              <w:rPr>
                <w:rFonts w:ascii="Arial" w:cs="Arial" w:eastAsia="Arial" w:hAnsi="Arial"/>
                <w:sz w:val="17"/>
                <w:szCs w:val="17"/>
                <w:color w:val="auto"/>
              </w:rPr>
              <w:t>10,801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2,285</w:t>
            </w:r>
          </w:p>
        </w:tc>
      </w:tr>
      <w:tr>
        <w:trPr>
          <w:trHeight w:val="207"/>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Unallocated costs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3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40" w:type="dxa"/>
            <w:vAlign w:val="bottom"/>
            <w:shd w:val="clear" w:color="auto" w:fill="CCEEFF"/>
          </w:tcPr>
          <w:p>
            <w:pPr>
              <w:spacing w:after="0"/>
              <w:rPr>
                <w:sz w:val="18"/>
                <w:szCs w:val="18"/>
                <w:color w:val="auto"/>
              </w:rPr>
            </w:pPr>
          </w:p>
        </w:tc>
      </w:tr>
      <w:tr>
        <w:trPr>
          <w:trHeight w:val="213"/>
        </w:trPr>
        <w:tc>
          <w:tcPr>
            <w:tcW w:w="6260" w:type="dxa"/>
            <w:vAlign w:val="bottom"/>
          </w:tcPr>
          <w:p>
            <w:pPr>
              <w:spacing w:after="0"/>
              <w:rPr>
                <w:sz w:val="20"/>
                <w:szCs w:val="20"/>
                <w:color w:val="auto"/>
              </w:rPr>
            </w:pPr>
            <w:r>
              <w:rPr>
                <w:rFonts w:ascii="Arial" w:cs="Arial" w:eastAsia="Arial" w:hAnsi="Arial"/>
                <w:sz w:val="17"/>
                <w:szCs w:val="17"/>
                <w:color w:val="auto"/>
              </w:rPr>
              <w:t>Total research and development expenses</w:t>
            </w:r>
          </w:p>
        </w:tc>
        <w:tc>
          <w:tcPr>
            <w:tcW w:w="660" w:type="dxa"/>
            <w:vAlign w:val="bottom"/>
          </w:tcPr>
          <w:p>
            <w:pPr>
              <w:jc w:val="right"/>
              <w:spacing w:after="0"/>
              <w:rPr>
                <w:sz w:val="20"/>
                <w:szCs w:val="20"/>
                <w:color w:val="auto"/>
              </w:rPr>
            </w:pPr>
            <w:r>
              <w:rPr>
                <w:rFonts w:ascii="Arial" w:cs="Arial" w:eastAsia="Arial" w:hAnsi="Arial"/>
                <w:sz w:val="17"/>
                <w:szCs w:val="17"/>
                <w:color w:val="auto"/>
              </w:rPr>
              <w:t>34,607</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22,704</w:t>
            </w:r>
          </w:p>
        </w:tc>
      </w:tr>
      <w:tr>
        <w:trPr>
          <w:trHeight w:val="20"/>
        </w:trPr>
        <w:tc>
          <w:tcPr>
            <w:tcW w:w="6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right="140" w:firstLine="423"/>
        <w:spacing w:after="0" w:line="269" w:lineRule="auto"/>
        <w:rPr>
          <w:sz w:val="20"/>
          <w:szCs w:val="20"/>
          <w:color w:val="auto"/>
        </w:rPr>
      </w:pPr>
      <w:r>
        <w:rPr>
          <w:rFonts w:ascii="Arial" w:cs="Arial" w:eastAsia="Arial" w:hAnsi="Arial"/>
          <w:sz w:val="17"/>
          <w:szCs w:val="17"/>
          <w:color w:val="auto"/>
        </w:rPr>
        <w:t>Mereo’s total R&amp;D expenses decreased by £11.9 million, or 34.4%, from £34.6 million in 2017 to £22.7 million in 2018. This was a result of the focus in 2018 on our two orphan product candidate development programs and the completion of two Phase 2 clinical trials for two of our product candidates, BCT-197 and BGS-649.</w:t>
      </w:r>
    </w:p>
    <w:p>
      <w:pPr>
        <w:spacing w:after="0" w:line="171" w:lineRule="exact"/>
        <w:rPr>
          <w:sz w:val="20"/>
          <w:szCs w:val="20"/>
          <w:color w:val="auto"/>
        </w:rPr>
      </w:pPr>
    </w:p>
    <w:p>
      <w:pPr>
        <w:ind w:left="440" w:right="140" w:firstLine="423"/>
        <w:spacing w:after="0" w:line="264" w:lineRule="auto"/>
        <w:rPr>
          <w:sz w:val="20"/>
          <w:szCs w:val="20"/>
          <w:color w:val="auto"/>
        </w:rPr>
      </w:pPr>
      <w:r>
        <w:rPr>
          <w:rFonts w:ascii="Arial" w:cs="Arial" w:eastAsia="Arial" w:hAnsi="Arial"/>
          <w:sz w:val="17"/>
          <w:szCs w:val="17"/>
          <w:color w:val="auto"/>
        </w:rPr>
        <w:t>Total R&amp;D expenses included payments Mereo made to CROs and other suppliers for the ongoing clinical development of each of BPS-804 and MPH-966 and for completing the clinical trials of BCT-197 and BGS-649. Clinical trial costs decreased from £22.8 million in 2017 to £14.9 million in 2018. Additionally, Mereo’s R&amp;D employee related costs decreased from £4.3 million in 2017 to £2.9 million in 2018, reflecting lower share-based payment charges in 2018 and partially offset by higher payroll expenses.</w:t>
      </w:r>
    </w:p>
    <w:p>
      <w:pPr>
        <w:spacing w:after="0" w:line="176" w:lineRule="exact"/>
        <w:rPr>
          <w:sz w:val="20"/>
          <w:szCs w:val="20"/>
          <w:color w:val="auto"/>
        </w:rPr>
      </w:pPr>
    </w:p>
    <w:p>
      <w:pPr>
        <w:ind w:left="440" w:right="120" w:firstLine="423"/>
        <w:spacing w:after="0" w:line="264" w:lineRule="auto"/>
        <w:rPr>
          <w:sz w:val="20"/>
          <w:szCs w:val="20"/>
          <w:color w:val="auto"/>
        </w:rPr>
      </w:pPr>
      <w:r>
        <w:rPr>
          <w:rFonts w:ascii="Arial" w:cs="Arial" w:eastAsia="Arial" w:hAnsi="Arial"/>
          <w:sz w:val="17"/>
          <w:szCs w:val="17"/>
          <w:color w:val="auto"/>
        </w:rPr>
        <w:t>Mereo’s payments to CMOs for the provision of drug substance and drug product and associated manufacturing development to support Mereo’s clinical trials and further development and scale-up activities associated with Mereo’s BPO-804 monoclonal antibody manufacturing development decreased from £7.3 million in 2017 to £4.2 million in 2018, reflecting higher costs related to the manufacture of clinical trial supplies for our ongoing BPS-804 adults study in 2017.</w:t>
      </w:r>
    </w:p>
    <w:p>
      <w:pPr>
        <w:spacing w:after="0" w:line="176"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Direct research and development expenses related to BPS-804 decreased by £2.1 million, from £13.4 million in 2017 to £11.3 million in 2018, due to higher costs in 2017 related to the transfer of production of BPS-804 from Novartis to Mereo’s CMO, manufacture of clinical trial supplies in preparation for the start of the adult Phase 2b trial and a full year of clinical costs relating to this trial.</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Direct research and development expenses for MPH-966 increased by £3.7 million, due to the commencement of the Phase 2 study during the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year.</w:t>
      </w:r>
    </w:p>
    <w:p>
      <w:pPr>
        <w:spacing w:after="0" w:line="206" w:lineRule="exact"/>
        <w:rPr>
          <w:sz w:val="20"/>
          <w:szCs w:val="20"/>
          <w:color w:val="auto"/>
        </w:rPr>
      </w:pPr>
    </w:p>
    <w:p>
      <w:pPr>
        <w:ind w:left="440" w:right="40" w:firstLine="423"/>
        <w:spacing w:after="0" w:line="284" w:lineRule="auto"/>
        <w:rPr>
          <w:sz w:val="20"/>
          <w:szCs w:val="20"/>
          <w:color w:val="auto"/>
        </w:rPr>
      </w:pPr>
      <w:r>
        <w:rPr>
          <w:rFonts w:ascii="Arial" w:cs="Arial" w:eastAsia="Arial" w:hAnsi="Arial"/>
          <w:sz w:val="17"/>
          <w:szCs w:val="17"/>
          <w:color w:val="auto"/>
        </w:rPr>
        <w:t>Direct research and development expenses related to BGS-649 decreased by £5.7 million, from £10.8 million in 2017 to £5.1 million in 2018, due to the completion of the main part of the Phase 2 trial during 2018.</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980"/>
          </w:cols>
          <w:pgMar w:left="240" w:top="445" w:right="67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60" w:firstLine="423"/>
        <w:spacing w:after="0" w:line="284" w:lineRule="auto"/>
        <w:rPr>
          <w:sz w:val="20"/>
          <w:szCs w:val="20"/>
          <w:color w:val="auto"/>
        </w:rPr>
      </w:pPr>
      <w:r>
        <w:rPr>
          <w:rFonts w:ascii="Arial" w:cs="Arial" w:eastAsia="Arial" w:hAnsi="Arial"/>
          <w:sz w:val="17"/>
          <w:szCs w:val="17"/>
          <w:color w:val="auto"/>
        </w:rPr>
        <w:t>Direct research and development expenses related to BCT-197 decreased by £7.7 million, from £10.0 million in 2017 to £2.3 million in 2018, due to the completion of the Phase 2 trial in the first half of 2018.</w:t>
      </w:r>
    </w:p>
    <w:p>
      <w:pPr>
        <w:spacing w:after="0" w:line="159" w:lineRule="exact"/>
        <w:rPr>
          <w:sz w:val="20"/>
          <w:szCs w:val="20"/>
          <w:color w:val="auto"/>
        </w:rPr>
      </w:pPr>
    </w:p>
    <w:p>
      <w:pPr>
        <w:jc w:val="both"/>
        <w:ind w:left="440" w:right="220" w:firstLine="423"/>
        <w:spacing w:after="0" w:line="269" w:lineRule="auto"/>
        <w:rPr>
          <w:sz w:val="20"/>
          <w:szCs w:val="20"/>
          <w:color w:val="auto"/>
        </w:rPr>
      </w:pPr>
      <w:r>
        <w:rPr>
          <w:rFonts w:ascii="Arial" w:cs="Arial" w:eastAsia="Arial" w:hAnsi="Arial"/>
          <w:sz w:val="17"/>
          <w:szCs w:val="17"/>
          <w:color w:val="auto"/>
        </w:rPr>
        <w:t>Unallocated research and development expenses consisted primarily of costs related to employees and associated payroll costs, including costs related to external research and development contractors that are not specific to any of our product candidates. These costs decreased by £0.1 million, from £0.4 million in 2017 to £0.3 million in 2018.</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5" w:lineRule="exact"/>
        <w:rPr>
          <w:sz w:val="20"/>
          <w:szCs w:val="20"/>
          <w:color w:val="auto"/>
        </w:rPr>
      </w:pPr>
    </w:p>
    <w:p>
      <w:pPr>
        <w:ind w:left="440" w:right="320" w:firstLine="423"/>
        <w:spacing w:after="0" w:line="316" w:lineRule="auto"/>
        <w:rPr>
          <w:sz w:val="20"/>
          <w:szCs w:val="20"/>
          <w:color w:val="auto"/>
        </w:rPr>
      </w:pPr>
      <w:r>
        <w:rPr>
          <w:rFonts w:ascii="Arial" w:cs="Arial" w:eastAsia="Arial" w:hAnsi="Arial"/>
          <w:sz w:val="16"/>
          <w:szCs w:val="16"/>
          <w:color w:val="auto"/>
        </w:rPr>
        <w:t>General and administrative (“G&amp;A”) expenses increased by £1.8 million, or 16.8%, from £10.7 million in 2017 to £12.5 million in 2018. This increase was primarily due to an increase in Mereo’s total professional fees, which was partially offset by a decrease in staff expenses.</w:t>
      </w:r>
    </w:p>
    <w:p>
      <w:pPr>
        <w:spacing w:after="0" w:line="137" w:lineRule="exact"/>
        <w:rPr>
          <w:sz w:val="20"/>
          <w:szCs w:val="20"/>
          <w:color w:val="auto"/>
        </w:rPr>
      </w:pPr>
    </w:p>
    <w:p>
      <w:pPr>
        <w:ind w:left="440" w:right="120" w:firstLine="423"/>
        <w:spacing w:after="0" w:line="281" w:lineRule="auto"/>
        <w:rPr>
          <w:sz w:val="20"/>
          <w:szCs w:val="20"/>
          <w:color w:val="auto"/>
        </w:rPr>
      </w:pPr>
      <w:r>
        <w:rPr>
          <w:rFonts w:ascii="Arial" w:cs="Arial" w:eastAsia="Arial" w:hAnsi="Arial"/>
          <w:sz w:val="16"/>
          <w:szCs w:val="16"/>
          <w:color w:val="auto"/>
        </w:rPr>
        <w:t>Our total professional fees increased from £1.9 million in 2017 to £6.3 million in 2018. This increase was due to expenses relating to our aborted initial public offering of equity securities on Nasdaq in 2018, of which £1.0 million was held on the balance sheet as prepayments as at December 31, 2017 and released during 2018, together with the expenses associated with the Merger with OncoMed and fees in respect of a bank loan renegotiation. Total general and administrative staff expenses decreased by £2.4 million from £6.9 million in 2017 to £4.5 million in 2018 after taking account of a reduction in share-based payment charges of £3.1 million and an increase in underlying staff costs of £0.7 million.</w:t>
      </w:r>
    </w:p>
    <w:p>
      <w:pPr>
        <w:spacing w:after="0" w:line="270"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Finance Income</w:t>
      </w:r>
    </w:p>
    <w:p>
      <w:pPr>
        <w:spacing w:after="0" w:line="115"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Interest earned on Mereo’s short-term cash deposits decreased from £0.8 million in 2017 to £0.3 million in 2018, reflecting lower balances held on deposit during the year.</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Finance Charge</w:t>
      </w:r>
    </w:p>
    <w:p>
      <w:pPr>
        <w:spacing w:after="0" w:line="115" w:lineRule="exact"/>
        <w:rPr>
          <w:sz w:val="20"/>
          <w:szCs w:val="20"/>
          <w:color w:val="auto"/>
        </w:rPr>
      </w:pPr>
    </w:p>
    <w:p>
      <w:pPr>
        <w:ind w:left="440" w:right="60" w:firstLine="423"/>
        <w:spacing w:after="0" w:line="284" w:lineRule="auto"/>
        <w:rPr>
          <w:sz w:val="20"/>
          <w:szCs w:val="20"/>
          <w:color w:val="auto"/>
        </w:rPr>
      </w:pPr>
      <w:r>
        <w:rPr>
          <w:rFonts w:ascii="Arial" w:cs="Arial" w:eastAsia="Arial" w:hAnsi="Arial"/>
          <w:sz w:val="17"/>
          <w:szCs w:val="17"/>
          <w:color w:val="auto"/>
        </w:rPr>
        <w:t>Finance charges increased by £1.3 million from £1.1 million in 2017 to £2.4 million in 2018, primarily reflecting a full year of interest charges on the bank loan in the year.</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Net Foreign Exchange Gains/(Losses)</w:t>
      </w:r>
    </w:p>
    <w:p>
      <w:pPr>
        <w:spacing w:after="0" w:line="115" w:lineRule="exact"/>
        <w:rPr>
          <w:sz w:val="20"/>
          <w:szCs w:val="20"/>
          <w:color w:val="auto"/>
        </w:rPr>
      </w:pPr>
    </w:p>
    <w:p>
      <w:pPr>
        <w:ind w:left="440" w:right="220" w:firstLine="423"/>
        <w:spacing w:after="0" w:line="264" w:lineRule="auto"/>
        <w:rPr>
          <w:sz w:val="20"/>
          <w:szCs w:val="20"/>
          <w:color w:val="auto"/>
        </w:rPr>
      </w:pPr>
      <w:r>
        <w:rPr>
          <w:rFonts w:ascii="Arial" w:cs="Arial" w:eastAsia="Arial" w:hAnsi="Arial"/>
          <w:sz w:val="17"/>
          <w:szCs w:val="17"/>
          <w:color w:val="auto"/>
        </w:rPr>
        <w:t>In 2017, net foreign exchange loss was £1.4 million, reflecting a weakening of the U.S. dollar against pound sterling during the year which negatively impacted the translation of Mereo’s foreign deposits and investments at December 31, 2017. In 2018, the net foreign exchange gain was £0.1 million, representing the unrealized gain on translation of cash deposits held primarily in U.S. dollars at year-end, and reflecting lower exchange rate variance year-to-year on lower U.S. denominated cash balances held at the end of 2018.</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Income Tax Benefit</w:t>
      </w:r>
    </w:p>
    <w:p>
      <w:pPr>
        <w:spacing w:after="0" w:line="115"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Mereo recorded a tax credit of £8.2 million in 2017 and £5.3 million in 2018. The tax credit represents the cash rebate from the U.K. tax authorities Mereo qualified for in respect of eligible research and development activities during the years. The reduction in the tax credit accrued is due to a reduction in qualifying R&amp;D expenditure in 2018. The tax credit for 2017 was received in 2018 and Mereo expects to receive the tax credit for 2018 in 2019.</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Comparison of the Years Ended December 31, 2016 and 2017</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Research and Development Expenses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following table sets forth Mereo’s research and development expenses by product development program for the years ended December 31,</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2016 and 2017.</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3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r>
      <w:tr>
        <w:trPr>
          <w:trHeight w:val="135"/>
        </w:trPr>
        <w:tc>
          <w:tcPr>
            <w:tcW w:w="33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24"/>
              <w:spacing w:after="0" w:line="13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35"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r>
      <w:tr>
        <w:trPr>
          <w:trHeight w:val="135"/>
        </w:trPr>
        <w:tc>
          <w:tcPr>
            <w:tcW w:w="33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720" w:type="dxa"/>
            <w:vAlign w:val="bottom"/>
            <w:gridSpan w:val="3"/>
          </w:tcPr>
          <w:p>
            <w:pPr>
              <w:jc w:val="right"/>
              <w:ind w:right="56"/>
              <w:spacing w:after="0" w:line="135" w:lineRule="exact"/>
              <w:rPr>
                <w:sz w:val="20"/>
                <w:szCs w:val="20"/>
                <w:color w:val="auto"/>
              </w:rPr>
            </w:pPr>
            <w:r>
              <w:rPr>
                <w:rFonts w:ascii="Arial" w:cs="Arial" w:eastAsia="Arial" w:hAnsi="Arial"/>
                <w:sz w:val="14"/>
                <w:szCs w:val="14"/>
                <w:b w:val="1"/>
                <w:bCs w:val="1"/>
                <w:color w:val="auto"/>
                <w:w w:val="92"/>
              </w:rPr>
              <w:t>(in thousands of pounds)</w:t>
            </w:r>
          </w:p>
        </w:tc>
        <w:tc>
          <w:tcPr>
            <w:tcW w:w="40" w:type="dxa"/>
            <w:vAlign w:val="bottom"/>
          </w:tcPr>
          <w:p>
            <w:pPr>
              <w:spacing w:after="0"/>
              <w:rPr>
                <w:sz w:val="11"/>
                <w:szCs w:val="11"/>
                <w:color w:val="auto"/>
              </w:rPr>
            </w:pP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BPS-804</w:t>
            </w:r>
          </w:p>
        </w:tc>
        <w:tc>
          <w:tcPr>
            <w:tcW w:w="38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4,804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13,380</w:t>
            </w:r>
          </w:p>
        </w:tc>
      </w:tr>
      <w:tr>
        <w:trPr>
          <w:trHeight w:val="207"/>
        </w:trPr>
        <w:tc>
          <w:tcPr>
            <w:tcW w:w="3380" w:type="dxa"/>
            <w:vAlign w:val="bottom"/>
          </w:tcPr>
          <w:p>
            <w:pPr>
              <w:spacing w:after="0"/>
              <w:rPr>
                <w:sz w:val="20"/>
                <w:szCs w:val="20"/>
                <w:color w:val="auto"/>
              </w:rPr>
            </w:pPr>
            <w:r>
              <w:rPr>
                <w:rFonts w:ascii="Arial" w:cs="Arial" w:eastAsia="Arial" w:hAnsi="Arial"/>
                <w:sz w:val="17"/>
                <w:szCs w:val="17"/>
                <w:color w:val="auto"/>
              </w:rPr>
              <w:t>BGS-649</w:t>
            </w:r>
          </w:p>
        </w:tc>
        <w:tc>
          <w:tcPr>
            <w:tcW w:w="3880" w:type="dxa"/>
            <w:vAlign w:val="bottom"/>
            <w:gridSpan w:val="3"/>
          </w:tcPr>
          <w:p>
            <w:pPr>
              <w:jc w:val="right"/>
              <w:ind w:right="340"/>
              <w:spacing w:after="0"/>
              <w:rPr>
                <w:sz w:val="20"/>
                <w:szCs w:val="20"/>
                <w:color w:val="auto"/>
              </w:rPr>
            </w:pPr>
            <w:r>
              <w:rPr>
                <w:rFonts w:ascii="Arial" w:cs="Arial" w:eastAsia="Arial" w:hAnsi="Arial"/>
                <w:sz w:val="17"/>
                <w:szCs w:val="17"/>
                <w:color w:val="auto"/>
              </w:rPr>
              <w:t>9,734</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10,014</w:t>
            </w: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BCT-197</w:t>
            </w:r>
          </w:p>
        </w:tc>
        <w:tc>
          <w:tcPr>
            <w:tcW w:w="388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9,432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10,801</w:t>
            </w:r>
          </w:p>
        </w:tc>
      </w:tr>
      <w:tr>
        <w:trPr>
          <w:trHeight w:val="207"/>
        </w:trPr>
        <w:tc>
          <w:tcPr>
            <w:tcW w:w="3380" w:type="dxa"/>
            <w:vAlign w:val="bottom"/>
          </w:tcPr>
          <w:p>
            <w:pPr>
              <w:spacing w:after="0"/>
              <w:rPr>
                <w:sz w:val="20"/>
                <w:szCs w:val="20"/>
                <w:color w:val="auto"/>
              </w:rPr>
            </w:pPr>
            <w:r>
              <w:rPr>
                <w:rFonts w:ascii="Arial" w:cs="Arial" w:eastAsia="Arial" w:hAnsi="Arial"/>
                <w:sz w:val="17"/>
                <w:szCs w:val="17"/>
                <w:color w:val="auto"/>
              </w:rPr>
              <w:t>MPH-966</w:t>
            </w:r>
          </w:p>
        </w:tc>
        <w:tc>
          <w:tcPr>
            <w:tcW w:w="28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Unallocated costs</w:t>
            </w:r>
          </w:p>
        </w:tc>
        <w:tc>
          <w:tcPr>
            <w:tcW w:w="28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3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40" w:type="dxa"/>
            <w:vAlign w:val="bottom"/>
            <w:shd w:val="clear" w:color="auto" w:fill="CCEEFF"/>
          </w:tcPr>
          <w:p>
            <w:pPr>
              <w:spacing w:after="0"/>
              <w:rPr>
                <w:sz w:val="18"/>
                <w:szCs w:val="18"/>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7"/>
                <w:szCs w:val="17"/>
                <w:color w:val="auto"/>
              </w:rPr>
              <w:t>Total research and development expenses</w:t>
            </w:r>
          </w:p>
        </w:tc>
        <w:tc>
          <w:tcPr>
            <w:tcW w:w="3880" w:type="dxa"/>
            <w:vAlign w:val="bottom"/>
            <w:gridSpan w:val="3"/>
          </w:tcPr>
          <w:p>
            <w:pPr>
              <w:jc w:val="right"/>
              <w:ind w:right="340"/>
              <w:spacing w:after="0"/>
              <w:rPr>
                <w:sz w:val="20"/>
                <w:szCs w:val="20"/>
                <w:color w:val="auto"/>
              </w:rPr>
            </w:pPr>
            <w:r>
              <w:rPr>
                <w:rFonts w:ascii="Arial" w:cs="Arial" w:eastAsia="Arial" w:hAnsi="Arial"/>
                <w:sz w:val="17"/>
                <w:szCs w:val="17"/>
                <w:color w:val="auto"/>
              </w:rPr>
              <w:t>24,563</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34,607</w:t>
            </w:r>
          </w:p>
        </w:tc>
      </w:tr>
      <w:tr>
        <w:trPr>
          <w:trHeight w:val="356"/>
        </w:trPr>
        <w:tc>
          <w:tcPr>
            <w:tcW w:w="3380" w:type="dxa"/>
            <w:vAlign w:val="bottom"/>
          </w:tcPr>
          <w:p>
            <w:pPr>
              <w:spacing w:after="0"/>
              <w:rPr>
                <w:sz w:val="24"/>
                <w:szCs w:val="24"/>
                <w:color w:val="auto"/>
              </w:rPr>
            </w:pPr>
          </w:p>
        </w:tc>
        <w:tc>
          <w:tcPr>
            <w:tcW w:w="2880" w:type="dxa"/>
            <w:vAlign w:val="bottom"/>
          </w:tcPr>
          <w:p>
            <w:pPr>
              <w:jc w:val="right"/>
              <w:ind w:right="2034"/>
              <w:spacing w:after="0"/>
              <w:rPr>
                <w:sz w:val="20"/>
                <w:szCs w:val="20"/>
                <w:color w:val="auto"/>
              </w:rPr>
            </w:pPr>
            <w:r>
              <w:rPr>
                <w:rFonts w:ascii="Arial" w:cs="Arial" w:eastAsia="Arial" w:hAnsi="Arial"/>
                <w:sz w:val="17"/>
                <w:szCs w:val="17"/>
                <w:color w:val="auto"/>
              </w:rPr>
              <w:t>107</w:t>
            </w: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80"/>
          </w:cols>
          <w:pgMar w:left="240" w:top="445" w:right="67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firstLine="423"/>
        <w:spacing w:after="0" w:line="290" w:lineRule="auto"/>
        <w:rPr>
          <w:sz w:val="20"/>
          <w:szCs w:val="20"/>
          <w:color w:val="auto"/>
        </w:rPr>
      </w:pPr>
      <w:r>
        <w:rPr>
          <w:rFonts w:ascii="Arial" w:cs="Arial" w:eastAsia="Arial" w:hAnsi="Arial"/>
          <w:sz w:val="15"/>
          <w:szCs w:val="15"/>
          <w:color w:val="auto"/>
        </w:rPr>
        <w:t>Mereo’s total research and development expenses increased by £10.0 million, or 41%, from £24.6 million in 2016 to £34.6 million in 2017. This was a result of increased spending on clinical development as Mereo continued the Phase 2 programs for BCT-197 and BGS-649 and commenced the adult Phase 2b program for BPS-804. Total R&amp;D expenses included payments Mereo made to CROs and other suppliers for the ongoing clinical development of each of BPS-804, BCT-197, and BGS-649, which increased from £17.9 million in 2016 to £22.8 million in 2017, reflecting the inclusion of expenses relating to the adult Phase 2b study for BPS-804. Additionally, Mereo’s R&amp;D employee related costs increased from £3.1 million in 2016 to £4.1 million in 2017, reflecting increased headcount, higher other employee-related expenses, including travel, and higher bonus amounts earned in 2017. Mereo’s payments to CMOs for the provision of drug substance and drug product and associated manufacturing development to support Mereo’s clinical trials and the transfer of manufacturing of drug substance and drug product from Novartis to third-party manufacturers increased from</w:t>
      </w:r>
    </w:p>
    <w:p>
      <w:pPr>
        <w:spacing w:after="0" w:line="3" w:lineRule="exact"/>
        <w:rPr>
          <w:sz w:val="20"/>
          <w:szCs w:val="20"/>
          <w:color w:val="auto"/>
        </w:rPr>
      </w:pPr>
    </w:p>
    <w:p>
      <w:pPr>
        <w:ind w:left="440" w:right="460"/>
        <w:spacing w:after="0" w:line="268" w:lineRule="auto"/>
        <w:rPr>
          <w:sz w:val="20"/>
          <w:szCs w:val="20"/>
          <w:color w:val="auto"/>
        </w:rPr>
      </w:pPr>
      <w:r>
        <w:rPr>
          <w:rFonts w:ascii="Arial" w:cs="Arial" w:eastAsia="Arial" w:hAnsi="Arial"/>
          <w:sz w:val="17"/>
          <w:szCs w:val="17"/>
          <w:color w:val="auto"/>
        </w:rPr>
        <w:t>£2.9 million in 2016 to £7.3 million in 2017, reflecting ongoing manufacturing activity primarily due to the manufacture of additional clinical trial materials in respect of BPS-804.</w:t>
      </w:r>
    </w:p>
    <w:p>
      <w:pPr>
        <w:spacing w:after="0" w:line="172" w:lineRule="exact"/>
        <w:rPr>
          <w:sz w:val="20"/>
          <w:szCs w:val="20"/>
          <w:color w:val="auto"/>
        </w:rPr>
      </w:pPr>
    </w:p>
    <w:p>
      <w:pPr>
        <w:jc w:val="both"/>
        <w:ind w:left="440" w:right="100" w:firstLine="423"/>
        <w:spacing w:after="0" w:line="354" w:lineRule="auto"/>
        <w:rPr>
          <w:sz w:val="20"/>
          <w:szCs w:val="20"/>
          <w:color w:val="auto"/>
        </w:rPr>
      </w:pPr>
      <w:r>
        <w:rPr>
          <w:rFonts w:ascii="Arial" w:cs="Arial" w:eastAsia="Arial" w:hAnsi="Arial"/>
          <w:sz w:val="15"/>
          <w:szCs w:val="15"/>
          <w:color w:val="auto"/>
        </w:rPr>
        <w:t>Direct research and development expenses related to BPS-804 increased by £8.6 million, from £4.8 million in 2016 to £13.4 million in 2017, due to the commencement of the adult Phase 2b study for BPS-804 during 2017 and the completion of the manufacture of associated clinical trial materials.</w:t>
      </w:r>
    </w:p>
    <w:p>
      <w:pPr>
        <w:spacing w:after="0" w:line="113" w:lineRule="exact"/>
        <w:rPr>
          <w:sz w:val="20"/>
          <w:szCs w:val="20"/>
          <w:color w:val="auto"/>
        </w:rPr>
      </w:pPr>
    </w:p>
    <w:p>
      <w:pPr>
        <w:ind w:left="440" w:right="120" w:firstLine="423"/>
        <w:spacing w:after="0" w:line="316" w:lineRule="auto"/>
        <w:rPr>
          <w:sz w:val="20"/>
          <w:szCs w:val="20"/>
          <w:color w:val="auto"/>
        </w:rPr>
      </w:pPr>
      <w:r>
        <w:rPr>
          <w:rFonts w:ascii="Arial" w:cs="Arial" w:eastAsia="Arial" w:hAnsi="Arial"/>
          <w:sz w:val="16"/>
          <w:szCs w:val="16"/>
          <w:color w:val="auto"/>
        </w:rPr>
        <w:t>Direct research and development expenses related to BCT-197 increased by £0.3 million, from £9.7 million in 2016 to £10.0 million in 2017, due to the completion of the Phase 2 clinical trial for BCT-197 in the fourth quarter of 2017, which trial commenced in the first half of 2016.</w:t>
      </w:r>
    </w:p>
    <w:p>
      <w:pPr>
        <w:spacing w:after="0" w:line="137" w:lineRule="exact"/>
        <w:rPr>
          <w:sz w:val="20"/>
          <w:szCs w:val="20"/>
          <w:color w:val="auto"/>
        </w:rPr>
      </w:pPr>
    </w:p>
    <w:p>
      <w:pPr>
        <w:ind w:left="440" w:right="100" w:firstLine="423"/>
        <w:spacing w:after="0" w:line="284" w:lineRule="auto"/>
        <w:rPr>
          <w:sz w:val="20"/>
          <w:szCs w:val="20"/>
          <w:color w:val="auto"/>
        </w:rPr>
      </w:pPr>
      <w:r>
        <w:rPr>
          <w:rFonts w:ascii="Arial" w:cs="Arial" w:eastAsia="Arial" w:hAnsi="Arial"/>
          <w:sz w:val="17"/>
          <w:szCs w:val="17"/>
          <w:color w:val="auto"/>
        </w:rPr>
        <w:t>Direct research and development expenses related to BGS-649 increased by £1.4 million, from £9.4 million in 2016 to £10.8 million in 2017, due to the continuation of the Phase 2b study for BGS-649 and the commencement of the Phase 2b extension study.</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5"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General and administrative expenses decreased by £0.9 million, or 7.8%, from £11.6 million in 2016 to £10.7 million in 2017. This decrease was due to a decrease in share-based payment expenses of £2.8 million, reflecting the lower level of share option awards in 2017, partially offset by a rise in other general and administrative costs of £1.9 million, reflecting an increase in payroll-related costs due to a higher headcount and higher bonus amounts earned in 2017, together with additional legal and professional fees in connection with the equity financing in April 2017, the entering into a credit facility in August 2017, and the acquisition of MPH-966 in October 2017.</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Finance Income</w:t>
      </w:r>
    </w:p>
    <w:p>
      <w:pPr>
        <w:spacing w:after="0" w:line="115" w:lineRule="exact"/>
        <w:rPr>
          <w:sz w:val="20"/>
          <w:szCs w:val="20"/>
          <w:color w:val="auto"/>
        </w:rPr>
      </w:pPr>
    </w:p>
    <w:p>
      <w:pPr>
        <w:ind w:left="440" w:right="200" w:firstLine="423"/>
        <w:spacing w:after="0" w:line="284" w:lineRule="auto"/>
        <w:rPr>
          <w:sz w:val="20"/>
          <w:szCs w:val="20"/>
          <w:color w:val="auto"/>
        </w:rPr>
      </w:pPr>
      <w:r>
        <w:rPr>
          <w:rFonts w:ascii="Arial" w:cs="Arial" w:eastAsia="Arial" w:hAnsi="Arial"/>
          <w:sz w:val="17"/>
          <w:szCs w:val="17"/>
          <w:color w:val="auto"/>
        </w:rPr>
        <w:t>Interest earned on Mereo’s short-term cash deposits increased from £0.4 million in 2016 to £0.8 million in 2017, reflecting higher cash balances held in deposit in 2017.</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Finance Charge</w:t>
      </w:r>
    </w:p>
    <w:p>
      <w:pPr>
        <w:spacing w:after="0" w:line="115" w:lineRule="exact"/>
        <w:rPr>
          <w:sz w:val="20"/>
          <w:szCs w:val="20"/>
          <w:color w:val="auto"/>
        </w:rPr>
      </w:pPr>
    </w:p>
    <w:p>
      <w:pPr>
        <w:ind w:left="440" w:right="280" w:firstLine="423"/>
        <w:spacing w:after="0" w:line="269" w:lineRule="auto"/>
        <w:rPr>
          <w:sz w:val="20"/>
          <w:szCs w:val="20"/>
          <w:color w:val="auto"/>
        </w:rPr>
      </w:pPr>
      <w:r>
        <w:rPr>
          <w:rFonts w:ascii="Arial" w:cs="Arial" w:eastAsia="Arial" w:hAnsi="Arial"/>
          <w:sz w:val="17"/>
          <w:szCs w:val="17"/>
          <w:color w:val="auto"/>
        </w:rPr>
        <w:t>Finance charge increased from £0.2 million in 2016 to £1.1 million in 2017, reflecting interest costs on additional borrowings under Mereo’s credit facility during 2017 and lower costs related to the Novartis Notes after the exercise of a portion of these notes in April 2017. Finance charge in 2017 also included £0.3 million of losses on short term deposits.</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Net Foreign Exchange Gain/(Loss)</w:t>
      </w:r>
    </w:p>
    <w:p>
      <w:pPr>
        <w:spacing w:after="0" w:line="115" w:lineRule="exact"/>
        <w:rPr>
          <w:sz w:val="20"/>
          <w:szCs w:val="20"/>
          <w:color w:val="auto"/>
        </w:rPr>
      </w:pPr>
    </w:p>
    <w:p>
      <w:pPr>
        <w:ind w:left="440" w:right="120" w:firstLine="423"/>
        <w:spacing w:after="0" w:line="284" w:lineRule="auto"/>
        <w:rPr>
          <w:sz w:val="20"/>
          <w:szCs w:val="20"/>
          <w:color w:val="auto"/>
        </w:rPr>
      </w:pPr>
      <w:r>
        <w:rPr>
          <w:rFonts w:ascii="Arial" w:cs="Arial" w:eastAsia="Arial" w:hAnsi="Arial"/>
          <w:sz w:val="17"/>
          <w:szCs w:val="17"/>
          <w:color w:val="auto"/>
        </w:rPr>
        <w:t>In 2016, the net foreign exchange gain was £2.3 million, primarily as a result of the unrealized gain on translation of cash deposits held primarily in U.S. dollars at year end, reflecting a strengthening of the U.S. dollar against pound</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000"/>
          </w:cols>
          <w:pgMar w:left="240" w:top="445" w:right="65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80"/>
        <w:spacing w:after="0" w:line="284" w:lineRule="auto"/>
        <w:rPr>
          <w:sz w:val="20"/>
          <w:szCs w:val="20"/>
          <w:color w:val="auto"/>
        </w:rPr>
      </w:pPr>
      <w:r>
        <w:rPr>
          <w:rFonts w:ascii="Arial" w:cs="Arial" w:eastAsia="Arial" w:hAnsi="Arial"/>
          <w:sz w:val="17"/>
          <w:szCs w:val="17"/>
          <w:color w:val="auto"/>
        </w:rPr>
        <w:t>sterling during the year. In 2017, net foreign exchange loss was £1.4 million, reflecting a weakening of the U.S. dollar against pound sterling during the year which negatively impacted the translation of Mereo’s foreign deposits and investments at December 31, 2017.</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Income Tax Benefit</w:t>
      </w:r>
    </w:p>
    <w:p>
      <w:pPr>
        <w:spacing w:after="0" w:line="115"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Mereo recorded a tax credit of £5.3 million in 2016 and £8.2 million in 2017. The tax credit represents the cash rebate from the U.K. tax authorities Mereo qualified for in respect of eligible research and development activities during the years. Due to the increase in qualifying R&amp;D expenditure in 2017, the 2017 tax credit increased by £2.9 million from the 2016 tax credit. The 2016 tax credit was received in May 2017. The 2017 tax credit of £8.2 million was received in August 2018.</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5.B. Liquidity and Capital Resources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ind w:left="440" w:right="20" w:firstLine="423"/>
        <w:spacing w:after="0" w:line="278" w:lineRule="auto"/>
        <w:rPr>
          <w:sz w:val="20"/>
          <w:szCs w:val="20"/>
          <w:color w:val="auto"/>
        </w:rPr>
      </w:pPr>
      <w:r>
        <w:rPr>
          <w:rFonts w:ascii="Arial" w:cs="Arial" w:eastAsia="Arial" w:hAnsi="Arial"/>
          <w:sz w:val="16"/>
          <w:szCs w:val="16"/>
          <w:color w:val="auto"/>
        </w:rPr>
        <w:t>Since Mereo’s formation, it has incurred significant operating losses. Mereo expects to incur significant expenses and operating losses for the foreseeable future as it advances the clinical development of its product candidates. Mereo expects that its research and development and general and administrative costs will increase in connection with conducting clinical trials for its product candidates and any new product candidates it acquires and due to the costs in seeking marketing approval for its product candidates in Europe and the United States as well as other jurisdictions. As a result, Mereo will need additional capital to fund its operations, which it may obtain from additional debt or equity financings, collaborations, licensing arrangements, or other sources. In addition, Mereo will need a limited amount of capital to fund the close-out of OncoMed’s existing clinical studies and to fund the ongoing general and administrative expenses relating to OncoMed following the Merger.</w:t>
      </w:r>
    </w:p>
    <w:p>
      <w:pPr>
        <w:spacing w:after="0" w:line="166" w:lineRule="exact"/>
        <w:rPr>
          <w:sz w:val="20"/>
          <w:szCs w:val="20"/>
          <w:color w:val="auto"/>
        </w:rPr>
      </w:pPr>
    </w:p>
    <w:p>
      <w:pPr>
        <w:jc w:val="both"/>
        <w:ind w:left="440" w:right="180" w:firstLine="423"/>
        <w:spacing w:after="0" w:line="269" w:lineRule="auto"/>
        <w:rPr>
          <w:sz w:val="20"/>
          <w:szCs w:val="20"/>
          <w:color w:val="auto"/>
        </w:rPr>
      </w:pPr>
      <w:r>
        <w:rPr>
          <w:rFonts w:ascii="Arial" w:cs="Arial" w:eastAsia="Arial" w:hAnsi="Arial"/>
          <w:sz w:val="17"/>
          <w:szCs w:val="17"/>
          <w:color w:val="auto"/>
        </w:rPr>
        <w:t>Mereo does not currently have any approved products and has never generated any revenue from product sales or otherwise. To date, Mereo has financed its operations primarily through the issuances of its equity securities and convertible debt and its credit facility, which Mereo entered into in August 2017.</w:t>
      </w:r>
    </w:p>
    <w:p>
      <w:pPr>
        <w:spacing w:after="0" w:line="171" w:lineRule="exact"/>
        <w:rPr>
          <w:sz w:val="20"/>
          <w:szCs w:val="20"/>
          <w:color w:val="auto"/>
        </w:rPr>
      </w:pPr>
    </w:p>
    <w:p>
      <w:pPr>
        <w:ind w:left="440" w:right="300" w:firstLine="423"/>
        <w:spacing w:after="0" w:line="269" w:lineRule="auto"/>
        <w:rPr>
          <w:sz w:val="20"/>
          <w:szCs w:val="20"/>
          <w:color w:val="auto"/>
        </w:rPr>
      </w:pPr>
      <w:r>
        <w:rPr>
          <w:rFonts w:ascii="Arial" w:cs="Arial" w:eastAsia="Arial" w:hAnsi="Arial"/>
          <w:sz w:val="17"/>
          <w:szCs w:val="17"/>
          <w:color w:val="auto"/>
        </w:rPr>
        <w:t>As of December 31, 2018, Mereo had cash and short-term deposits and short-term investments (together “cash resources”) of £27.5 million compared to £52.5 million as at December 31, 2017. Immediately following completion of the Merger with OncoMed on April 23, 2019 Mereo, had cash resources of £53.9 million.</w:t>
      </w:r>
    </w:p>
    <w:p>
      <w:pPr>
        <w:spacing w:after="0" w:line="171" w:lineRule="exact"/>
        <w:rPr>
          <w:sz w:val="20"/>
          <w:szCs w:val="20"/>
          <w:color w:val="auto"/>
        </w:rPr>
      </w:pPr>
    </w:p>
    <w:p>
      <w:pPr>
        <w:ind w:left="440" w:right="40" w:firstLine="423"/>
        <w:spacing w:after="0" w:line="278" w:lineRule="auto"/>
        <w:rPr>
          <w:sz w:val="20"/>
          <w:szCs w:val="20"/>
          <w:color w:val="auto"/>
        </w:rPr>
      </w:pPr>
      <w:r>
        <w:rPr>
          <w:rFonts w:ascii="Arial" w:cs="Arial" w:eastAsia="Arial" w:hAnsi="Arial"/>
          <w:sz w:val="16"/>
          <w:szCs w:val="16"/>
          <w:color w:val="auto"/>
        </w:rPr>
        <w:t>In August 2017, Mereo entered into a credit facility in the amount of £20.0 million which it has fully drawn down during 2017. On September 30, 2018, Mereo entered into a revised loan agreement which enabled Mereo to amend the term to increase the interest only period of the loan from September 30, 2018 to April 30, 2019. In connection with the revised loan agreement, Mereo issued 225,074 additional warrants to the lenders to subscribe for its ordinary shares at an exercise price of £2.31 per ordinary share, increasing the total warrants issued to Mereo’s lenders to 922,464. On April 23, 2019 Mereo entered into a further revision to the loan agreement which extended the interest only period to December 31, 2019. Following completion of the merger with OncoMed, under the terms of the loan agreement, Mereo expects to issue approximately 321,444 additional warrants to its lenders giving them the right to subscribe for ordinary shares at an exercise price of £2.95.</w:t>
      </w:r>
    </w:p>
    <w:p>
      <w:pPr>
        <w:spacing w:after="0" w:line="166" w:lineRule="exact"/>
        <w:rPr>
          <w:sz w:val="20"/>
          <w:szCs w:val="20"/>
          <w:color w:val="auto"/>
        </w:rPr>
      </w:pPr>
    </w:p>
    <w:p>
      <w:pPr>
        <w:ind w:left="440" w:right="40" w:firstLine="423"/>
        <w:spacing w:after="0" w:line="293" w:lineRule="auto"/>
        <w:rPr>
          <w:sz w:val="20"/>
          <w:szCs w:val="20"/>
          <w:color w:val="auto"/>
        </w:rPr>
      </w:pPr>
      <w:r>
        <w:rPr>
          <w:rFonts w:ascii="Arial" w:cs="Arial" w:eastAsia="Arial" w:hAnsi="Arial"/>
          <w:sz w:val="16"/>
          <w:szCs w:val="16"/>
          <w:color w:val="auto"/>
        </w:rPr>
        <w:t>On October 8, 2018 Mereo entered into a funding agreement with the Alpha-1 Project (“TAP”) which provided for funding of up to $0.4 million as a contribution towards the development of Mereo’s product candidate MPH-966. On November 1, 2018 the first tranche of $0.1 million was received and as a result Mereo issued 41,286 warrants to subscribe for its ordinary shares at an exercise price of £0.003 per share.</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Cash Flows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Comparison of Years Ended December 31, 2017 and 2018</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table below summarizes Mereo’s cash flows for the periods presented.</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3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104"/>
              <w:spacing w:after="0" w:line="13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7"/>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6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6"/>
              </w:rPr>
              <w:t>(in thousands of pounds)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38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(32,148)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(23,137)</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7"/>
                <w:szCs w:val="17"/>
                <w:color w:val="auto"/>
              </w:rPr>
              <w:t>Net cash (used in) from investing activities</w:t>
            </w:r>
          </w:p>
        </w:tc>
        <w:tc>
          <w:tcPr>
            <w:tcW w:w="3800" w:type="dxa"/>
            <w:vAlign w:val="bottom"/>
            <w:gridSpan w:val="3"/>
          </w:tcPr>
          <w:p>
            <w:pPr>
              <w:jc w:val="right"/>
              <w:ind w:right="280"/>
              <w:spacing w:after="0"/>
              <w:rPr>
                <w:sz w:val="20"/>
                <w:szCs w:val="20"/>
                <w:color w:val="auto"/>
              </w:rPr>
            </w:pPr>
            <w:r>
              <w:rPr>
                <w:rFonts w:ascii="Arial" w:cs="Arial" w:eastAsia="Arial" w:hAnsi="Arial"/>
                <w:sz w:val="17"/>
                <w:szCs w:val="17"/>
                <w:color w:val="auto"/>
              </w:rPr>
              <w:t>(3,744)</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Net cash from (used in) financing activities</w:t>
            </w:r>
          </w:p>
        </w:tc>
        <w:tc>
          <w:tcPr>
            <w:tcW w:w="28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33,744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(2,073)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7"/>
                <w:szCs w:val="17"/>
                <w:color w:val="auto"/>
              </w:rPr>
              <w:t>Net decrease in cash and cash equivalents</w:t>
            </w:r>
          </w:p>
        </w:tc>
        <w:tc>
          <w:tcPr>
            <w:tcW w:w="28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44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7"/>
                <w:szCs w:val="17"/>
                <w:color w:val="auto"/>
              </w:rPr>
              <w:t>(2,149)</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(24,958)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820" w:type="dxa"/>
            <w:vAlign w:val="bottom"/>
            <w:vMerge w:val="restart"/>
          </w:tcPr>
          <w:p>
            <w:pPr>
              <w:jc w:val="right"/>
              <w:ind w:right="2034"/>
              <w:spacing w:after="0"/>
              <w:rPr>
                <w:sz w:val="20"/>
                <w:szCs w:val="20"/>
                <w:color w:val="auto"/>
              </w:rPr>
            </w:pPr>
            <w:r>
              <w:rPr>
                <w:rFonts w:ascii="Arial" w:cs="Arial" w:eastAsia="Arial" w:hAnsi="Arial"/>
                <w:sz w:val="17"/>
                <w:szCs w:val="17"/>
                <w:color w:val="auto"/>
              </w:rPr>
              <w:t>109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4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45" w:right="67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Operating Activities</w:t>
      </w:r>
    </w:p>
    <w:p>
      <w:pPr>
        <w:spacing w:after="0" w:line="115"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The decrease in net cash used in operating activities was £9.0 million, from £32.1 million in 2017 to £23.1 million in 2018. This was due to a reduction in the loss before taxation of £6.8 million, reflecting lower research and development activity. In addition, there was a decrease in payables over receivables of £0.6 as the payables balance in 2017 unwound due to lower levels of activity in 2018 and due to timing differences on cash payments to suppliers, partially offset by an increase in R&amp;D tax credits received of £2.8 million reflecting higher research and development expenses in 2017 compared to 2016.</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Investing Activities</w:t>
      </w:r>
    </w:p>
    <w:p>
      <w:pPr>
        <w:spacing w:after="0" w:line="115" w:lineRule="exact"/>
        <w:rPr>
          <w:sz w:val="20"/>
          <w:szCs w:val="20"/>
          <w:color w:val="auto"/>
        </w:rPr>
      </w:pPr>
    </w:p>
    <w:p>
      <w:pPr>
        <w:ind w:left="440" w:right="80" w:firstLine="423"/>
        <w:spacing w:after="0" w:line="264" w:lineRule="auto"/>
        <w:rPr>
          <w:sz w:val="20"/>
          <w:szCs w:val="20"/>
          <w:color w:val="auto"/>
        </w:rPr>
      </w:pPr>
      <w:r>
        <w:rPr>
          <w:rFonts w:ascii="Arial" w:cs="Arial" w:eastAsia="Arial" w:hAnsi="Arial"/>
          <w:sz w:val="17"/>
          <w:szCs w:val="17"/>
          <w:color w:val="auto"/>
        </w:rPr>
        <w:t>Mereo’s net cash from investing activities was £0.3 million in 2018, compared to net cash used in investing activities of £3.7 million in 2017. The increase was primarily due to the investment in 2017 of £2.3 million in the acquisition of a license for MPH-966 from AstraZeneca and a reduction in investment in short term investments of £2.5 million, combined with lower interest earned of £0.3 million in 2018 compared to £1.1 million in 2017 reflecting lower average cash balances held in 2018.</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Financing Activities</w:t>
      </w:r>
    </w:p>
    <w:p>
      <w:pPr>
        <w:spacing w:after="0" w:line="115" w:lineRule="exact"/>
        <w:rPr>
          <w:sz w:val="20"/>
          <w:szCs w:val="20"/>
          <w:color w:val="auto"/>
        </w:rPr>
      </w:pPr>
    </w:p>
    <w:p>
      <w:pPr>
        <w:ind w:left="440" w:firstLine="423"/>
        <w:spacing w:after="0" w:line="276" w:lineRule="auto"/>
        <w:rPr>
          <w:sz w:val="20"/>
          <w:szCs w:val="20"/>
          <w:color w:val="auto"/>
        </w:rPr>
      </w:pPr>
      <w:r>
        <w:rPr>
          <w:rFonts w:ascii="Arial" w:cs="Arial" w:eastAsia="Arial" w:hAnsi="Arial"/>
          <w:sz w:val="16"/>
          <w:szCs w:val="16"/>
          <w:color w:val="auto"/>
        </w:rPr>
        <w:t>Mereo’s net cash from financing activities reduced from £33.7 million in 2017 to £2.0 million in 2018. In April 2017, Mereo raised gross proceeds of £15.0 million in a placement of Mereo ordinary shares with institutional investors, for which the cash expense associated with the financing amounted to £0.8 million. In August 2017, Mereo borrowed the first £10.0 million tranche under its credit facility and in December 2017 it borrowed the second and final tranche under its credit facility for another £10.0 million. In addition, in 2017, Mereo paid an aggregate of £0.3 million of interest on its outstanding borrowings under its credit facility compared to £1.6 million in 2018. In June 2018, Mereo raised gross proceeds of £0.3 million from a placement of its ordinary shares with retail investors. In September 2018 Mereo’s borrowing under its credit facility increased by £0.5 million with associated costs of £0.9 million, including a £0.7 million modification loss in respect of the revaluation of the loan under IFRS 9. In November 2018, Mereo received the first tranche of £0.1 million under the agreement with TAP.</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Comparison of Years Ended December 31, 2016 and 2017</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table below summarizes Mereo’s cash flows for the periods presented.</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626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35"/>
        </w:trPr>
        <w:tc>
          <w:tcPr>
            <w:tcW w:w="626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101"/>
              <w:spacing w:after="0" w:line="13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7"/>
              <w:spacing w:after="0" w:line="13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60" w:type="dxa"/>
            <w:vAlign w:val="bottom"/>
          </w:tcPr>
          <w:p>
            <w:pPr>
              <w:spacing w:after="0"/>
              <w:rPr>
                <w:sz w:val="11"/>
                <w:szCs w:val="11"/>
                <w:color w:val="auto"/>
              </w:rPr>
            </w:pPr>
          </w:p>
        </w:tc>
        <w:tc>
          <w:tcPr>
            <w:tcW w:w="16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6"/>
              </w:rPr>
              <w:t>(in thousands of pounds)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(29,662)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(32,148)</w:t>
            </w:r>
          </w:p>
        </w:tc>
        <w:tc>
          <w:tcPr>
            <w:tcW w:w="0" w:type="dxa"/>
            <w:vAlign w:val="bottom"/>
          </w:tcPr>
          <w:p>
            <w:pPr>
              <w:spacing w:after="0"/>
              <w:rPr>
                <w:sz w:val="1"/>
                <w:szCs w:val="1"/>
                <w:color w:val="auto"/>
              </w:rPr>
            </w:pPr>
          </w:p>
        </w:tc>
      </w:tr>
      <w:tr>
        <w:trPr>
          <w:trHeight w:val="207"/>
        </w:trPr>
        <w:tc>
          <w:tcPr>
            <w:tcW w:w="6260" w:type="dxa"/>
            <w:vAlign w:val="bottom"/>
          </w:tcPr>
          <w:p>
            <w:pPr>
              <w:spacing w:after="0"/>
              <w:rPr>
                <w:sz w:val="20"/>
                <w:szCs w:val="20"/>
                <w:color w:val="auto"/>
              </w:rPr>
            </w:pPr>
            <w:r>
              <w:rPr>
                <w:rFonts w:ascii="Arial" w:cs="Arial" w:eastAsia="Arial" w:hAnsi="Arial"/>
                <w:sz w:val="17"/>
                <w:szCs w:val="17"/>
                <w:color w:val="auto"/>
              </w:rPr>
              <w:t>Net cash from (used in) investing activities</w:t>
            </w:r>
          </w:p>
        </w:tc>
        <w:tc>
          <w:tcPr>
            <w:tcW w:w="640" w:type="dxa"/>
            <w:vAlign w:val="bottom"/>
          </w:tcPr>
          <w:p>
            <w:pPr>
              <w:jc w:val="right"/>
              <w:spacing w:after="0"/>
              <w:rPr>
                <w:sz w:val="20"/>
                <w:szCs w:val="20"/>
                <w:color w:val="auto"/>
              </w:rPr>
            </w:pPr>
            <w:r>
              <w:rPr>
                <w:rFonts w:ascii="Arial" w:cs="Arial" w:eastAsia="Arial" w:hAnsi="Arial"/>
                <w:sz w:val="17"/>
                <w:szCs w:val="17"/>
                <w:color w:val="auto"/>
              </w:rPr>
              <w:t>373</w:t>
            </w: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(3,745)</w:t>
            </w: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Net cash from financing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68,356</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33,744</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7"/>
                <w:szCs w:val="17"/>
                <w:color w:val="auto"/>
              </w:rPr>
              <w:t>Net increase (decrease) in cash and cash equivalents</w:t>
            </w: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26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39,067</w:t>
            </w:r>
          </w:p>
        </w:tc>
        <w:tc>
          <w:tcPr>
            <w:tcW w:w="3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(2,149)</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Operating Activities</w:t>
      </w:r>
    </w:p>
    <w:p>
      <w:pPr>
        <w:spacing w:after="0" w:line="115" w:lineRule="exact"/>
        <w:rPr>
          <w:sz w:val="20"/>
          <w:szCs w:val="20"/>
          <w:color w:val="auto"/>
        </w:rPr>
      </w:pPr>
    </w:p>
    <w:p>
      <w:pPr>
        <w:ind w:left="440" w:right="20" w:firstLine="423"/>
        <w:spacing w:after="0" w:line="278" w:lineRule="auto"/>
        <w:rPr>
          <w:sz w:val="20"/>
          <w:szCs w:val="20"/>
          <w:color w:val="auto"/>
        </w:rPr>
      </w:pPr>
      <w:r>
        <w:rPr>
          <w:rFonts w:ascii="Arial" w:cs="Arial" w:eastAsia="Arial" w:hAnsi="Arial"/>
          <w:sz w:val="16"/>
          <w:szCs w:val="16"/>
          <w:color w:val="auto"/>
        </w:rPr>
        <w:t>The increase in net cash used in operating activities was £2.4 million, from £29.7 million in 2016 to £32.1 million in 2017. This was largely due to the increased loss before taxation due to higher levels of R&amp;D activity in 2017, offset in part by the increase in cash tax credit received from</w:t>
      </w:r>
    </w:p>
    <w:p>
      <w:pPr>
        <w:spacing w:after="0" w:line="1" w:lineRule="exact"/>
        <w:rPr>
          <w:sz w:val="20"/>
          <w:szCs w:val="20"/>
          <w:color w:val="auto"/>
        </w:rPr>
      </w:pPr>
    </w:p>
    <w:p>
      <w:pPr>
        <w:ind w:left="440" w:right="100"/>
        <w:spacing w:after="0" w:line="259" w:lineRule="auto"/>
        <w:rPr>
          <w:sz w:val="20"/>
          <w:szCs w:val="20"/>
          <w:color w:val="auto"/>
        </w:rPr>
      </w:pPr>
      <w:r>
        <w:rPr>
          <w:rFonts w:ascii="Arial" w:cs="Arial" w:eastAsia="Arial" w:hAnsi="Arial"/>
          <w:sz w:val="17"/>
          <w:szCs w:val="17"/>
          <w:color w:val="auto"/>
        </w:rPr>
        <w:t>£0.9 million in 2016 to £5.3 million in 2017. In addition there were changes in the add-backs for non-cash expenses as follows: (i) share based payment add-backs were reduced from £6.5 million to £3.7 million, reflecting lower share based payments charge in 2017, (ii) foreign exchange add-backs increased by £3.6 million in 2017, reflecting the movement from a foreign exchange gain of £2.3 million in 2016 to a loss of £1.4 million in 2017, (iii) interest earned increased by £0.5 million in 2017 as a result of higher cash</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000"/>
          </w:cols>
          <w:pgMar w:left="240" w:top="445" w:right="6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color w:val="auto"/>
        </w:rPr>
        <w:t>held in deposits throughout 2017 and increased interest rates, (iv) £0.3 million on interest expense on the credit facility entered into in August 2017, (v) £0.3 million of loss on short-term deposits in 2017 and (vi) working capital increased by £5.6 million in 2017, reflecting higher creditor and accrual balances at December 31, 2017 compared to 2016.</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Investing Activities</w:t>
      </w:r>
    </w:p>
    <w:p>
      <w:pPr>
        <w:spacing w:after="0" w:line="115" w:lineRule="exact"/>
        <w:rPr>
          <w:sz w:val="20"/>
          <w:szCs w:val="20"/>
          <w:color w:val="auto"/>
        </w:rPr>
      </w:pPr>
    </w:p>
    <w:p>
      <w:pPr>
        <w:ind w:left="440" w:right="140" w:firstLine="423"/>
        <w:spacing w:after="0" w:line="293" w:lineRule="auto"/>
        <w:rPr>
          <w:sz w:val="20"/>
          <w:szCs w:val="20"/>
          <w:color w:val="auto"/>
        </w:rPr>
      </w:pPr>
      <w:r>
        <w:rPr>
          <w:rFonts w:ascii="Arial" w:cs="Arial" w:eastAsia="Arial" w:hAnsi="Arial"/>
          <w:sz w:val="16"/>
          <w:szCs w:val="16"/>
          <w:color w:val="auto"/>
        </w:rPr>
        <w:t>Mereo’s net cash from investing activities reduced from £0.4 million in 2016 to net cash used in investing activities of £3.7 million in 2017, largely due to the £2.3 million cash cost of purchasing a license for MPH-966 from AstraZeneca in October 2017 and £2.5 million of cash transferred into short-term investments held on deposit, partially offset by £1.1 million of interests received on Mereo’s short-term deposits.</w:t>
      </w:r>
    </w:p>
    <w:p>
      <w:pPr>
        <w:spacing w:after="0" w:line="258"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Financing Activities</w:t>
      </w:r>
    </w:p>
    <w:p>
      <w:pPr>
        <w:spacing w:after="0" w:line="115" w:lineRule="exact"/>
        <w:rPr>
          <w:sz w:val="20"/>
          <w:szCs w:val="20"/>
          <w:color w:val="auto"/>
        </w:rPr>
      </w:pPr>
    </w:p>
    <w:p>
      <w:pPr>
        <w:ind w:left="440" w:right="80" w:firstLine="423"/>
        <w:spacing w:after="0" w:line="297" w:lineRule="auto"/>
        <w:rPr>
          <w:sz w:val="20"/>
          <w:szCs w:val="20"/>
          <w:color w:val="auto"/>
        </w:rPr>
      </w:pPr>
      <w:r>
        <w:rPr>
          <w:rFonts w:ascii="Arial" w:cs="Arial" w:eastAsia="Arial" w:hAnsi="Arial"/>
          <w:sz w:val="15"/>
          <w:szCs w:val="15"/>
          <w:color w:val="auto"/>
        </w:rPr>
        <w:t>Mereo’s net cash from financing activities reduced from £68.4 million in 2016 to £33.7 million in 2017. In June 2016, Mereo raised gross proceeds of £56.5 million in the second tranche of a private placement entered into in 2015. In June 2016, in connection with Mereo ordinary shares being admitted to trading on the AIM market, Mereo raised gross proceeds of £11.4 million in private placements of its Mereo ordinary shares with institutional investors. In addition, and as part of that transaction, Mereo raised £3.5 million gross proceeds in the form of the Novartis Notes. Mereo’s total costs in respect of the foregoing transactions were £3.0 million. In April 2017, Mereo raised gross proceeds of £15.0 million in a placement of Mereo ordinary shares with institutional investors, for which the cash cost amounted to £0.8 million. In August 2017, Mereo borrowed the first £10.0 million tranche under its credit facility and in December 2017 it borrowed the second and final tranche under its credit facility for another £10.0 million. In addition, in 2017, Mereo paid an aggregate of £0.3 million of interest on its outstanding borrowings under its credit facility.</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Operating and Capital Expenditure Requirements</w:t>
      </w:r>
    </w:p>
    <w:p>
      <w:pPr>
        <w:spacing w:after="0" w:line="115" w:lineRule="exact"/>
        <w:rPr>
          <w:sz w:val="20"/>
          <w:szCs w:val="20"/>
          <w:color w:val="auto"/>
        </w:rPr>
      </w:pPr>
    </w:p>
    <w:p>
      <w:pPr>
        <w:jc w:val="both"/>
        <w:ind w:left="440" w:right="60" w:firstLine="423"/>
        <w:spacing w:after="0" w:line="269" w:lineRule="auto"/>
        <w:rPr>
          <w:sz w:val="20"/>
          <w:szCs w:val="20"/>
          <w:color w:val="auto"/>
        </w:rPr>
      </w:pPr>
      <w:r>
        <w:rPr>
          <w:rFonts w:ascii="Arial" w:cs="Arial" w:eastAsia="Arial" w:hAnsi="Arial"/>
          <w:sz w:val="17"/>
          <w:szCs w:val="17"/>
          <w:color w:val="auto"/>
        </w:rPr>
        <w:t>As of December 31, 2018, Mereo had an accumulated loss of £111.2 million. Mereo expects to continue to report significant operating losses for the foreseeable future as it continues its research and development efforts and seeks to obtain regulatory approval of its current product candidates and any future product candidate Mereo may develop.</w:t>
      </w:r>
    </w:p>
    <w:p>
      <w:pPr>
        <w:spacing w:after="0" w:line="171" w:lineRule="exact"/>
        <w:rPr>
          <w:sz w:val="20"/>
          <w:szCs w:val="20"/>
          <w:color w:val="auto"/>
        </w:rPr>
      </w:pPr>
    </w:p>
    <w:p>
      <w:pPr>
        <w:ind w:left="440" w:right="260" w:firstLine="423"/>
        <w:spacing w:after="0" w:line="269" w:lineRule="auto"/>
        <w:rPr>
          <w:sz w:val="20"/>
          <w:szCs w:val="20"/>
          <w:color w:val="auto"/>
        </w:rPr>
      </w:pPr>
      <w:r>
        <w:rPr>
          <w:rFonts w:ascii="Arial" w:cs="Arial" w:eastAsia="Arial" w:hAnsi="Arial"/>
          <w:sz w:val="17"/>
          <w:szCs w:val="17"/>
          <w:color w:val="auto"/>
        </w:rPr>
        <w:t>Mereo expects its expenses to increase substantially in connection with its ongoing development activities related to its product candidates. In addition, as a result of the Merger, Mereo expects to incur additional costs associated with operating as a U.S. public company listed on Nasdaq in addition to operating as a U.K. public company listed on AIM.</w:t>
      </w:r>
    </w:p>
    <w:p>
      <w:pPr>
        <w:spacing w:after="0" w:line="171"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Mereo anticipates that its expenses will increase substantially due to the costs associated with its current and planned clinical trials, Mereo’s outsourced manufacturing activities and other associated costs including the management of its intellectual property portfolio. These costs will increase further if Mereo:</w:t>
      </w:r>
    </w:p>
    <w:p>
      <w:pPr>
        <w:spacing w:after="0" w:line="81" w:lineRule="exact"/>
        <w:rPr>
          <w:sz w:val="20"/>
          <w:szCs w:val="20"/>
          <w:color w:val="auto"/>
        </w:rPr>
      </w:pPr>
    </w:p>
    <w:p>
      <w:pPr>
        <w:ind w:left="1260" w:hanging="415"/>
        <w:spacing w:after="0"/>
        <w:tabs>
          <w:tab w:leader="none" w:pos="1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seeks to develop additional product candidates;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seeks regulatory approvals for any of Mereo’s product candidates that successfully completes clinical trials;</w:t>
      </w:r>
    </w:p>
    <w:p>
      <w:pPr>
        <w:spacing w:after="0" w:line="128" w:lineRule="exact"/>
        <w:rPr>
          <w:rFonts w:ascii="Arial" w:cs="Arial" w:eastAsia="Arial" w:hAnsi="Arial"/>
          <w:sz w:val="17"/>
          <w:szCs w:val="17"/>
          <w:color w:val="auto"/>
        </w:rPr>
      </w:pPr>
    </w:p>
    <w:p>
      <w:pPr>
        <w:ind w:left="1260" w:right="360" w:hanging="415"/>
        <w:spacing w:after="0" w:line="284" w:lineRule="auto"/>
        <w:tabs>
          <w:tab w:leader="none" w:pos="1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potentially establishes a sales, marketing, and distribution infrastructure and scale-up manufacturing capabilities to commercialize any products for which Mereo may obtain regulatory approval and chose to commercialize directly;</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expands Mereo’s intellectual property portfolio;</w:t>
      </w:r>
    </w:p>
    <w:p>
      <w:pPr>
        <w:spacing w:after="0" w:line="128" w:lineRule="exact"/>
        <w:rPr>
          <w:rFonts w:ascii="Arial" w:cs="Arial" w:eastAsia="Arial" w:hAnsi="Arial"/>
          <w:sz w:val="17"/>
          <w:szCs w:val="17"/>
          <w:color w:val="auto"/>
        </w:rPr>
      </w:pPr>
    </w:p>
    <w:p>
      <w:pPr>
        <w:ind w:left="1260" w:right="140" w:hanging="415"/>
        <w:spacing w:after="0" w:line="284" w:lineRule="auto"/>
        <w:tabs>
          <w:tab w:leader="none" w:pos="1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adds further central clinical, scientific, operational, financial and management information systems, and personnel, including personnel to support Mereo’s development and to support Mereo’s operations as a U.S. public company listed on Nasdaq; or</w:t>
      </w:r>
    </w:p>
    <w:p>
      <w:pPr>
        <w:spacing w:after="0" w:line="68" w:lineRule="exact"/>
        <w:rPr>
          <w:rFonts w:ascii="Arial" w:cs="Arial" w:eastAsia="Arial" w:hAnsi="Arial"/>
          <w:sz w:val="17"/>
          <w:szCs w:val="17"/>
          <w:color w:val="auto"/>
        </w:rPr>
      </w:pPr>
    </w:p>
    <w:p>
      <w:pPr>
        <w:ind w:left="1260" w:right="220" w:hanging="415"/>
        <w:spacing w:after="0" w:line="284" w:lineRule="auto"/>
        <w:tabs>
          <w:tab w:leader="none" w:pos="1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experiences any delays or encounter any issues from any of the above, including but not limited to failed studies, complex results, safety issues, or other regulatory challenges.</w:t>
      </w:r>
    </w:p>
    <w:p>
      <w:pPr>
        <w:spacing w:after="0" w:line="159" w:lineRule="exact"/>
        <w:rPr>
          <w:sz w:val="20"/>
          <w:szCs w:val="20"/>
          <w:color w:val="auto"/>
        </w:rPr>
      </w:pPr>
    </w:p>
    <w:p>
      <w:pPr>
        <w:jc w:val="both"/>
        <w:ind w:left="440" w:right="320" w:firstLine="423"/>
        <w:spacing w:after="0" w:line="269" w:lineRule="auto"/>
        <w:rPr>
          <w:sz w:val="20"/>
          <w:szCs w:val="20"/>
          <w:color w:val="auto"/>
        </w:rPr>
      </w:pPr>
      <w:r>
        <w:rPr>
          <w:rFonts w:ascii="Arial" w:cs="Arial" w:eastAsia="Arial" w:hAnsi="Arial"/>
          <w:sz w:val="17"/>
          <w:szCs w:val="17"/>
          <w:color w:val="auto"/>
        </w:rPr>
        <w:t>Mereo expects that its existing cash resources, will enable it to fund its currently committed clinical trials and operating expenses and capital expenditure requirements into mid-2020. Mereo has based these estimates on assumptions that may prove to be wrong, and it may use its available capital resources sooner than it currently expects.</w:t>
      </w:r>
    </w:p>
    <w:p>
      <w:pPr>
        <w:spacing w:after="0" w:line="107"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900"/>
          </w:cols>
          <w:pgMar w:left="240" w:top="445" w:right="75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440" w:right="120"/>
        <w:spacing w:after="0" w:line="285" w:lineRule="auto"/>
        <w:rPr>
          <w:sz w:val="20"/>
          <w:szCs w:val="20"/>
          <w:color w:val="auto"/>
        </w:rPr>
      </w:pPr>
      <w:r>
        <w:rPr>
          <w:rFonts w:ascii="Arial" w:cs="Arial" w:eastAsia="Arial" w:hAnsi="Arial"/>
          <w:sz w:val="16"/>
          <w:szCs w:val="16"/>
          <w:color w:val="auto"/>
        </w:rPr>
        <w:t>Because of the numerous risks and uncertainties associated with the development of Mereo’s product candidates and any future product candidates and because the extent to which Mereo may enter into collaborations with third parties for development of any of Mereo’s product candidates is unknown, Mereo is unable to estimate the amounts of increased capital outlays and operating expenses associated with completing the research and development of its product candidates. Mereo’s future capital requirements will depend on many factors, including:</w:t>
      </w:r>
    </w:p>
    <w:p>
      <w:pPr>
        <w:spacing w:after="0" w:line="71" w:lineRule="exact"/>
        <w:rPr>
          <w:sz w:val="20"/>
          <w:szCs w:val="20"/>
          <w:color w:val="auto"/>
        </w:rPr>
      </w:pPr>
    </w:p>
    <w:p>
      <w:pPr>
        <w:ind w:left="1260" w:hanging="415"/>
        <w:spacing w:after="0"/>
        <w:tabs>
          <w:tab w:leader="none" w:pos="1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costs, timing and results of Mereo’s ongoing Phase 2b clinical trial for BPS-804 and its ongoing Phase 2 clinical trial for MPH-966;</w:t>
      </w:r>
    </w:p>
    <w:p>
      <w:pPr>
        <w:spacing w:after="0" w:line="139" w:lineRule="exact"/>
        <w:rPr>
          <w:rFonts w:ascii="Arial" w:cs="Arial" w:eastAsia="Arial" w:hAnsi="Arial"/>
          <w:sz w:val="16"/>
          <w:szCs w:val="16"/>
          <w:color w:val="auto"/>
        </w:rPr>
      </w:pPr>
    </w:p>
    <w:p>
      <w:pPr>
        <w:ind w:left="1260" w:hanging="415"/>
        <w:spacing w:after="0"/>
        <w:tabs>
          <w:tab w:leader="none" w:pos="1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costs and timing of manufacturing clinical supplies of Mereo’s product candidates;</w:t>
      </w:r>
    </w:p>
    <w:p>
      <w:pPr>
        <w:spacing w:after="0" w:line="128" w:lineRule="exact"/>
        <w:rPr>
          <w:rFonts w:ascii="Arial" w:cs="Arial" w:eastAsia="Arial" w:hAnsi="Arial"/>
          <w:sz w:val="17"/>
          <w:szCs w:val="17"/>
          <w:color w:val="auto"/>
        </w:rPr>
      </w:pPr>
    </w:p>
    <w:p>
      <w:pPr>
        <w:ind w:left="1260" w:right="120" w:hanging="415"/>
        <w:spacing w:after="0" w:line="284" w:lineRule="auto"/>
        <w:tabs>
          <w:tab w:leader="none" w:pos="1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Mereo’s product candidates, including post-marketing studies that could be required by regulatory authorities;</w:t>
      </w:r>
    </w:p>
    <w:p>
      <w:pPr>
        <w:spacing w:after="0" w:line="68" w:lineRule="exact"/>
        <w:rPr>
          <w:rFonts w:ascii="Arial" w:cs="Arial" w:eastAsia="Arial" w:hAnsi="Arial"/>
          <w:sz w:val="17"/>
          <w:szCs w:val="17"/>
          <w:color w:val="auto"/>
        </w:rPr>
      </w:pPr>
    </w:p>
    <w:p>
      <w:pPr>
        <w:ind w:left="1260" w:right="160" w:hanging="415"/>
        <w:spacing w:after="0" w:line="284" w:lineRule="auto"/>
        <w:tabs>
          <w:tab w:leader="none" w:pos="1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costs, timing, and outcome of potential future commercialization activities, including manufacturing, marketing, sales and distribution, for Mereo’s product candidates that Mereo commercialize directly;</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timing and amount of revenue, if any, received from commercial sales of Mereo’s product candidates;</w:t>
      </w:r>
    </w:p>
    <w:p>
      <w:pPr>
        <w:spacing w:after="0" w:line="128" w:lineRule="exact"/>
        <w:rPr>
          <w:rFonts w:ascii="Arial" w:cs="Arial" w:eastAsia="Arial" w:hAnsi="Arial"/>
          <w:sz w:val="17"/>
          <w:szCs w:val="17"/>
          <w:color w:val="auto"/>
        </w:rPr>
      </w:pPr>
    </w:p>
    <w:p>
      <w:pPr>
        <w:ind w:left="1260" w:right="60" w:hanging="415"/>
        <w:spacing w:after="0" w:line="269" w:lineRule="auto"/>
        <w:tabs>
          <w:tab w:leader="none" w:pos="1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Mereo’s intellectual property rights and defending any intellectual property-related claims, including any claims by third parties that Mereo is infringing upon their intellectual property rights;</w:t>
      </w:r>
    </w:p>
    <w:p>
      <w:pPr>
        <w:spacing w:after="0" w:line="80" w:lineRule="exact"/>
        <w:rPr>
          <w:rFonts w:ascii="Arial" w:cs="Arial" w:eastAsia="Arial" w:hAnsi="Arial"/>
          <w:sz w:val="17"/>
          <w:szCs w:val="17"/>
          <w:color w:val="auto"/>
        </w:rPr>
      </w:pPr>
    </w:p>
    <w:p>
      <w:pPr>
        <w:ind w:left="1260" w:hanging="415"/>
        <w:spacing w:after="0"/>
        <w:tabs>
          <w:tab w:leader="none" w:pos="1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sales price and availability of adequate third-party coverage and reimbursement for Mereo’s product candidates;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effect of competitors and market developments;</w:t>
      </w:r>
    </w:p>
    <w:p>
      <w:pPr>
        <w:spacing w:after="0" w:line="128" w:lineRule="exact"/>
        <w:rPr>
          <w:rFonts w:ascii="Arial" w:cs="Arial" w:eastAsia="Arial" w:hAnsi="Arial"/>
          <w:sz w:val="17"/>
          <w:szCs w:val="17"/>
          <w:color w:val="auto"/>
        </w:rPr>
      </w:pPr>
    </w:p>
    <w:p>
      <w:pPr>
        <w:ind w:left="1260" w:right="340" w:hanging="415"/>
        <w:spacing w:after="0" w:line="316" w:lineRule="auto"/>
        <w:tabs>
          <w:tab w:leader="none" w:pos="1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extent to which Mereo is able to acquire new product candidates or enter into licensing or collaboration arrangements for its product candidates, although Mereo currently have no commitments or agreements to complete any such transactions; and</w:t>
      </w:r>
    </w:p>
    <w:p>
      <w:pPr>
        <w:spacing w:after="0" w:line="46" w:lineRule="exact"/>
        <w:rPr>
          <w:rFonts w:ascii="Arial" w:cs="Arial" w:eastAsia="Arial" w:hAnsi="Arial"/>
          <w:sz w:val="16"/>
          <w:szCs w:val="16"/>
          <w:color w:val="auto"/>
        </w:rPr>
      </w:pPr>
    </w:p>
    <w:p>
      <w:pPr>
        <w:ind w:left="1260" w:hanging="415"/>
        <w:spacing w:after="0"/>
        <w:tabs>
          <w:tab w:leader="none" w:pos="1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milestone and deferred payments under Mereo’s license and option agreement with AstraZeneca.</w:t>
      </w:r>
    </w:p>
    <w:p>
      <w:pPr>
        <w:spacing w:after="0" w:line="219" w:lineRule="exact"/>
        <w:rPr>
          <w:sz w:val="20"/>
          <w:szCs w:val="20"/>
          <w:color w:val="auto"/>
        </w:rPr>
      </w:pPr>
    </w:p>
    <w:p>
      <w:pPr>
        <w:ind w:left="440" w:right="300" w:firstLine="423"/>
        <w:spacing w:after="0" w:line="316" w:lineRule="auto"/>
        <w:rPr>
          <w:sz w:val="20"/>
          <w:szCs w:val="20"/>
          <w:color w:val="auto"/>
        </w:rPr>
      </w:pPr>
      <w:r>
        <w:rPr>
          <w:rFonts w:ascii="Arial" w:cs="Arial" w:eastAsia="Arial" w:hAnsi="Arial"/>
          <w:sz w:val="16"/>
          <w:szCs w:val="16"/>
          <w:color w:val="auto"/>
        </w:rPr>
        <w:t>Mereo’s revenues, if any, will be derived from sales of any products that it is able to successfully develop, receive regulatory approval for, and commercialize in future years. In the meantime, Mereo will need to obtain substantial additional funds to achieve its business objective.</w:t>
      </w:r>
    </w:p>
    <w:p>
      <w:pPr>
        <w:spacing w:after="0" w:line="137" w:lineRule="exact"/>
        <w:rPr>
          <w:sz w:val="20"/>
          <w:szCs w:val="20"/>
          <w:color w:val="auto"/>
        </w:rPr>
      </w:pPr>
    </w:p>
    <w:p>
      <w:pPr>
        <w:ind w:left="440" w:firstLine="423"/>
        <w:spacing w:after="0" w:line="281" w:lineRule="auto"/>
        <w:rPr>
          <w:sz w:val="20"/>
          <w:szCs w:val="20"/>
          <w:color w:val="auto"/>
        </w:rPr>
      </w:pPr>
      <w:r>
        <w:rPr>
          <w:rFonts w:ascii="Arial" w:cs="Arial" w:eastAsia="Arial" w:hAnsi="Arial"/>
          <w:sz w:val="16"/>
          <w:szCs w:val="16"/>
          <w:color w:val="auto"/>
        </w:rPr>
        <w:t>Adequate additional funds may not be available to Mereo on acceptable terms, or at all. To the extent that Mereo raise additional capital through the sale of equity or convertible debt securities, your ownership interest will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Mereo’s ability to take specific actions, such as incurring additional debt, making capital expenditures or declaring dividends and may require the issuance of warrants, which could potentially dilute your ownership interests.</w:t>
      </w:r>
    </w:p>
    <w:p>
      <w:pPr>
        <w:spacing w:after="0" w:line="166" w:lineRule="exact"/>
        <w:rPr>
          <w:sz w:val="20"/>
          <w:szCs w:val="20"/>
          <w:color w:val="auto"/>
        </w:rPr>
      </w:pPr>
    </w:p>
    <w:p>
      <w:pPr>
        <w:ind w:left="440" w:right="20" w:firstLine="423"/>
        <w:spacing w:after="0" w:line="261" w:lineRule="auto"/>
        <w:rPr>
          <w:sz w:val="20"/>
          <w:szCs w:val="20"/>
          <w:color w:val="auto"/>
        </w:rPr>
      </w:pPr>
      <w:r>
        <w:rPr>
          <w:rFonts w:ascii="Arial" w:cs="Arial" w:eastAsia="Arial" w:hAnsi="Arial"/>
          <w:sz w:val="17"/>
          <w:szCs w:val="17"/>
          <w:color w:val="auto"/>
        </w:rPr>
        <w:t>If Mereo raised additional funds through collaborations, strategic alliances, or licensing arrangements with third parties, Mereo may have to relinquish valuable rights to its technologies, future revenue streams, research programs or product candidates or grant licenses on terms that may not be favorable to Mereo. If Mereo is unable to raise additional funds through equity or debt financings when needed, Mereo may be required to delay, limit, reduce, or terminate Mereo’s product development programs or any future commercialization efforts or grant rights to develop and market product candidates that Mereo would otherwise prefer to develop and market itself.</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Indebtedness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Novartis Notes</w:t>
      </w:r>
    </w:p>
    <w:p>
      <w:pPr>
        <w:spacing w:after="0" w:line="115" w:lineRule="exact"/>
        <w:rPr>
          <w:sz w:val="20"/>
          <w:szCs w:val="20"/>
          <w:color w:val="auto"/>
        </w:rPr>
      </w:pPr>
    </w:p>
    <w:p>
      <w:pPr>
        <w:ind w:left="440" w:right="80" w:firstLine="423"/>
        <w:spacing w:after="0" w:line="284" w:lineRule="auto"/>
        <w:rPr>
          <w:sz w:val="20"/>
          <w:szCs w:val="20"/>
          <w:color w:val="auto"/>
        </w:rPr>
      </w:pPr>
      <w:r>
        <w:rPr>
          <w:rFonts w:ascii="Arial" w:cs="Arial" w:eastAsia="Arial" w:hAnsi="Arial"/>
          <w:sz w:val="17"/>
          <w:szCs w:val="17"/>
          <w:color w:val="auto"/>
        </w:rPr>
        <w:t>On June 3, 2016, as part of the fundraising for Mereo’s product development programs and for general corporate purposes and in connection with Mereo ordinary shares being admitted to trading on AIM, Mereo issued 3,463,563</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980"/>
          </w:cols>
          <w:pgMar w:left="240" w:top="445" w:right="67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spacing w:after="0" w:line="301" w:lineRule="auto"/>
        <w:rPr>
          <w:sz w:val="20"/>
          <w:szCs w:val="20"/>
          <w:color w:val="auto"/>
        </w:rPr>
      </w:pPr>
      <w:r>
        <w:rPr>
          <w:rFonts w:ascii="Arial" w:cs="Arial" w:eastAsia="Arial" w:hAnsi="Arial"/>
          <w:sz w:val="15"/>
          <w:szCs w:val="15"/>
          <w:color w:val="auto"/>
        </w:rPr>
        <w:t>unsecured convertible loan notes to Novartis (the “Novartis Notes”) for aggregate proceeds of £3,463,563. The Novartis Notes bear interest at 4% per annum payable annually and accruing daily and rank senior to any other unsecured obligations Mereo may have. Novartis may at any time convert all or some of the Novartis Notes, together with accrued interest, into Mereo ordinary shares at a conversion price of £2.21 per Mereo ordinary share as long as, following such conversion, Novartis holds no more than 19.5% of the aggregate voting rights of Mereo. In addition, upon conversion, Novartis is entitled to receive an additional number of Mereo ordinary shares equal to the number of shares into which such Novartis Notes and accrued interest are converted multiplied by 0.93 (the “Bonus Shares”). At December 31, 2016, Novartis was entitled to receive up to 1,453,520 Bonus Shares.</w:t>
      </w:r>
    </w:p>
    <w:p>
      <w:pPr>
        <w:spacing w:after="0" w:line="152" w:lineRule="exact"/>
        <w:rPr>
          <w:sz w:val="20"/>
          <w:szCs w:val="20"/>
          <w:color w:val="auto"/>
        </w:rPr>
      </w:pPr>
    </w:p>
    <w:p>
      <w:pPr>
        <w:ind w:left="440" w:right="220" w:firstLine="423"/>
        <w:spacing w:after="0" w:line="264" w:lineRule="auto"/>
        <w:rPr>
          <w:sz w:val="20"/>
          <w:szCs w:val="20"/>
          <w:color w:val="auto"/>
        </w:rPr>
      </w:pPr>
      <w:r>
        <w:rPr>
          <w:rFonts w:ascii="Arial" w:cs="Arial" w:eastAsia="Arial" w:hAnsi="Arial"/>
          <w:sz w:val="17"/>
          <w:szCs w:val="17"/>
          <w:color w:val="auto"/>
        </w:rPr>
        <w:t>On April 6, 2017, Novartis delivered to Mereo a notice of conversion with respect to £1,398,552 aggregate principal amount of Novartis Notes. Pursuant to such notice, on April 26, 2017, £1,398,552 aggregate principal amount of Novartis Notes was converted into 632,829 fully paid Mereo ordinary shares. Additionally, in connection with such conversion, Mereo issued 588,532 Bonus Shares to Novartis. At December 31, 2018, Novartis was entitled to receive up to 864,988 Bonus Shares.</w:t>
      </w:r>
    </w:p>
    <w:p>
      <w:pPr>
        <w:spacing w:after="0" w:line="176" w:lineRule="exact"/>
        <w:rPr>
          <w:sz w:val="20"/>
          <w:szCs w:val="20"/>
          <w:color w:val="auto"/>
        </w:rPr>
      </w:pPr>
    </w:p>
    <w:p>
      <w:pPr>
        <w:ind w:left="440" w:right="260" w:firstLine="423"/>
        <w:spacing w:after="0" w:line="284" w:lineRule="auto"/>
        <w:rPr>
          <w:sz w:val="20"/>
          <w:szCs w:val="20"/>
          <w:color w:val="auto"/>
        </w:rPr>
      </w:pPr>
      <w:r>
        <w:rPr>
          <w:rFonts w:ascii="Arial" w:cs="Arial" w:eastAsia="Arial" w:hAnsi="Arial"/>
          <w:sz w:val="17"/>
          <w:szCs w:val="17"/>
          <w:color w:val="auto"/>
        </w:rPr>
        <w:t>To the extent any of the Novartis Notes remain outstanding on March 2, 2021, Mereo is obligated to pay Novartis the principal amount of such outstanding Novartis Notes together with any accrued interest.</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Credit Facility</w:t>
      </w:r>
    </w:p>
    <w:p>
      <w:pPr>
        <w:spacing w:after="0" w:line="115" w:lineRule="exact"/>
        <w:rPr>
          <w:sz w:val="20"/>
          <w:szCs w:val="20"/>
          <w:color w:val="auto"/>
        </w:rPr>
      </w:pPr>
    </w:p>
    <w:p>
      <w:pPr>
        <w:ind w:left="440" w:right="80" w:firstLine="423"/>
        <w:spacing w:after="0" w:line="275" w:lineRule="auto"/>
        <w:rPr>
          <w:sz w:val="20"/>
          <w:szCs w:val="20"/>
          <w:color w:val="auto"/>
        </w:rPr>
      </w:pPr>
      <w:r>
        <w:rPr>
          <w:rFonts w:ascii="Arial" w:cs="Arial" w:eastAsia="Arial" w:hAnsi="Arial"/>
          <w:sz w:val="16"/>
          <w:szCs w:val="16"/>
          <w:color w:val="auto"/>
        </w:rPr>
        <w:t>On August 7, 2017, Mereo entered into a loan agreement (the “Original Loan Agreement”) with Silicon Valley Bank and Kreos Capital V (UK) Limited, which provided for total borrowings of £20.0 million. Mereo borrowed £10.0 million on each of August 21, 2017 and December 29, 2017, for general working capital purposes. Under the Original Loan Agreement, Mereo was obligated to make interest-only payments on the loan amount until September 30, 2018, and thereafter Mereo was obligated to pay interest and principal in 30 equal monthly installments until March 2021. The loan bore interest at an annual fixed rate equal to 9.0%. On September 28, 2018, Mereo, Silicon Valley Bank and Kreos Capital V (UK) Limited entered into a new loan agreement (the “New Loan Agreement”), which replaced the Original Loan Agreement in its entirety and (i) increased the total commitments of the lenders to £20,455,000, (ii) extended the interest-only period from September 30, 2018 to April 30, 2019, and (iii) reduced the interest rate from 9.0% to 8.5%. Under the New Loan Agreement, both the interest-only period and the maturity date may be further extended subject to the achievement by Mereo of certain conditions set forth in the New Loan Agreement. The New Loan Agreement is secured by substantially all of Mereo’s assets, including intellectual property rights owned or controlled by Mereo.</w:t>
      </w:r>
    </w:p>
    <w:p>
      <w:pPr>
        <w:spacing w:after="0" w:line="171" w:lineRule="exact"/>
        <w:rPr>
          <w:sz w:val="20"/>
          <w:szCs w:val="20"/>
          <w:color w:val="auto"/>
        </w:rPr>
      </w:pPr>
    </w:p>
    <w:p>
      <w:pPr>
        <w:ind w:left="440" w:right="340" w:firstLine="423"/>
        <w:spacing w:after="0" w:line="316" w:lineRule="auto"/>
        <w:rPr>
          <w:sz w:val="20"/>
          <w:szCs w:val="20"/>
          <w:color w:val="auto"/>
        </w:rPr>
      </w:pPr>
      <w:r>
        <w:rPr>
          <w:rFonts w:ascii="Arial" w:cs="Arial" w:eastAsia="Arial" w:hAnsi="Arial"/>
          <w:sz w:val="16"/>
          <w:szCs w:val="16"/>
          <w:color w:val="auto"/>
        </w:rPr>
        <w:t>In connection with the New Loan Agreement, Mereo has issued warrants giving the lenders the right to subscribe for 225,974 Mereo ordinary shares at an exercise price of £2.31 per Mereo ordinary share. These warrants will be capable of exercise until October 1, 2028.</w:t>
      </w:r>
    </w:p>
    <w:p>
      <w:pPr>
        <w:spacing w:after="0" w:line="137"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On April 23, 2019 Mereo entered into a further revision to the New Loan Agreement, which extended the interest-only period to December 31, 2019. In connection with the revised New Loan Agreement and following completion of the Merger with OncoMed on April 23, 2019, Mereo expects to issue additional warrants giving the lenders the right to subscribe for approximately 321,444 Mereo ordinary shares at an exercise price of £2.95 per Mereo ordinary share. These warrants, when issued, will be capable of exercise until October 1, 2028.</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Critical Accounting Judgments and Estimates</w:t>
      </w:r>
    </w:p>
    <w:p>
      <w:pPr>
        <w:spacing w:after="0" w:line="121" w:lineRule="exact"/>
        <w:rPr>
          <w:sz w:val="20"/>
          <w:szCs w:val="20"/>
          <w:color w:val="auto"/>
        </w:rPr>
      </w:pPr>
    </w:p>
    <w:p>
      <w:pPr>
        <w:ind w:left="440" w:right="80" w:firstLine="423"/>
        <w:spacing w:after="0" w:line="260" w:lineRule="auto"/>
        <w:rPr>
          <w:sz w:val="20"/>
          <w:szCs w:val="20"/>
          <w:color w:val="auto"/>
        </w:rPr>
      </w:pPr>
      <w:r>
        <w:rPr>
          <w:rFonts w:ascii="Arial" w:cs="Arial" w:eastAsia="Arial" w:hAnsi="Arial"/>
          <w:sz w:val="17"/>
          <w:szCs w:val="17"/>
          <w:color w:val="auto"/>
        </w:rPr>
        <w:t>Mereo’s financial statements have been prepared in accordance with IFRS as issued by the IASB. In the application of Mereo’s accounting policies, it is required to make judgments, estimates, and assumptions about the value of assets and liabilities for which there is no definitive third-party reference. The estimates and associated assumptions are based on historical experience and other factors that Mereo considered to be relevant. Actual results may differ from these estimates. Mereo reviews its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180" w:lineRule="exact"/>
        <w:rPr>
          <w:sz w:val="20"/>
          <w:szCs w:val="20"/>
          <w:color w:val="auto"/>
        </w:rPr>
      </w:pPr>
    </w:p>
    <w:p>
      <w:pPr>
        <w:ind w:left="440" w:right="260" w:firstLine="423"/>
        <w:spacing w:after="0" w:line="316" w:lineRule="auto"/>
        <w:rPr>
          <w:sz w:val="20"/>
          <w:szCs w:val="20"/>
          <w:color w:val="auto"/>
        </w:rPr>
      </w:pPr>
      <w:r>
        <w:rPr>
          <w:rFonts w:ascii="Arial" w:cs="Arial" w:eastAsia="Arial" w:hAnsi="Arial"/>
          <w:sz w:val="16"/>
          <w:szCs w:val="16"/>
          <w:color w:val="auto"/>
        </w:rPr>
        <w:t>The following are Mereo’s critical judgments and estimates that it has made in the process of applying its accounting policies and that have the most significant effect on the amounts recognized in its consolidated financial statements included elsewhere in this annual report.</w:t>
      </w:r>
    </w:p>
    <w:p>
      <w:pPr>
        <w:spacing w:after="0" w:line="7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980"/>
          </w:cols>
          <w:pgMar w:left="240" w:top="445" w:right="67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Measurement of Share-Based Compensation</w:t>
      </w:r>
    </w:p>
    <w:p>
      <w:pPr>
        <w:spacing w:after="0" w:line="115" w:lineRule="exact"/>
        <w:rPr>
          <w:sz w:val="20"/>
          <w:szCs w:val="20"/>
          <w:color w:val="auto"/>
        </w:rPr>
      </w:pPr>
    </w:p>
    <w:p>
      <w:pPr>
        <w:ind w:left="440" w:right="320" w:firstLine="423"/>
        <w:spacing w:after="0" w:line="284" w:lineRule="auto"/>
        <w:rPr>
          <w:sz w:val="20"/>
          <w:szCs w:val="20"/>
          <w:color w:val="auto"/>
        </w:rPr>
      </w:pPr>
      <w:r>
        <w:rPr>
          <w:rFonts w:ascii="Arial" w:cs="Arial" w:eastAsia="Arial" w:hAnsi="Arial"/>
          <w:sz w:val="17"/>
          <w:szCs w:val="17"/>
          <w:color w:val="auto"/>
        </w:rPr>
        <w:t>Through December 31, 2018, Mereo granted share options and awards under the following four equity award plans: (i) the 2015 Plan; (ii) the Share Option Plan; (iii) the LTIP; and (iv) the 2016 DBSP.</w:t>
      </w:r>
    </w:p>
    <w:p>
      <w:pPr>
        <w:spacing w:after="0" w:line="159"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Mereo measures share options at fair value at its grant date in accordance with IFRS 2, “Share-based Payment.” Mereo calculates the fair value of the share options using either the Black-Scholes model, or for options with performance conditions, a simulation model. Mereo charges the fair value to the statement of comprehensive income over the expected vesting period.</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2015 Plan</w:t>
      </w:r>
    </w:p>
    <w:p>
      <w:pPr>
        <w:spacing w:after="0" w:line="115" w:lineRule="exact"/>
        <w:rPr>
          <w:sz w:val="20"/>
          <w:szCs w:val="20"/>
          <w:color w:val="auto"/>
        </w:rPr>
      </w:pPr>
    </w:p>
    <w:p>
      <w:pPr>
        <w:ind w:left="440" w:right="60" w:firstLine="423"/>
        <w:spacing w:after="0" w:line="261" w:lineRule="auto"/>
        <w:rPr>
          <w:sz w:val="20"/>
          <w:szCs w:val="20"/>
          <w:color w:val="auto"/>
        </w:rPr>
      </w:pPr>
      <w:r>
        <w:rPr>
          <w:rFonts w:ascii="Arial" w:cs="Arial" w:eastAsia="Arial" w:hAnsi="Arial"/>
          <w:sz w:val="17"/>
          <w:szCs w:val="17"/>
          <w:color w:val="auto"/>
        </w:rPr>
        <w:t>Under the 2015 Plan, Mereo has granted share options to its employees, including its senior executives, and its non-executive directors. For all employees, share options vest over four years with 25% vesting 12 months after the vesting start date and the balance vesting equally over the next 36 months. For non-executive directors, share options vest over three years in three equal annual installments. There have been no performance conditions attached to the share options granted under the 2015 Plan. Certain rules apply for accelerated vesting and exercise of share options in the event of an offer for the company.</w:t>
      </w:r>
    </w:p>
    <w:p>
      <w:pPr>
        <w:spacing w:after="0" w:line="180" w:lineRule="exact"/>
        <w:rPr>
          <w:sz w:val="20"/>
          <w:szCs w:val="20"/>
          <w:color w:val="auto"/>
        </w:rPr>
      </w:pPr>
    </w:p>
    <w:p>
      <w:pPr>
        <w:ind w:left="440" w:right="20" w:firstLine="423"/>
        <w:spacing w:after="0" w:line="293" w:lineRule="auto"/>
        <w:rPr>
          <w:sz w:val="20"/>
          <w:szCs w:val="20"/>
          <w:color w:val="auto"/>
        </w:rPr>
      </w:pPr>
      <w:r>
        <w:rPr>
          <w:rFonts w:ascii="Arial" w:cs="Arial" w:eastAsia="Arial" w:hAnsi="Arial"/>
          <w:sz w:val="16"/>
          <w:szCs w:val="16"/>
          <w:color w:val="auto"/>
        </w:rPr>
        <w:t>Mereo measures the share options under the 2015 Plan at fair value at its grant date in accordance with IFRS 2, “Share-based Payment,” using the Black-Scholes model. The exercise price of the share options under the 2015 Plan is in the range of £1.29 to £2.21 per Mereo Share and the share options were granted between September 2015 and May 2016 with an exercise period of 10 years from the date of grant.</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5420" w:type="dxa"/>
            <w:vAlign w:val="bottom"/>
            <w:gridSpan w:val="2"/>
          </w:tcPr>
          <w:p>
            <w:pPr>
              <w:spacing w:after="0"/>
              <w:rPr>
                <w:sz w:val="20"/>
                <w:szCs w:val="20"/>
                <w:color w:val="auto"/>
              </w:rPr>
            </w:pPr>
            <w:r>
              <w:rPr>
                <w:rFonts w:ascii="Arial" w:cs="Arial" w:eastAsia="Arial" w:hAnsi="Arial"/>
                <w:sz w:val="17"/>
                <w:szCs w:val="17"/>
                <w:color w:val="auto"/>
              </w:rPr>
              <w:t>Other inputs to determine the fair value included:</w:t>
            </w:r>
          </w:p>
        </w:tc>
        <w:tc>
          <w:tcPr>
            <w:tcW w:w="3020" w:type="dxa"/>
            <w:vAlign w:val="bottom"/>
          </w:tcPr>
          <w:p>
            <w:pPr>
              <w:spacing w:after="0"/>
              <w:rPr>
                <w:sz w:val="19"/>
                <w:szCs w:val="19"/>
                <w:color w:val="auto"/>
              </w:rPr>
            </w:pPr>
          </w:p>
        </w:tc>
      </w:tr>
      <w:tr>
        <w:trPr>
          <w:trHeight w:val="233"/>
        </w:trPr>
        <w:tc>
          <w:tcPr>
            <w:tcW w:w="12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207"/>
        </w:trPr>
        <w:tc>
          <w:tcPr>
            <w:tcW w:w="12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Volatility(1)</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07"/>
        </w:trPr>
        <w:tc>
          <w:tcPr>
            <w:tcW w:w="12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Risk-free rate</w:t>
            </w:r>
          </w:p>
        </w:tc>
        <w:tc>
          <w:tcPr>
            <w:tcW w:w="3020" w:type="dxa"/>
            <w:vAlign w:val="bottom"/>
          </w:tcPr>
          <w:p>
            <w:pPr>
              <w:jc w:val="right"/>
              <w:spacing w:after="0"/>
              <w:rPr>
                <w:sz w:val="20"/>
                <w:szCs w:val="20"/>
                <w:color w:val="auto"/>
              </w:rPr>
            </w:pPr>
            <w:r>
              <w:rPr>
                <w:rFonts w:ascii="Arial" w:cs="Arial" w:eastAsia="Arial" w:hAnsi="Arial"/>
                <w:sz w:val="17"/>
                <w:szCs w:val="17"/>
                <w:color w:val="auto"/>
              </w:rPr>
              <w:t>1.48 to 2.07%</w:t>
            </w:r>
          </w:p>
        </w:tc>
      </w:tr>
      <w:tr>
        <w:trPr>
          <w:trHeight w:val="207"/>
        </w:trPr>
        <w:tc>
          <w:tcPr>
            <w:tcW w:w="12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dividends</w:t>
            </w:r>
          </w:p>
        </w:tc>
        <w:tc>
          <w:tcPr>
            <w:tcW w:w="30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£nil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81915</wp:posOffset>
            </wp:positionV>
            <wp:extent cx="6743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49" w:lineRule="exact"/>
        <w:rPr>
          <w:sz w:val="20"/>
          <w:szCs w:val="20"/>
          <w:color w:val="auto"/>
        </w:rPr>
      </w:pPr>
    </w:p>
    <w:p>
      <w:pPr>
        <w:ind w:left="840" w:hanging="409"/>
        <w:spacing w:after="0"/>
        <w:tabs>
          <w:tab w:leader="none" w:pos="8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Measured by reference to a basket of similar companies trading on AIM.</w:t>
      </w:r>
    </w:p>
    <w:p>
      <w:pPr>
        <w:spacing w:after="0" w:line="219" w:lineRule="exact"/>
        <w:rPr>
          <w:sz w:val="20"/>
          <w:szCs w:val="20"/>
          <w:color w:val="auto"/>
        </w:rPr>
      </w:pPr>
    </w:p>
    <w:p>
      <w:pPr>
        <w:ind w:left="440" w:right="460" w:firstLine="423"/>
        <w:spacing w:after="0" w:line="284" w:lineRule="auto"/>
        <w:rPr>
          <w:sz w:val="20"/>
          <w:szCs w:val="20"/>
          <w:color w:val="auto"/>
        </w:rPr>
      </w:pPr>
      <w:r>
        <w:rPr>
          <w:rFonts w:ascii="Arial" w:cs="Arial" w:eastAsia="Arial" w:hAnsi="Arial"/>
          <w:sz w:val="17"/>
          <w:szCs w:val="17"/>
          <w:color w:val="auto"/>
        </w:rPr>
        <w:t>The fair value of such share-based compensation is recognized as an expense over the respective vesting period. Share-based compensation expense under the 2015 Plan was £6.2 million in 2016.</w:t>
      </w:r>
    </w:p>
    <w:p>
      <w:pPr>
        <w:spacing w:after="0" w:line="159" w:lineRule="exact"/>
        <w:rPr>
          <w:sz w:val="20"/>
          <w:szCs w:val="20"/>
          <w:color w:val="auto"/>
        </w:rPr>
      </w:pPr>
    </w:p>
    <w:p>
      <w:pPr>
        <w:ind w:left="440" w:right="140" w:firstLine="423"/>
        <w:spacing w:after="0" w:line="269" w:lineRule="auto"/>
        <w:rPr>
          <w:sz w:val="20"/>
          <w:szCs w:val="20"/>
          <w:color w:val="auto"/>
        </w:rPr>
      </w:pPr>
      <w:r>
        <w:rPr>
          <w:rFonts w:ascii="Arial" w:cs="Arial" w:eastAsia="Arial" w:hAnsi="Arial"/>
          <w:sz w:val="17"/>
          <w:szCs w:val="17"/>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Share Option Plan</w:t>
      </w:r>
    </w:p>
    <w:p>
      <w:pPr>
        <w:spacing w:after="0" w:line="115" w:lineRule="exact"/>
        <w:rPr>
          <w:sz w:val="20"/>
          <w:szCs w:val="20"/>
          <w:color w:val="auto"/>
        </w:rPr>
      </w:pPr>
    </w:p>
    <w:p>
      <w:pPr>
        <w:ind w:left="440" w:right="120" w:firstLine="423"/>
        <w:spacing w:after="0" w:line="281" w:lineRule="auto"/>
        <w:rPr>
          <w:sz w:val="20"/>
          <w:szCs w:val="20"/>
          <w:color w:val="auto"/>
        </w:rPr>
      </w:pPr>
      <w:r>
        <w:rPr>
          <w:rFonts w:ascii="Arial" w:cs="Arial" w:eastAsia="Arial" w:hAnsi="Arial"/>
          <w:sz w:val="16"/>
          <w:szCs w:val="16"/>
          <w:color w:val="auto"/>
        </w:rPr>
        <w:t>Under the Share Option Plan, Mereo has granted 1,881,555 share options to executive officers and other employees and 84,633 options have lapsed. The weighted-average remaining contractual life for the share options outstanding as of December 31, 2017 and December 31, 2018 was 9.4 years and 8.6, respectively. The weighted-average fair value of options granted during the year ended December 31, 2017 and December 31, 2018 was £1.85 and £2.29 per share, respectively. Share options outstanding as of December 31, 2017 had an exercise price of between £3.03 and £3.23, respectively per share and as of December 31, 2018, between £2.76 and £3.23 per share.</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weighted-average inputs to the models used for the fair value of share options were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3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35"/>
        </w:trPr>
        <w:tc>
          <w:tcPr>
            <w:tcW w:w="3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60" w:type="dxa"/>
            <w:vAlign w:val="bottom"/>
            <w:tcBorders>
              <w:top w:val="single" w:sz="8" w:color="auto"/>
              <w:bottom w:val="single" w:sz="8" w:color="auto"/>
            </w:tcBorders>
          </w:tcPr>
          <w:p>
            <w:pPr>
              <w:jc w:val="right"/>
              <w:ind w:right="627"/>
              <w:spacing w:after="0" w:line="135"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top w:val="single" w:sz="8" w:color="auto"/>
              <w:bottom w:val="single" w:sz="8" w:color="auto"/>
            </w:tcBorders>
          </w:tcPr>
          <w:p>
            <w:pPr>
              <w:jc w:val="right"/>
              <w:ind w:right="297"/>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r>
      <w:tr>
        <w:trPr>
          <w:trHeight w:val="135"/>
        </w:trPr>
        <w:tc>
          <w:tcPr>
            <w:tcW w:w="3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(in £)</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 (%)</w:t>
            </w:r>
          </w:p>
        </w:tc>
        <w:tc>
          <w:tcPr>
            <w:tcW w:w="3740" w:type="dxa"/>
            <w:vAlign w:val="bottom"/>
            <w:gridSpan w:val="2"/>
            <w:shd w:val="clear" w:color="auto" w:fill="CCEEFF"/>
          </w:tcPr>
          <w:p>
            <w:pPr>
              <w:jc w:val="right"/>
              <w:ind w:right="247"/>
              <w:spacing w:after="0"/>
              <w:rPr>
                <w:sz w:val="20"/>
                <w:szCs w:val="20"/>
                <w:color w:val="auto"/>
              </w:rPr>
            </w:pPr>
            <w:r>
              <w:rPr>
                <w:rFonts w:ascii="Arial" w:cs="Arial" w:eastAsia="Arial" w:hAnsi="Arial"/>
                <w:sz w:val="17"/>
                <w:szCs w:val="17"/>
                <w:color w:val="auto"/>
              </w:rPr>
              <w:t>49-51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65-67</w:t>
            </w:r>
          </w:p>
        </w:tc>
      </w:tr>
      <w:tr>
        <w:trPr>
          <w:trHeight w:val="207"/>
        </w:trPr>
        <w:tc>
          <w:tcPr>
            <w:tcW w:w="3240" w:type="dxa"/>
            <w:vAlign w:val="bottom"/>
          </w:tcPr>
          <w:p>
            <w:pPr>
              <w:spacing w:after="0"/>
              <w:rPr>
                <w:sz w:val="20"/>
                <w:szCs w:val="20"/>
                <w:color w:val="auto"/>
              </w:rPr>
            </w:pPr>
            <w:r>
              <w:rPr>
                <w:rFonts w:ascii="Arial" w:cs="Arial" w:eastAsia="Arial" w:hAnsi="Arial"/>
                <w:sz w:val="17"/>
                <w:szCs w:val="17"/>
                <w:color w:val="auto"/>
              </w:rPr>
              <w:t>Risk-free interest rate (%)</w:t>
            </w:r>
          </w:p>
        </w:tc>
        <w:tc>
          <w:tcPr>
            <w:tcW w:w="3740" w:type="dxa"/>
            <w:vAlign w:val="bottom"/>
            <w:gridSpan w:val="2"/>
          </w:tcPr>
          <w:p>
            <w:pPr>
              <w:jc w:val="right"/>
              <w:ind w:right="247"/>
              <w:spacing w:after="0"/>
              <w:rPr>
                <w:sz w:val="20"/>
                <w:szCs w:val="20"/>
                <w:color w:val="auto"/>
              </w:rPr>
            </w:pPr>
            <w:r>
              <w:rPr>
                <w:rFonts w:ascii="Arial" w:cs="Arial" w:eastAsia="Arial" w:hAnsi="Arial"/>
                <w:sz w:val="17"/>
                <w:szCs w:val="17"/>
                <w:color w:val="auto"/>
              </w:rPr>
              <w:t>1.06-1.33</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1.39-1.53</w:t>
            </w: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Expected life of share options (years)</w:t>
            </w:r>
          </w:p>
        </w:tc>
        <w:tc>
          <w:tcPr>
            <w:tcW w:w="3740" w:type="dxa"/>
            <w:vAlign w:val="bottom"/>
            <w:gridSpan w:val="2"/>
            <w:shd w:val="clear" w:color="auto" w:fill="CCEEFF"/>
          </w:tcPr>
          <w:p>
            <w:pPr>
              <w:jc w:val="right"/>
              <w:ind w:right="247"/>
              <w:spacing w:after="0"/>
              <w:rPr>
                <w:sz w:val="20"/>
                <w:szCs w:val="20"/>
                <w:color w:val="auto"/>
              </w:rPr>
            </w:pPr>
            <w:r>
              <w:rPr>
                <w:rFonts w:ascii="Arial" w:cs="Arial" w:eastAsia="Arial" w:hAnsi="Arial"/>
                <w:sz w:val="17"/>
                <w:szCs w:val="17"/>
                <w:color w:val="auto"/>
              </w:rPr>
              <w:t>10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207"/>
        </w:trPr>
        <w:tc>
          <w:tcPr>
            <w:tcW w:w="3240" w:type="dxa"/>
            <w:vAlign w:val="bottom"/>
          </w:tcPr>
          <w:p>
            <w:pPr>
              <w:spacing w:after="0"/>
              <w:rPr>
                <w:sz w:val="20"/>
                <w:szCs w:val="20"/>
                <w:color w:val="auto"/>
              </w:rPr>
            </w:pPr>
            <w:r>
              <w:rPr>
                <w:rFonts w:ascii="Arial" w:cs="Arial" w:eastAsia="Arial" w:hAnsi="Arial"/>
                <w:sz w:val="17"/>
                <w:szCs w:val="17"/>
                <w:color w:val="auto"/>
              </w:rPr>
              <w:t>Market price of ordinary shares (£)</w:t>
            </w:r>
          </w:p>
        </w:tc>
        <w:tc>
          <w:tcPr>
            <w:tcW w:w="3740" w:type="dxa"/>
            <w:vAlign w:val="bottom"/>
            <w:gridSpan w:val="2"/>
          </w:tcPr>
          <w:p>
            <w:pPr>
              <w:jc w:val="right"/>
              <w:ind w:right="247"/>
              <w:spacing w:after="0"/>
              <w:rPr>
                <w:sz w:val="20"/>
                <w:szCs w:val="20"/>
                <w:color w:val="auto"/>
              </w:rPr>
            </w:pPr>
            <w:r>
              <w:rPr>
                <w:rFonts w:ascii="Arial" w:cs="Arial" w:eastAsia="Arial" w:hAnsi="Arial"/>
                <w:sz w:val="17"/>
                <w:szCs w:val="17"/>
                <w:color w:val="auto"/>
              </w:rPr>
              <w:t>3.03-3.23</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2.76-3.25</w:t>
            </w: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Model used</w:t>
            </w:r>
          </w:p>
        </w:tc>
        <w:tc>
          <w:tcPr>
            <w:tcW w:w="2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47"/>
              <w:spacing w:after="0"/>
              <w:rPr>
                <w:sz w:val="20"/>
                <w:szCs w:val="20"/>
                <w:color w:val="auto"/>
              </w:rPr>
            </w:pPr>
            <w:r>
              <w:rPr>
                <w:rFonts w:ascii="Arial" w:cs="Arial" w:eastAsia="Arial" w:hAnsi="Arial"/>
                <w:sz w:val="17"/>
                <w:szCs w:val="17"/>
                <w:color w:val="auto"/>
                <w:w w:val="95"/>
              </w:rPr>
              <w:t>Black Scholes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3"/>
              </w:rPr>
              <w:t>Black Scholes</w:t>
            </w:r>
          </w:p>
        </w:tc>
      </w:tr>
      <w:tr>
        <w:trPr>
          <w:trHeight w:val="350"/>
        </w:trPr>
        <w:tc>
          <w:tcPr>
            <w:tcW w:w="3240" w:type="dxa"/>
            <w:vAlign w:val="bottom"/>
          </w:tcPr>
          <w:p>
            <w:pPr>
              <w:spacing w:after="0"/>
              <w:rPr>
                <w:sz w:val="24"/>
                <w:szCs w:val="24"/>
                <w:color w:val="auto"/>
              </w:rPr>
            </w:pPr>
          </w:p>
        </w:tc>
        <w:tc>
          <w:tcPr>
            <w:tcW w:w="2380" w:type="dxa"/>
            <w:vAlign w:val="bottom"/>
          </w:tcPr>
          <w:p>
            <w:pPr>
              <w:jc w:val="right"/>
              <w:ind w:right="1394"/>
              <w:spacing w:after="0"/>
              <w:rPr>
                <w:sz w:val="20"/>
                <w:szCs w:val="20"/>
                <w:color w:val="auto"/>
              </w:rPr>
            </w:pPr>
            <w:r>
              <w:rPr>
                <w:rFonts w:ascii="Arial" w:cs="Arial" w:eastAsia="Arial" w:hAnsi="Arial"/>
                <w:sz w:val="17"/>
                <w:szCs w:val="17"/>
                <w:color w:val="auto"/>
              </w:rPr>
              <w:t>114</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40"/>
          </w:cols>
          <w:pgMar w:left="240" w:top="445" w:right="71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60" w:firstLine="423"/>
        <w:spacing w:after="0" w:line="269" w:lineRule="auto"/>
        <w:rPr>
          <w:sz w:val="20"/>
          <w:szCs w:val="20"/>
          <w:color w:val="auto"/>
        </w:rPr>
      </w:pPr>
      <w:r>
        <w:rPr>
          <w:rFonts w:ascii="Arial" w:cs="Arial" w:eastAsia="Arial" w:hAnsi="Arial"/>
          <w:sz w:val="17"/>
          <w:szCs w:val="17"/>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Long Term Incentive Plan</w:t>
      </w:r>
    </w:p>
    <w:p>
      <w:pPr>
        <w:spacing w:after="0" w:line="115" w:lineRule="exact"/>
        <w:rPr>
          <w:sz w:val="20"/>
          <w:szCs w:val="20"/>
          <w:color w:val="auto"/>
        </w:rPr>
      </w:pPr>
    </w:p>
    <w:p>
      <w:pPr>
        <w:ind w:left="440" w:firstLine="423"/>
        <w:spacing w:after="0" w:line="310" w:lineRule="auto"/>
        <w:rPr>
          <w:sz w:val="20"/>
          <w:szCs w:val="20"/>
          <w:color w:val="auto"/>
        </w:rPr>
      </w:pPr>
      <w:r>
        <w:rPr>
          <w:rFonts w:ascii="Arial" w:cs="Arial" w:eastAsia="Arial" w:hAnsi="Arial"/>
          <w:sz w:val="15"/>
          <w:szCs w:val="15"/>
          <w:color w:val="auto"/>
        </w:rPr>
        <w:t>Under the LTIP, share options were granted to executive officers on June 9, 2016 and April 4, 2017. 75% of these share options have specific performance conditions and vest up to 33.3% on June 9, 2019 (Tranche 1), 33.3% on June 9, 2020 (Tranche 2) and 33.3% on June 9, 2021 (Tranche 3) depending on achieving share price increases relative to the share price at January 1 2019, January 1, 2020 and January 1, 2021 relative to the share price at admission to AIM. The share options were granted at a weighted-average fair value of £1.34 per Mereo Share and have an exercise price of £nil.</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Other inputs used to determine the fair value of the strategic element of the LTIP share options were:</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3380" w:type="dxa"/>
            <w:vAlign w:val="bottom"/>
          </w:tcPr>
          <w:p>
            <w:pPr>
              <w:spacing w:after="0"/>
              <w:rPr>
                <w:sz w:val="14"/>
                <w:szCs w:val="14"/>
                <w:color w:val="auto"/>
              </w:rPr>
            </w:pPr>
          </w:p>
        </w:tc>
        <w:tc>
          <w:tcPr>
            <w:tcW w:w="3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Tranche 1</w:t>
            </w: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Tranche 2</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Tranche 3</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Volatility</w:t>
            </w:r>
          </w:p>
        </w:tc>
        <w:tc>
          <w:tcPr>
            <w:tcW w:w="20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80" w:type="dxa"/>
            <w:vAlign w:val="bottom"/>
            <w:vMerge w:val="continue"/>
            <w:shd w:val="clear" w:color="auto" w:fill="CCEEFF"/>
          </w:tcPr>
          <w:p>
            <w:pPr>
              <w:spacing w:after="0"/>
              <w:rPr>
                <w:sz w:val="17"/>
                <w:szCs w:val="17"/>
                <w:color w:val="auto"/>
              </w:rPr>
            </w:pPr>
          </w:p>
        </w:tc>
        <w:tc>
          <w:tcPr>
            <w:tcW w:w="204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48.9%</w:t>
            </w:r>
          </w:p>
        </w:tc>
        <w:tc>
          <w:tcPr>
            <w:tcW w:w="32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48.9%</w:t>
            </w:r>
          </w:p>
        </w:tc>
        <w:tc>
          <w:tcPr>
            <w:tcW w:w="30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20"/>
                <w:szCs w:val="20"/>
                <w:color w:val="auto"/>
              </w:rPr>
            </w:pPr>
            <w:r>
              <w:rPr>
                <w:rFonts w:ascii="Arial" w:cs="Arial" w:eastAsia="Arial" w:hAnsi="Arial"/>
                <w:sz w:val="17"/>
                <w:szCs w:val="17"/>
                <w:color w:val="auto"/>
              </w:rPr>
              <w:t>Risk-free rate</w:t>
            </w:r>
          </w:p>
        </w:tc>
        <w:tc>
          <w:tcPr>
            <w:tcW w:w="3060" w:type="dxa"/>
            <w:vAlign w:val="bottom"/>
            <w:gridSpan w:val="3"/>
          </w:tcPr>
          <w:p>
            <w:pPr>
              <w:jc w:val="right"/>
              <w:ind w:right="280"/>
              <w:spacing w:after="0"/>
              <w:rPr>
                <w:sz w:val="20"/>
                <w:szCs w:val="20"/>
                <w:color w:val="auto"/>
              </w:rPr>
            </w:pPr>
            <w:r>
              <w:rPr>
                <w:rFonts w:ascii="Arial" w:cs="Arial" w:eastAsia="Arial" w:hAnsi="Arial"/>
                <w:sz w:val="17"/>
                <w:szCs w:val="17"/>
                <w:color w:val="auto"/>
              </w:rPr>
              <w:t>0.48%</w:t>
            </w:r>
          </w:p>
        </w:tc>
        <w:tc>
          <w:tcPr>
            <w:tcW w:w="1340" w:type="dxa"/>
            <w:vAlign w:val="bottom"/>
            <w:gridSpan w:val="3"/>
          </w:tcPr>
          <w:p>
            <w:pPr>
              <w:jc w:val="right"/>
              <w:ind w:right="300"/>
              <w:spacing w:after="0"/>
              <w:rPr>
                <w:sz w:val="20"/>
                <w:szCs w:val="20"/>
                <w:color w:val="auto"/>
              </w:rPr>
            </w:pPr>
            <w:r>
              <w:rPr>
                <w:rFonts w:ascii="Arial" w:cs="Arial" w:eastAsia="Arial" w:hAnsi="Arial"/>
                <w:sz w:val="17"/>
                <w:szCs w:val="17"/>
                <w:color w:val="auto"/>
              </w:rPr>
              <w:t>0.61%</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0.74%</w:t>
            </w: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dividends</w:t>
            </w:r>
          </w:p>
        </w:tc>
        <w:tc>
          <w:tcPr>
            <w:tcW w:w="20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£nil</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£nil</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£nil</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40" w:right="400" w:firstLine="423"/>
        <w:spacing w:after="0" w:line="284" w:lineRule="auto"/>
        <w:rPr>
          <w:sz w:val="20"/>
          <w:szCs w:val="20"/>
          <w:color w:val="auto"/>
        </w:rPr>
      </w:pPr>
      <w:r>
        <w:rPr>
          <w:rFonts w:ascii="Arial" w:cs="Arial" w:eastAsia="Arial" w:hAnsi="Arial"/>
          <w:sz w:val="17"/>
          <w:szCs w:val="17"/>
          <w:color w:val="auto"/>
        </w:rPr>
        <w:t>Mereo measures the fair value of the share price element of the LTIP share options at its grant date in accordance with IFRS 2, “Share-based Payment,” using a Monte Carlo simulation model. Share options have an exercise period of one year from vesting date.</w:t>
      </w:r>
    </w:p>
    <w:p>
      <w:pPr>
        <w:spacing w:after="0" w:line="159" w:lineRule="exact"/>
        <w:rPr>
          <w:sz w:val="20"/>
          <w:szCs w:val="20"/>
          <w:color w:val="auto"/>
        </w:rPr>
      </w:pPr>
    </w:p>
    <w:p>
      <w:pPr>
        <w:ind w:left="440" w:right="220" w:firstLine="423"/>
        <w:spacing w:after="0" w:line="269" w:lineRule="auto"/>
        <w:rPr>
          <w:sz w:val="20"/>
          <w:szCs w:val="20"/>
          <w:color w:val="auto"/>
        </w:rPr>
      </w:pPr>
      <w:r>
        <w:rPr>
          <w:rFonts w:ascii="Arial" w:cs="Arial" w:eastAsia="Arial" w:hAnsi="Arial"/>
          <w:sz w:val="17"/>
          <w:szCs w:val="17"/>
          <w:color w:val="auto"/>
        </w:rPr>
        <w:t>25% of the LTIP share options are subject to strategic targets and share options vest three years from the date of grant. LTIP share options were granted at a weighted-average fair value of £1.34 per Mereo Share and have an exercise price of £nil. Mereo measures the fair value of the strategic element of the LTIP share options using the Black-Scholes model.</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20"/>
        </w:trPr>
        <w:tc>
          <w:tcPr>
            <w:tcW w:w="6500" w:type="dxa"/>
            <w:vAlign w:val="bottom"/>
            <w:gridSpan w:val="2"/>
          </w:tcPr>
          <w:p>
            <w:pPr>
              <w:spacing w:after="0"/>
              <w:rPr>
                <w:sz w:val="20"/>
                <w:szCs w:val="20"/>
                <w:color w:val="auto"/>
              </w:rPr>
            </w:pPr>
            <w:r>
              <w:rPr>
                <w:rFonts w:ascii="Arial" w:cs="Arial" w:eastAsia="Arial" w:hAnsi="Arial"/>
                <w:sz w:val="17"/>
                <w:szCs w:val="17"/>
                <w:color w:val="auto"/>
              </w:rPr>
              <w:t>Other inputs used to determine the fair value of LTIP share options were:</w:t>
            </w:r>
          </w:p>
        </w:tc>
        <w:tc>
          <w:tcPr>
            <w:tcW w:w="1940" w:type="dxa"/>
            <w:vAlign w:val="bottom"/>
          </w:tcPr>
          <w:p>
            <w:pPr>
              <w:spacing w:after="0"/>
              <w:rPr>
                <w:sz w:val="19"/>
                <w:szCs w:val="19"/>
                <w:color w:val="auto"/>
              </w:rPr>
            </w:pPr>
          </w:p>
        </w:tc>
      </w:tr>
      <w:tr>
        <w:trPr>
          <w:trHeight w:val="233"/>
        </w:trPr>
        <w:tc>
          <w:tcPr>
            <w:tcW w:w="12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07"/>
        </w:trPr>
        <w:tc>
          <w:tcPr>
            <w:tcW w:w="12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r>
      <w:tr>
        <w:trPr>
          <w:trHeight w:val="207"/>
        </w:trPr>
        <w:tc>
          <w:tcPr>
            <w:tcW w:w="12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Risk-free rate</w:t>
            </w:r>
          </w:p>
        </w:tc>
        <w:tc>
          <w:tcPr>
            <w:tcW w:w="1940" w:type="dxa"/>
            <w:vAlign w:val="bottom"/>
          </w:tcPr>
          <w:p>
            <w:pPr>
              <w:jc w:val="right"/>
              <w:spacing w:after="0"/>
              <w:rPr>
                <w:sz w:val="20"/>
                <w:szCs w:val="20"/>
                <w:color w:val="auto"/>
              </w:rPr>
            </w:pPr>
            <w:r>
              <w:rPr>
                <w:rFonts w:ascii="Arial" w:cs="Arial" w:eastAsia="Arial" w:hAnsi="Arial"/>
                <w:sz w:val="17"/>
                <w:szCs w:val="17"/>
                <w:color w:val="auto"/>
              </w:rPr>
              <w:t>0.74%</w:t>
            </w:r>
          </w:p>
        </w:tc>
      </w:tr>
      <w:tr>
        <w:trPr>
          <w:trHeight w:val="207"/>
        </w:trPr>
        <w:tc>
          <w:tcPr>
            <w:tcW w:w="12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dividends</w:t>
            </w:r>
          </w:p>
        </w:tc>
        <w:tc>
          <w:tcPr>
            <w:tcW w:w="19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£nil</w:t>
            </w:r>
          </w:p>
        </w:tc>
      </w:tr>
    </w:tbl>
    <w:p>
      <w:pPr>
        <w:spacing w:after="0" w:line="195" w:lineRule="exact"/>
        <w:rPr>
          <w:sz w:val="20"/>
          <w:szCs w:val="20"/>
          <w:color w:val="auto"/>
        </w:rPr>
      </w:pPr>
    </w:p>
    <w:p>
      <w:pPr>
        <w:ind w:left="440" w:right="240" w:firstLine="423"/>
        <w:spacing w:after="0" w:line="284" w:lineRule="auto"/>
        <w:rPr>
          <w:sz w:val="20"/>
          <w:szCs w:val="20"/>
          <w:color w:val="auto"/>
        </w:rPr>
      </w:pPr>
      <w:r>
        <w:rPr>
          <w:rFonts w:ascii="Arial" w:cs="Arial" w:eastAsia="Arial" w:hAnsi="Arial"/>
          <w:sz w:val="17"/>
          <w:szCs w:val="17"/>
          <w:color w:val="auto"/>
        </w:rPr>
        <w:t>The fair value of the total share-based compensation is recognized as an expense over the respective vesting period. Share-based compensation expense under the LTIP was £0.2 million in 2018 and £0.3 million in 2017.</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Deferred Bonus Share Plan</w:t>
      </w:r>
    </w:p>
    <w:p>
      <w:pPr>
        <w:spacing w:after="0" w:line="115" w:lineRule="exact"/>
        <w:rPr>
          <w:sz w:val="20"/>
          <w:szCs w:val="20"/>
          <w:color w:val="auto"/>
        </w:rPr>
      </w:pPr>
    </w:p>
    <w:p>
      <w:pPr>
        <w:ind w:left="440" w:right="240" w:firstLine="423"/>
        <w:spacing w:after="0" w:line="269" w:lineRule="auto"/>
        <w:rPr>
          <w:sz w:val="20"/>
          <w:szCs w:val="20"/>
          <w:color w:val="auto"/>
        </w:rPr>
      </w:pPr>
      <w:r>
        <w:rPr>
          <w:rFonts w:ascii="Arial" w:cs="Arial" w:eastAsia="Arial" w:hAnsi="Arial"/>
          <w:sz w:val="17"/>
          <w:szCs w:val="17"/>
          <w:color w:val="auto"/>
        </w:rPr>
        <w:t>Under the 2016 DBSP, 100,817 share options were granted to executive officers on April 26, 2018 in respect of the year ended December 31, 2017. Share options have no performance conditions, an exercise price of £nil, a normal vesting date of 3 years from grant and are exercisable within one year of vesting.</w:t>
      </w:r>
    </w:p>
    <w:p>
      <w:pPr>
        <w:spacing w:after="0" w:line="171" w:lineRule="exact"/>
        <w:rPr>
          <w:sz w:val="20"/>
          <w:szCs w:val="20"/>
          <w:color w:val="auto"/>
        </w:rPr>
      </w:pPr>
    </w:p>
    <w:p>
      <w:pPr>
        <w:ind w:left="440" w:firstLine="423"/>
        <w:spacing w:after="0" w:line="354" w:lineRule="auto"/>
        <w:rPr>
          <w:sz w:val="20"/>
          <w:szCs w:val="20"/>
          <w:color w:val="auto"/>
        </w:rPr>
      </w:pPr>
      <w:r>
        <w:rPr>
          <w:rFonts w:ascii="Arial" w:cs="Arial" w:eastAsia="Arial" w:hAnsi="Arial"/>
          <w:sz w:val="15"/>
          <w:szCs w:val="15"/>
          <w:color w:val="auto"/>
        </w:rPr>
        <w:t>Since the 2016 DBSP awards are equity-settled, they are valued using the grant date model based on the fair value at the date of issue. Given there are no market conditions nor any non-vesting conditions, the value of the awards will be the monetary value of the shares issued at the date of issue.</w:t>
      </w:r>
    </w:p>
    <w:p>
      <w:pPr>
        <w:spacing w:after="0" w:line="113" w:lineRule="exact"/>
        <w:rPr>
          <w:sz w:val="20"/>
          <w:szCs w:val="20"/>
          <w:color w:val="auto"/>
        </w:rPr>
      </w:pPr>
    </w:p>
    <w:p>
      <w:pPr>
        <w:ind w:left="440" w:right="480" w:firstLine="423"/>
        <w:spacing w:after="0" w:line="354" w:lineRule="auto"/>
        <w:rPr>
          <w:sz w:val="20"/>
          <w:szCs w:val="20"/>
          <w:color w:val="auto"/>
        </w:rPr>
      </w:pPr>
      <w:r>
        <w:rPr>
          <w:rFonts w:ascii="Arial" w:cs="Arial" w:eastAsia="Arial" w:hAnsi="Arial"/>
          <w:sz w:val="15"/>
          <w:szCs w:val="15"/>
          <w:color w:val="auto"/>
        </w:rPr>
        <w:t>The fair value of such share-based compensation is recognized as an expense over the respective vesting period. Share-based compensation expense under the 2016 DBSP for the years ended December 31, 2018 and 2017 were £nil million and £0.3 million respectively.</w:t>
      </w:r>
    </w:p>
    <w:p>
      <w:pPr>
        <w:spacing w:after="0" w:line="113" w:lineRule="exact"/>
        <w:rPr>
          <w:sz w:val="20"/>
          <w:szCs w:val="20"/>
          <w:color w:val="auto"/>
        </w:rPr>
      </w:pPr>
    </w:p>
    <w:p>
      <w:pPr>
        <w:ind w:left="440" w:right="20" w:firstLine="423"/>
        <w:spacing w:after="0" w:line="269" w:lineRule="auto"/>
        <w:rPr>
          <w:sz w:val="20"/>
          <w:szCs w:val="20"/>
          <w:color w:val="auto"/>
        </w:rPr>
      </w:pPr>
      <w:r>
        <w:rPr>
          <w:rFonts w:ascii="Arial" w:cs="Arial" w:eastAsia="Arial" w:hAnsi="Arial"/>
          <w:sz w:val="17"/>
          <w:szCs w:val="17"/>
          <w:color w:val="auto"/>
        </w:rPr>
        <w:t>Mereo accounts for related social security contributions on all share options as cash-settled share-based payment transactions. Mereo recognizes a liability over the vesting period in respect of share options to be exercised. The total charge in respect of social security was a negative charge of £1.4 million in 2018 and a charge of £1.1 million in 2017.</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960"/>
          </w:cols>
          <w:pgMar w:left="240" w:top="445" w:right="69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Mereo expects to grant additional share options that will result in additional share-based compensation expense.</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Measuring the Fair Value of Mereo’s Intangible Assets</w:t>
      </w:r>
    </w:p>
    <w:p>
      <w:pPr>
        <w:spacing w:after="0" w:line="219"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At each year-end reporting date, Mereo reviews the carrying value of its intangible assets to determine whether there is any indication that those assets have been impaired.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176"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Mereo considers the future development costs, the probability of successfully progressing each program to product approval and likely commercial returns after product approval, among other factors, when reviewing for indicators of impairment. The results of this testing did not indicate any impairment of the acquired products’ rights in the years ended December 31, 2016 and December 31, 2017.</w:t>
      </w:r>
    </w:p>
    <w:p>
      <w:pPr>
        <w:spacing w:after="0" w:line="171" w:lineRule="exact"/>
        <w:rPr>
          <w:sz w:val="20"/>
          <w:szCs w:val="20"/>
          <w:color w:val="auto"/>
        </w:rPr>
      </w:pPr>
    </w:p>
    <w:p>
      <w:pPr>
        <w:ind w:left="440" w:right="20" w:firstLine="423"/>
        <w:spacing w:after="0" w:line="260" w:lineRule="auto"/>
        <w:rPr>
          <w:sz w:val="20"/>
          <w:szCs w:val="20"/>
          <w:color w:val="auto"/>
        </w:rPr>
      </w:pPr>
      <w:r>
        <w:rPr>
          <w:rFonts w:ascii="Arial" w:cs="Arial" w:eastAsia="Arial" w:hAnsi="Arial"/>
          <w:sz w:val="17"/>
          <w:szCs w:val="17"/>
          <w:color w:val="auto"/>
        </w:rPr>
        <w:t>The acquired development programs are assets which are not used in launched products. These assets have not yet begun to be amortized but have been tested for impairment by assessing their value in use. Value-in-use calculations for each program are utilized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no cash flows are included after this date. Approved products are assumed to be out-licensed such that Mereo receives upfront fees, milestone payments, and royalties on sales; therefore, Mereo does not incur any costs of commercialization after out-licensing.</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Key assumptions Mereo has used for the value-in-use calculations are described as follows:</w:t>
      </w:r>
    </w:p>
    <w:p>
      <w:pPr>
        <w:spacing w:after="0" w:line="128" w:lineRule="exact"/>
        <w:rPr>
          <w:sz w:val="20"/>
          <w:szCs w:val="20"/>
          <w:color w:val="auto"/>
        </w:rPr>
      </w:pPr>
    </w:p>
    <w:p>
      <w:pPr>
        <w:jc w:val="both"/>
        <w:ind w:left="1260" w:right="280" w:hanging="415"/>
        <w:spacing w:after="0" w:line="269" w:lineRule="auto"/>
        <w:tabs>
          <w:tab w:leader="none" w:pos="1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development costs to obtain regulatory approval—costs are estimated net of any contributions expected from collaborative arrangements with future partners. Mereo’s directors have developed cost estimates based on Mereo’s previous experience and in conjunction with the expertise of Mereo’s clinical development partners;</w:t>
      </w:r>
    </w:p>
    <w:p>
      <w:pPr>
        <w:spacing w:after="0" w:line="80" w:lineRule="exact"/>
        <w:rPr>
          <w:rFonts w:ascii="Arial" w:cs="Arial" w:eastAsia="Arial" w:hAnsi="Arial"/>
          <w:sz w:val="17"/>
          <w:szCs w:val="17"/>
          <w:color w:val="auto"/>
        </w:rPr>
      </w:pPr>
    </w:p>
    <w:p>
      <w:pPr>
        <w:ind w:left="1260" w:right="420" w:hanging="415"/>
        <w:spacing w:after="0" w:line="269" w:lineRule="auto"/>
        <w:tabs>
          <w:tab w:leader="none" w:pos="1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launch dates of products—these reflect Mereo’s expected date of launch for products based on the timeline of development programs required to obtain regulatory approval. The assumptions are based on Mereo’s directors’ prior experience together with the outcome of discussions with regulators;</w:t>
      </w:r>
    </w:p>
    <w:p>
      <w:pPr>
        <w:spacing w:after="0" w:line="80" w:lineRule="exact"/>
        <w:rPr>
          <w:rFonts w:ascii="Arial" w:cs="Arial" w:eastAsia="Arial" w:hAnsi="Arial"/>
          <w:sz w:val="17"/>
          <w:szCs w:val="17"/>
          <w:color w:val="auto"/>
        </w:rPr>
      </w:pPr>
    </w:p>
    <w:p>
      <w:pPr>
        <w:ind w:left="1260" w:right="120" w:hanging="415"/>
        <w:spacing w:after="0" w:line="284" w:lineRule="auto"/>
        <w:tabs>
          <w:tab w:leader="none" w:pos="1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probability of successful development—Mereo estimate probabilities of success for each phase of development based on industry averages and knowledge of specific programs;</w:t>
      </w:r>
    </w:p>
    <w:p>
      <w:pPr>
        <w:spacing w:after="0" w:line="68" w:lineRule="exact"/>
        <w:rPr>
          <w:rFonts w:ascii="Arial" w:cs="Arial" w:eastAsia="Arial" w:hAnsi="Arial"/>
          <w:sz w:val="17"/>
          <w:szCs w:val="17"/>
          <w:color w:val="auto"/>
        </w:rPr>
      </w:pPr>
    </w:p>
    <w:p>
      <w:pPr>
        <w:ind w:left="1260" w:right="260" w:hanging="415"/>
        <w:spacing w:after="0" w:line="316" w:lineRule="auto"/>
        <w:tabs>
          <w:tab w:leader="none" w:pos="1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out-licensing upfront fees, milestones, and royalty rates on sales—Mereo estimate these amounts based on prior experience and access to values from similar transactions in the industry, which are collated and accessible from specialist third-party sources;</w:t>
      </w:r>
    </w:p>
    <w:p>
      <w:pPr>
        <w:spacing w:after="0" w:line="46" w:lineRule="exact"/>
        <w:rPr>
          <w:rFonts w:ascii="Arial" w:cs="Arial" w:eastAsia="Arial" w:hAnsi="Arial"/>
          <w:sz w:val="16"/>
          <w:szCs w:val="16"/>
          <w:color w:val="auto"/>
        </w:rPr>
      </w:pPr>
    </w:p>
    <w:p>
      <w:pPr>
        <w:ind w:left="1260" w:hanging="415"/>
        <w:spacing w:after="0"/>
        <w:tabs>
          <w:tab w:leader="none" w:pos="1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sales projections—these are based on Mereo’s internal projections using external market data and market research commissioned by us;</w:t>
      </w:r>
    </w:p>
    <w:p>
      <w:pPr>
        <w:spacing w:after="0" w:line="139" w:lineRule="exact"/>
        <w:rPr>
          <w:rFonts w:ascii="Arial" w:cs="Arial" w:eastAsia="Arial" w:hAnsi="Arial"/>
          <w:sz w:val="16"/>
          <w:szCs w:val="16"/>
          <w:color w:val="auto"/>
        </w:rPr>
      </w:pPr>
    </w:p>
    <w:p>
      <w:pPr>
        <w:ind w:left="1260" w:right="160" w:hanging="415"/>
        <w:spacing w:after="0" w:line="354" w:lineRule="auto"/>
        <w:tabs>
          <w:tab w:leader="none" w:pos="12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profit margins and other operational expenses—these are based on Mereo’s internal projections of current product manufacturing costings, with input from manufacturing partners where applicable, and estimates of operating costs based on Mereo’s prior industry experience;</w:t>
      </w:r>
    </w:p>
    <w:p>
      <w:pPr>
        <w:spacing w:after="0" w:line="22" w:lineRule="exact"/>
        <w:rPr>
          <w:rFonts w:ascii="Arial" w:cs="Arial" w:eastAsia="Arial" w:hAnsi="Arial"/>
          <w:sz w:val="15"/>
          <w:szCs w:val="15"/>
          <w:color w:val="auto"/>
        </w:rPr>
      </w:pPr>
    </w:p>
    <w:p>
      <w:pPr>
        <w:ind w:left="1260" w:right="120" w:hanging="415"/>
        <w:spacing w:after="0" w:line="284" w:lineRule="auto"/>
        <w:tabs>
          <w:tab w:leader="none" w:pos="1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cash flow projections—the periods over which cash flows are forecast (based on the current patent protection periods relevant to the asset), are as follows:</w:t>
      </w:r>
    </w:p>
    <w:p>
      <w:pPr>
        <w:spacing w:after="0" w:line="68" w:lineRule="exact"/>
        <w:rPr>
          <w:rFonts w:ascii="Arial" w:cs="Arial" w:eastAsia="Arial" w:hAnsi="Arial"/>
          <w:sz w:val="17"/>
          <w:szCs w:val="17"/>
          <w:color w:val="auto"/>
        </w:rPr>
      </w:pPr>
    </w:p>
    <w:p>
      <w:pPr>
        <w:ind w:left="2220" w:hanging="417"/>
        <w:spacing w:after="0"/>
        <w:tabs>
          <w:tab w:leader="none" w:pos="22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BCT-197—18 years;</w:t>
      </w:r>
    </w:p>
    <w:p>
      <w:pPr>
        <w:spacing w:after="0" w:line="128" w:lineRule="exact"/>
        <w:rPr>
          <w:rFonts w:ascii="Arial" w:cs="Arial" w:eastAsia="Arial" w:hAnsi="Arial"/>
          <w:sz w:val="17"/>
          <w:szCs w:val="17"/>
          <w:color w:val="auto"/>
        </w:rPr>
      </w:pPr>
    </w:p>
    <w:p>
      <w:pPr>
        <w:ind w:left="2220" w:hanging="417"/>
        <w:spacing w:after="0"/>
        <w:tabs>
          <w:tab w:leader="none" w:pos="22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BGS-649—17 years;</w:t>
      </w:r>
    </w:p>
    <w:p>
      <w:pPr>
        <w:spacing w:after="0" w:line="128" w:lineRule="exact"/>
        <w:rPr>
          <w:rFonts w:ascii="Arial" w:cs="Arial" w:eastAsia="Arial" w:hAnsi="Arial"/>
          <w:sz w:val="17"/>
          <w:szCs w:val="17"/>
          <w:color w:val="auto"/>
        </w:rPr>
      </w:pPr>
    </w:p>
    <w:p>
      <w:pPr>
        <w:ind w:left="2220" w:hanging="417"/>
        <w:spacing w:after="0"/>
        <w:tabs>
          <w:tab w:leader="none" w:pos="22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BPS-804—14 years; and</w:t>
      </w:r>
    </w:p>
    <w:p>
      <w:pPr>
        <w:spacing w:after="0" w:line="128" w:lineRule="exact"/>
        <w:rPr>
          <w:rFonts w:ascii="Arial" w:cs="Arial" w:eastAsia="Arial" w:hAnsi="Arial"/>
          <w:sz w:val="17"/>
          <w:szCs w:val="17"/>
          <w:color w:val="auto"/>
        </w:rPr>
      </w:pPr>
    </w:p>
    <w:p>
      <w:pPr>
        <w:ind w:left="2220" w:hanging="417"/>
        <w:spacing w:after="0"/>
        <w:tabs>
          <w:tab w:leader="none" w:pos="22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MPH-966—16 years</w:t>
      </w:r>
    </w:p>
    <w:p>
      <w:pPr>
        <w:spacing w:after="0" w:line="15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980"/>
          </w:cols>
          <w:pgMar w:left="240" w:top="445" w:right="67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440" w:hanging="415"/>
        <w:spacing w:after="0" w:line="284" w:lineRule="auto"/>
        <w:tabs>
          <w:tab w:leader="none" w:pos="12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discount rates—the discount rate is estimated on a pre-tax basis reflecting Mereo’s estimated cost of capital and is applied consistently across each of the operating segments. The cost of capital in 2018 and 2017 was 15.3%.</w:t>
      </w:r>
    </w:p>
    <w:p>
      <w:pPr>
        <w:spacing w:after="0" w:line="159" w:lineRule="exact"/>
        <w:rPr>
          <w:sz w:val="20"/>
          <w:szCs w:val="20"/>
          <w:color w:val="auto"/>
        </w:rPr>
      </w:pPr>
    </w:p>
    <w:p>
      <w:pPr>
        <w:ind w:left="440" w:right="340" w:firstLine="423"/>
        <w:spacing w:after="0" w:line="269" w:lineRule="auto"/>
        <w:rPr>
          <w:sz w:val="20"/>
          <w:szCs w:val="20"/>
          <w:color w:val="auto"/>
        </w:rPr>
      </w:pPr>
      <w:r>
        <w:rPr>
          <w:rFonts w:ascii="Arial" w:cs="Arial" w:eastAsia="Arial" w:hAnsi="Arial"/>
          <w:sz w:val="17"/>
          <w:szCs w:val="17"/>
          <w:color w:val="auto"/>
        </w:rPr>
        <w:t>At this stage of product development, Mereo believes the key sensitivity for all three development programs is the probability of successful completion of clinical trials in order to obtain regulatory approval for sale. Therefore, full impairment of a development program is expected should such related trials be unsuccessful and development halted.</w:t>
      </w:r>
    </w:p>
    <w:p>
      <w:pPr>
        <w:spacing w:after="0" w:line="171" w:lineRule="exact"/>
        <w:rPr>
          <w:sz w:val="20"/>
          <w:szCs w:val="20"/>
          <w:color w:val="auto"/>
        </w:rPr>
      </w:pPr>
    </w:p>
    <w:p>
      <w:pPr>
        <w:ind w:left="440" w:right="460" w:firstLine="423"/>
        <w:spacing w:after="0" w:line="284" w:lineRule="auto"/>
        <w:rPr>
          <w:sz w:val="20"/>
          <w:szCs w:val="20"/>
          <w:color w:val="auto"/>
        </w:rPr>
      </w:pPr>
      <w:r>
        <w:rPr>
          <w:rFonts w:ascii="Arial" w:cs="Arial" w:eastAsia="Arial" w:hAnsi="Arial"/>
          <w:sz w:val="17"/>
          <w:szCs w:val="17"/>
          <w:color w:val="auto"/>
        </w:rPr>
        <w:t>Determining whether an intangible asset is impaired requires an estimation of whether there are any indications that its carrying value is not recoverable.</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Fair Value of Provision for Deferred Cash Consideration</w:t>
      </w:r>
    </w:p>
    <w:p>
      <w:pPr>
        <w:spacing w:after="0" w:line="115" w:lineRule="exact"/>
        <w:rPr>
          <w:sz w:val="20"/>
          <w:szCs w:val="20"/>
          <w:color w:val="auto"/>
        </w:rPr>
      </w:pPr>
    </w:p>
    <w:p>
      <w:pPr>
        <w:ind w:left="440" w:firstLine="423"/>
        <w:spacing w:after="0" w:line="304" w:lineRule="auto"/>
        <w:rPr>
          <w:sz w:val="20"/>
          <w:szCs w:val="20"/>
          <w:color w:val="auto"/>
        </w:rPr>
      </w:pPr>
      <w:r>
        <w:rPr>
          <w:rFonts w:ascii="Arial" w:cs="Arial" w:eastAsia="Arial" w:hAnsi="Arial"/>
          <w:sz w:val="15"/>
          <w:szCs w:val="15"/>
          <w:color w:val="auto"/>
        </w:rPr>
        <w:t>Provision for deferred cash consideration represents the potential future cash payments in respect of the MPH-966 acquisition. As this is in respect of a product which is not yet approved, this provision for deferred cash consideration includes all contingent payments up to the point of exercise of the right to acquire the intellectual property and excludes potential downstream milestones, royalties or other payments because they are unquantifiable. The provision is recognized as a liability at each balance sheet date with the amounts calculated as the risk adjusted net present value of certain future payments Mereo may make. The payments are dependent on reaching specific milestones based on the commencement and outcome of clinical trials.</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total amount of provision for deferred cash consideration at December 31, 2018 was £1.6 million and at December 31, 2017 was £2.1 million.</w:t>
      </w:r>
    </w:p>
    <w:p>
      <w:pPr>
        <w:spacing w:after="0" w:line="24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Key inputs used to determine the value of the provision for deferred consideration include:</w:t>
      </w:r>
    </w:p>
    <w:p>
      <w:pPr>
        <w:spacing w:after="0" w:line="128" w:lineRule="exact"/>
        <w:rPr>
          <w:sz w:val="20"/>
          <w:szCs w:val="20"/>
          <w:color w:val="auto"/>
        </w:rPr>
      </w:pPr>
    </w:p>
    <w:p>
      <w:pPr>
        <w:ind w:left="1800" w:hanging="527"/>
        <w:spacing w:after="0"/>
        <w:tabs>
          <w:tab w:leader="none" w:pos="1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Discount rate: 15.3%</w:t>
      </w:r>
    </w:p>
    <w:p>
      <w:pPr>
        <w:spacing w:after="0" w:line="128" w:lineRule="exact"/>
        <w:rPr>
          <w:rFonts w:ascii="Arial" w:cs="Arial" w:eastAsia="Arial" w:hAnsi="Arial"/>
          <w:sz w:val="17"/>
          <w:szCs w:val="17"/>
          <w:color w:val="auto"/>
        </w:rPr>
      </w:pPr>
    </w:p>
    <w:p>
      <w:pPr>
        <w:ind w:left="1800" w:hanging="527"/>
        <w:spacing w:after="0"/>
        <w:tabs>
          <w:tab w:leader="none" w:pos="1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Likely payment date: Based on the expected timing of the ongoing Phase 2 study for MPH-966</w:t>
      </w:r>
    </w:p>
    <w:p>
      <w:pPr>
        <w:spacing w:after="0" w:line="128" w:lineRule="exact"/>
        <w:rPr>
          <w:rFonts w:ascii="Arial" w:cs="Arial" w:eastAsia="Arial" w:hAnsi="Arial"/>
          <w:sz w:val="17"/>
          <w:szCs w:val="17"/>
          <w:color w:val="auto"/>
        </w:rPr>
      </w:pPr>
    </w:p>
    <w:p>
      <w:pPr>
        <w:ind w:left="1800" w:hanging="527"/>
        <w:spacing w:after="0"/>
        <w:tabs>
          <w:tab w:leader="none" w:pos="18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Risk adjustment: Standard risk adjustments for orphan asset development programs</w:t>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Fair Value of Deferred Equity Consideration</w:t>
      </w:r>
    </w:p>
    <w:p>
      <w:pPr>
        <w:spacing w:after="0" w:line="115" w:lineRule="exact"/>
        <w:rPr>
          <w:sz w:val="20"/>
          <w:szCs w:val="20"/>
          <w:color w:val="auto"/>
        </w:rPr>
      </w:pPr>
    </w:p>
    <w:p>
      <w:pPr>
        <w:ind w:left="440" w:right="560" w:firstLine="423"/>
        <w:spacing w:after="0" w:line="284" w:lineRule="auto"/>
        <w:rPr>
          <w:sz w:val="20"/>
          <w:szCs w:val="20"/>
          <w:color w:val="auto"/>
        </w:rPr>
      </w:pPr>
      <w:r>
        <w:rPr>
          <w:rFonts w:ascii="Arial" w:cs="Arial" w:eastAsia="Arial" w:hAnsi="Arial"/>
          <w:sz w:val="17"/>
          <w:szCs w:val="17"/>
          <w:color w:val="auto"/>
        </w:rPr>
        <w:t>Deferred equity consideration is accounted for as equity-settled share-based payment transactions in accordance with IFRS 2. Fair value is determined by the share price at the date of purchase.</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Deferred Tax and Current Tax Credits</w:t>
      </w:r>
    </w:p>
    <w:p>
      <w:pPr>
        <w:spacing w:after="0" w:line="115"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Tax on the profit or loss for the year comprises current and deferred tax. Tax is recognized in the statement of operations, except to the extent that it relates to items recognized directly in equity, in which case it is recognized in equity. Current tax is the expected tax payable on the taxable income or loss for the year, using tax rates enacted or substantively enacted at the balance sheet date, and any adjustment to tax payable in respect of previous years. Tax credits are accrued for the year based on calculations that conform to the U.K. research and development tax credit regime applicable to small and medium-sized companies.</w:t>
      </w:r>
    </w:p>
    <w:p>
      <w:pPr>
        <w:spacing w:after="0" w:line="180" w:lineRule="exact"/>
        <w:rPr>
          <w:sz w:val="20"/>
          <w:szCs w:val="20"/>
          <w:color w:val="auto"/>
        </w:rPr>
      </w:pPr>
    </w:p>
    <w:p>
      <w:pPr>
        <w:ind w:left="440" w:right="80" w:firstLine="423"/>
        <w:spacing w:after="0" w:line="258" w:lineRule="auto"/>
        <w:rPr>
          <w:sz w:val="20"/>
          <w:szCs w:val="20"/>
          <w:color w:val="auto"/>
        </w:rPr>
      </w:pPr>
      <w:r>
        <w:rPr>
          <w:rFonts w:ascii="Arial" w:cs="Arial" w:eastAsia="Arial" w:hAnsi="Arial"/>
          <w:sz w:val="17"/>
          <w:szCs w:val="17"/>
          <w:color w:val="auto"/>
        </w:rPr>
        <w:t>Mereo may not be able to continue to claim research and development tax credits in the future under the current research and development tax credit scheme when it becomes a U.S. public company because it may no longer qualify as a small or medium-sized company. However, Mereo may be able to file under a large-company scheme. Deferred tax is recognized on temporary differences between the carrying amounts of assets and liabilities for financial reporting purposes and the amounts used for taxation purposes. The amount of deferred tax is based on the expected manner of realization or settlement of the carrying amount of assets and liabilities, using tax rates enacted or substantively enacted at the balance sheet date. A deferred tax asset is recognized only to the extent that it is probable that future taxable profits will be available against which the asset can be utilized. No deferred tax assets are recognized on Mereo’s losses carried forward because there is currently no indication that Mereo will make sufficient profits to utilize these tax losses.</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980"/>
          </w:cols>
          <w:pgMar w:left="240" w:top="445" w:right="67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Fair Value of Warrants</w:t>
      </w:r>
    </w:p>
    <w:p>
      <w:pPr>
        <w:spacing w:after="0" w:line="115" w:lineRule="exact"/>
        <w:rPr>
          <w:sz w:val="20"/>
          <w:szCs w:val="20"/>
          <w:color w:val="auto"/>
        </w:rPr>
      </w:pPr>
    </w:p>
    <w:p>
      <w:pPr>
        <w:jc w:val="both"/>
        <w:ind w:left="440" w:right="120" w:firstLine="423"/>
        <w:spacing w:after="0" w:line="269" w:lineRule="auto"/>
        <w:rPr>
          <w:sz w:val="20"/>
          <w:szCs w:val="20"/>
          <w:color w:val="auto"/>
        </w:rPr>
      </w:pPr>
      <w:r>
        <w:rPr>
          <w:rFonts w:ascii="Arial" w:cs="Arial" w:eastAsia="Arial" w:hAnsi="Arial"/>
          <w:sz w:val="17"/>
          <w:szCs w:val="17"/>
          <w:color w:val="auto"/>
        </w:rPr>
        <w:t>In connection with the borrowings under the credit facility in 2017, we issued to the lenders warrants to subscribe for an aggregate of 363,156 of our ordinary shares at an exercise price of £3.029 per ordinary share and warrants to subscribe for an aggregate of 333,334 of our ordinary shares at an exercise price of £3.30 per ordinary share.</w:t>
      </w:r>
    </w:p>
    <w:p>
      <w:pPr>
        <w:spacing w:after="0" w:line="171"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Furthermore, on September 30, 2018, Mereo entered into a revised loan agreement with the intention that this would replace the old loan (with the proceeds of the new loan being used to settle the old loan). The new loan is viewed as a modification of the original loan because it was agreed with the same lenders as under the old loan and the old loan was not repayable at par with no penalty. On the same date, Mereo issued 225,974 additional warrants, for £nil consideration to the lender with the same key terms as the original warrants. The fair value of the additional warrants as of their grant date (September 30, 2018) was £375,343.</w:t>
      </w:r>
    </w:p>
    <w:p>
      <w:pPr>
        <w:spacing w:after="0" w:line="180" w:lineRule="exact"/>
        <w:rPr>
          <w:sz w:val="20"/>
          <w:szCs w:val="20"/>
          <w:color w:val="auto"/>
        </w:rPr>
      </w:pPr>
    </w:p>
    <w:p>
      <w:pPr>
        <w:ind w:left="440" w:right="320" w:firstLine="423"/>
        <w:spacing w:after="0" w:line="269" w:lineRule="auto"/>
        <w:rPr>
          <w:sz w:val="20"/>
          <w:szCs w:val="20"/>
          <w:color w:val="auto"/>
        </w:rPr>
      </w:pPr>
      <w:r>
        <w:rPr>
          <w:rFonts w:ascii="Arial" w:cs="Arial" w:eastAsia="Arial" w:hAnsi="Arial"/>
          <w:sz w:val="17"/>
          <w:szCs w:val="17"/>
          <w:color w:val="auto"/>
        </w:rPr>
        <w:t>The new loan has a principal amount of £20.5 million and will mature on March 1, 2021, unless extended on reaching certain milestones. The modification loss has been calculated accordingly in the amount of £730,037 and has been recognized in profit and loss as of the date of the modification.</w:t>
      </w:r>
    </w:p>
    <w:p>
      <w:pPr>
        <w:spacing w:after="0" w:line="171" w:lineRule="exact"/>
        <w:rPr>
          <w:sz w:val="20"/>
          <w:szCs w:val="20"/>
          <w:color w:val="auto"/>
        </w:rPr>
      </w:pPr>
    </w:p>
    <w:p>
      <w:pPr>
        <w:ind w:left="440" w:right="80" w:firstLine="423"/>
        <w:spacing w:after="0" w:line="284" w:lineRule="auto"/>
        <w:rPr>
          <w:sz w:val="20"/>
          <w:szCs w:val="20"/>
          <w:color w:val="auto"/>
        </w:rPr>
      </w:pPr>
      <w:r>
        <w:rPr>
          <w:rFonts w:ascii="Arial" w:cs="Arial" w:eastAsia="Arial" w:hAnsi="Arial"/>
          <w:sz w:val="17"/>
          <w:szCs w:val="17"/>
          <w:color w:val="auto"/>
        </w:rPr>
        <w:t>The fair value of the warrants is measured using the Black-Scholes model taking into account any appropriate amendments to inputs in respect of volatility and remaining expected life of the warrants.</w:t>
      </w:r>
    </w:p>
    <w:p>
      <w:pPr>
        <w:spacing w:after="0" w:line="159" w:lineRule="exact"/>
        <w:rPr>
          <w:sz w:val="20"/>
          <w:szCs w:val="20"/>
          <w:color w:val="auto"/>
        </w:rPr>
      </w:pPr>
    </w:p>
    <w:p>
      <w:pPr>
        <w:ind w:left="440" w:right="540" w:firstLine="423"/>
        <w:spacing w:after="0" w:line="284" w:lineRule="auto"/>
        <w:rPr>
          <w:sz w:val="20"/>
          <w:szCs w:val="20"/>
          <w:color w:val="auto"/>
        </w:rPr>
      </w:pPr>
      <w:r>
        <w:rPr>
          <w:rFonts w:ascii="Arial" w:cs="Arial" w:eastAsia="Arial" w:hAnsi="Arial"/>
          <w:sz w:val="17"/>
          <w:szCs w:val="17"/>
          <w:color w:val="auto"/>
        </w:rPr>
        <w:t>The weighted-average inputs to the models used for the fair value of warrants granted during the period ended December 31, 2018 were as follows:</w:t>
      </w:r>
    </w:p>
    <w:p>
      <w:pPr>
        <w:spacing w:after="0" w:line="156"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 ended</w:t>
            </w:r>
          </w:p>
        </w:tc>
      </w:tr>
      <w:tr>
        <w:trPr>
          <w:trHeight w:val="165"/>
        </w:trPr>
        <w:tc>
          <w:tcPr>
            <w:tcW w:w="60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December 31, 2018</w:t>
            </w:r>
          </w:p>
        </w:tc>
      </w:tr>
      <w:tr>
        <w:trPr>
          <w:trHeight w:val="135"/>
        </w:trPr>
        <w:tc>
          <w:tcPr>
            <w:tcW w:w="6020" w:type="dxa"/>
            <w:vAlign w:val="bottom"/>
          </w:tcPr>
          <w:p>
            <w:pPr>
              <w:spacing w:after="0"/>
              <w:rPr>
                <w:sz w:val="11"/>
                <w:szCs w:val="11"/>
                <w:color w:val="auto"/>
              </w:rPr>
            </w:pPr>
          </w:p>
        </w:tc>
        <w:tc>
          <w:tcPr>
            <w:tcW w:w="1100" w:type="dxa"/>
            <w:vAlign w:val="bottom"/>
            <w:tcBorders>
              <w:top w:val="single" w:sz="8" w:color="auto"/>
            </w:tcBorders>
          </w:tcPr>
          <w:p>
            <w:pPr>
              <w:jc w:val="right"/>
              <w:ind w:right="320"/>
              <w:spacing w:after="0" w:line="135" w:lineRule="exact"/>
              <w:rPr>
                <w:sz w:val="20"/>
                <w:szCs w:val="20"/>
                <w:color w:val="auto"/>
              </w:rPr>
            </w:pPr>
            <w:r>
              <w:rPr>
                <w:rFonts w:ascii="Arial" w:cs="Arial" w:eastAsia="Arial" w:hAnsi="Arial"/>
                <w:sz w:val="14"/>
                <w:szCs w:val="14"/>
                <w:b w:val="1"/>
                <w:bCs w:val="1"/>
                <w:color w:val="auto"/>
              </w:rPr>
              <w:t>(in £)</w:t>
            </w:r>
          </w:p>
        </w:tc>
        <w:tc>
          <w:tcPr>
            <w:tcW w:w="60" w:type="dxa"/>
            <w:vAlign w:val="bottom"/>
          </w:tcPr>
          <w:p>
            <w:pPr>
              <w:spacing w:after="0"/>
              <w:rPr>
                <w:sz w:val="11"/>
                <w:szCs w:val="11"/>
                <w:color w:val="auto"/>
              </w:rPr>
            </w:pPr>
          </w:p>
        </w:tc>
      </w:tr>
      <w:tr>
        <w:trPr>
          <w:trHeight w:val="207"/>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 (%)</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60" w:type="dxa"/>
            <w:vAlign w:val="bottom"/>
            <w:shd w:val="clear" w:color="auto" w:fill="CCEEFF"/>
          </w:tcPr>
          <w:p>
            <w:pPr>
              <w:spacing w:after="0"/>
              <w:rPr>
                <w:sz w:val="18"/>
                <w:szCs w:val="18"/>
                <w:color w:val="auto"/>
              </w:rPr>
            </w:pPr>
          </w:p>
        </w:tc>
      </w:tr>
      <w:tr>
        <w:trPr>
          <w:trHeight w:val="207"/>
        </w:trPr>
        <w:tc>
          <w:tcPr>
            <w:tcW w:w="6020" w:type="dxa"/>
            <w:vAlign w:val="bottom"/>
          </w:tcPr>
          <w:p>
            <w:pPr>
              <w:spacing w:after="0"/>
              <w:rPr>
                <w:sz w:val="20"/>
                <w:szCs w:val="20"/>
                <w:color w:val="auto"/>
              </w:rPr>
            </w:pPr>
            <w:r>
              <w:rPr>
                <w:rFonts w:ascii="Arial" w:cs="Arial" w:eastAsia="Arial" w:hAnsi="Arial"/>
                <w:sz w:val="17"/>
                <w:szCs w:val="17"/>
                <w:color w:val="auto"/>
              </w:rPr>
              <w:t>Risk-free interest rate (%)</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1.56</w:t>
            </w:r>
          </w:p>
        </w:tc>
      </w:tr>
      <w:tr>
        <w:trPr>
          <w:trHeight w:val="207"/>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Expected life of share options (years)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18"/>
                <w:szCs w:val="18"/>
                <w:color w:val="auto"/>
              </w:rPr>
            </w:pPr>
          </w:p>
        </w:tc>
      </w:tr>
      <w:tr>
        <w:trPr>
          <w:trHeight w:val="207"/>
        </w:trPr>
        <w:tc>
          <w:tcPr>
            <w:tcW w:w="6020" w:type="dxa"/>
            <w:vAlign w:val="bottom"/>
          </w:tcPr>
          <w:p>
            <w:pPr>
              <w:spacing w:after="0"/>
              <w:rPr>
                <w:sz w:val="20"/>
                <w:szCs w:val="20"/>
                <w:color w:val="auto"/>
              </w:rPr>
            </w:pPr>
            <w:r>
              <w:rPr>
                <w:rFonts w:ascii="Arial" w:cs="Arial" w:eastAsia="Arial" w:hAnsi="Arial"/>
                <w:sz w:val="17"/>
                <w:szCs w:val="17"/>
                <w:color w:val="auto"/>
              </w:rPr>
              <w:t>Market price of ordinary shares (£)</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2.31</w:t>
            </w:r>
          </w:p>
        </w:tc>
      </w:tr>
      <w:tr>
        <w:trPr>
          <w:trHeight w:val="207"/>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Model used</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Black Scholes</w:t>
            </w:r>
          </w:p>
        </w:tc>
      </w:tr>
    </w:tbl>
    <w:p>
      <w:pPr>
        <w:spacing w:after="0" w:line="19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fair value of the warrants at December 31, 2018 was £1.0 million. The carrying value of the loan at December 31, 2018 was £19.4 million.</w:t>
      </w:r>
    </w:p>
    <w:p>
      <w:pPr>
        <w:spacing w:after="0" w:line="32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Recent Accounting Pronouncements</w:t>
      </w:r>
    </w:p>
    <w:p>
      <w:pPr>
        <w:spacing w:after="0" w:line="121" w:lineRule="exact"/>
        <w:rPr>
          <w:sz w:val="20"/>
          <w:szCs w:val="20"/>
          <w:color w:val="auto"/>
        </w:rPr>
      </w:pPr>
    </w:p>
    <w:p>
      <w:pPr>
        <w:ind w:left="440" w:right="200" w:firstLine="423"/>
        <w:spacing w:after="0" w:line="284" w:lineRule="auto"/>
        <w:rPr>
          <w:sz w:val="20"/>
          <w:szCs w:val="20"/>
          <w:color w:val="auto"/>
        </w:rPr>
      </w:pPr>
      <w:r>
        <w:rPr>
          <w:rFonts w:ascii="Arial" w:cs="Arial" w:eastAsia="Arial" w:hAnsi="Arial"/>
          <w:sz w:val="17"/>
          <w:szCs w:val="17"/>
          <w:color w:val="auto"/>
        </w:rPr>
        <w:t>Mereo refers to Note 2.2 to its consolidated financial statements for the year ended December 31, 2018 included elsewhere in this annual report for a discussion of new standards and interpretations not yet adopted by Mereo.</w:t>
      </w:r>
    </w:p>
    <w:p>
      <w:pPr>
        <w:spacing w:after="0" w:line="159" w:lineRule="exact"/>
        <w:rPr>
          <w:sz w:val="20"/>
          <w:szCs w:val="20"/>
          <w:color w:val="auto"/>
        </w:rPr>
      </w:pPr>
    </w:p>
    <w:p>
      <w:pPr>
        <w:ind w:left="440" w:right="100" w:firstLine="423"/>
        <w:spacing w:after="0" w:line="304" w:lineRule="auto"/>
        <w:rPr>
          <w:sz w:val="20"/>
          <w:szCs w:val="20"/>
          <w:color w:val="auto"/>
        </w:rPr>
      </w:pPr>
      <w:r>
        <w:rPr>
          <w:rFonts w:ascii="Arial" w:cs="Arial" w:eastAsia="Arial" w:hAnsi="Arial"/>
          <w:sz w:val="15"/>
          <w:szCs w:val="15"/>
          <w:color w:val="auto"/>
        </w:rPr>
        <w:t>During the year ended December 31, 2018, Mereo adopted IFRS 9 Financial Instruments (as revised in July 2014, “IFRS 9”) and the related consequential amendments to other IFRSs. IFRS 9 introduces new requirements for (i) the classification and measurement of financial assets and financial liabilities, (ii) impairment for financial assets, (iii) general hedge accounting and (iv) new accounting for certain modifications and exchanges of financial liabilities measured at amortised cost. The only impact on Mereo is in relation to the non-substantial modification of the convertible loan notes, as detailed below. Mereo has applied IFRS 9 in full without restating comparatives with an initial date of application of January 1, 2018.</w:t>
      </w:r>
    </w:p>
    <w:p>
      <w:pPr>
        <w:spacing w:after="0" w:line="151" w:lineRule="exact"/>
        <w:rPr>
          <w:sz w:val="20"/>
          <w:szCs w:val="20"/>
          <w:color w:val="auto"/>
        </w:rPr>
      </w:pPr>
    </w:p>
    <w:p>
      <w:pPr>
        <w:ind w:left="440" w:right="80" w:firstLine="423"/>
        <w:spacing w:after="0" w:line="261" w:lineRule="auto"/>
        <w:rPr>
          <w:sz w:val="20"/>
          <w:szCs w:val="20"/>
          <w:color w:val="auto"/>
        </w:rPr>
      </w:pPr>
      <w:r>
        <w:rPr>
          <w:rFonts w:ascii="Arial" w:cs="Arial" w:eastAsia="Arial" w:hAnsi="Arial"/>
          <w:sz w:val="17"/>
          <w:szCs w:val="17"/>
          <w:color w:val="auto"/>
        </w:rPr>
        <w:t>In relation to the non-substantial modification of financial liabilities, IFRS 9 requires the recognition of a modification gain or loss for exchanges or modifications of financial liabilities that do not result in derecognition of the financial liability. As a result, under IFRS 9 the carrying value of the convertible loan notes at the date of modification, as more fully described in Mereo’s unaudited consolidated interim financial statements for the year ended December 31, 2018 included elsewhere in this annual report, was adjusted to recognize the modification gain in the retained earnings as of the date of initial application of IFRS 9 (January 1, 2018).</w:t>
      </w:r>
    </w:p>
    <w:p>
      <w:pPr>
        <w:sectPr>
          <w:pgSz w:w="11900" w:h="16838" w:orient="portrait"/>
          <w:cols w:equalWidth="0" w:num="1">
            <w:col w:w="10960"/>
          </w:cols>
          <w:pgMar w:left="240" w:top="445" w:right="699" w:bottom="1440" w:gutter="0" w:footer="0" w:header="0"/>
        </w:sectPr>
      </w:pPr>
    </w:p>
    <w:p>
      <w:pPr>
        <w:spacing w:after="0" w:line="284"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Interest bearing loans and borrowings—Convertible loan notes</w:t>
      </w:r>
    </w:p>
    <w:p>
      <w:pPr>
        <w:spacing w:after="0" w:line="265"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At January 1, 2018 calculated under IAS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-111760</wp:posOffset>
            </wp:positionV>
            <wp:extent cx="4555490" cy="139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55490" cy="139700"/>
                    </a:xfrm>
                    <a:prstGeom prst="rect">
                      <a:avLst/>
                    </a:prstGeom>
                    <a:noFill/>
                  </pic:spPr>
                </pic:pic>
              </a:graphicData>
            </a:graphic>
          </wp:anchor>
        </w:drawing>
      </w:r>
    </w:p>
    <w:p>
      <w:pPr>
        <w:spacing w:after="0" w:line="11"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Amounts restated through retained earnings</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At January 1, 2018 under IFRS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-115570</wp:posOffset>
            </wp:positionV>
            <wp:extent cx="4555490" cy="1314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186" w:lineRule="exact"/>
        <w:rPr>
          <w:sz w:val="20"/>
          <w:szCs w:val="20"/>
          <w:color w:val="auto"/>
        </w:rPr>
      </w:pPr>
    </w:p>
    <w:p>
      <w:pPr>
        <w:jc w:val="right"/>
        <w:ind w:right="194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(in £)</w:t>
      </w:r>
    </w:p>
    <w:p>
      <w:pPr>
        <w:spacing w:after="0" w:line="18" w:lineRule="exact"/>
        <w:rPr>
          <w:sz w:val="20"/>
          <w:szCs w:val="20"/>
          <w:color w:val="auto"/>
        </w:rPr>
      </w:pPr>
    </w:p>
    <w:p>
      <w:pPr>
        <w:jc w:val="right"/>
        <w:ind w:right="1760"/>
        <w:spacing w:after="0"/>
        <w:rPr>
          <w:sz w:val="20"/>
          <w:szCs w:val="20"/>
          <w:color w:val="auto"/>
        </w:rPr>
      </w:pPr>
      <w:r>
        <w:rPr>
          <w:rFonts w:ascii="Arial" w:cs="Arial" w:eastAsia="Arial" w:hAnsi="Arial"/>
          <w:sz w:val="15"/>
          <w:szCs w:val="15"/>
          <w:color w:val="auto"/>
        </w:rPr>
        <w:t>1,977,393</w:t>
      </w:r>
    </w:p>
    <w:p>
      <w:pPr>
        <w:spacing w:after="0" w:line="34" w:lineRule="exact"/>
        <w:rPr>
          <w:sz w:val="20"/>
          <w:szCs w:val="20"/>
          <w:color w:val="auto"/>
        </w:rPr>
      </w:pPr>
    </w:p>
    <w:p>
      <w:pPr>
        <w:jc w:val="right"/>
        <w:ind w:right="1700"/>
        <w:spacing w:after="0"/>
        <w:rPr>
          <w:sz w:val="20"/>
          <w:szCs w:val="20"/>
          <w:color w:val="auto"/>
        </w:rPr>
      </w:pPr>
      <w:r>
        <w:rPr>
          <w:rFonts w:ascii="Arial" w:cs="Arial" w:eastAsia="Arial" w:hAnsi="Arial"/>
          <w:sz w:val="17"/>
          <w:szCs w:val="17"/>
          <w:color w:val="auto"/>
        </w:rPr>
        <w:t>(123,865)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7620</wp:posOffset>
            </wp:positionV>
            <wp:extent cx="4768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1,853,528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31750</wp:posOffset>
            </wp:positionV>
            <wp:extent cx="4768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ectPr>
          <w:pgSz w:w="11900" w:h="16838" w:orient="portrait"/>
          <w:cols w:equalWidth="0" w:num="2">
            <w:col w:w="7780" w:space="720"/>
            <w:col w:w="2460"/>
          </w:cols>
          <w:pgMar w:left="240" w:top="445" w:right="699" w:bottom="1440" w:gutter="0" w:footer="0" w:header="0"/>
          <w:type w:val="continuous"/>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5.C. Research and development, patents and licenses, etc.</w:t>
      </w:r>
    </w:p>
    <w:p>
      <w:pPr>
        <w:spacing w:after="0" w:line="121" w:lineRule="exact"/>
        <w:rPr>
          <w:sz w:val="20"/>
          <w:szCs w:val="20"/>
          <w:color w:val="auto"/>
        </w:rPr>
      </w:pPr>
    </w:p>
    <w:p>
      <w:pPr>
        <w:ind w:left="440" w:right="120" w:firstLine="423"/>
        <w:spacing w:after="0" w:line="269" w:lineRule="auto"/>
        <w:rPr>
          <w:sz w:val="20"/>
          <w:szCs w:val="20"/>
          <w:color w:val="auto"/>
        </w:rPr>
      </w:pPr>
      <w:r>
        <w:rPr>
          <w:rFonts w:ascii="Arial" w:cs="Arial" w:eastAsia="Arial" w:hAnsi="Arial"/>
          <w:sz w:val="17"/>
          <w:szCs w:val="17"/>
          <w:color w:val="auto"/>
        </w:rPr>
        <w:t>For a description of the Company’s research and development policies for the last three years see “Item 5. Operating and Financial Review and Prospects—A. Operating Results—Financial Overview—Research and Development Expenses.” For a description of Mereo’s intellectual property, see “Item 4. Information On the Company—B. Business Overview—Intellectual Property.”</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5.D. Trend Information</w:t>
      </w:r>
    </w:p>
    <w:p>
      <w:pPr>
        <w:spacing w:after="0" w:line="121" w:lineRule="exact"/>
        <w:rPr>
          <w:sz w:val="20"/>
          <w:szCs w:val="20"/>
          <w:color w:val="auto"/>
        </w:rPr>
      </w:pPr>
    </w:p>
    <w:p>
      <w:pPr>
        <w:ind w:left="440" w:right="20" w:firstLine="423"/>
        <w:spacing w:after="0" w:line="284" w:lineRule="auto"/>
        <w:rPr>
          <w:sz w:val="20"/>
          <w:szCs w:val="20"/>
          <w:color w:val="auto"/>
        </w:rPr>
      </w:pPr>
      <w:r>
        <w:rPr>
          <w:rFonts w:ascii="Arial" w:cs="Arial" w:eastAsia="Arial" w:hAnsi="Arial"/>
          <w:sz w:val="17"/>
          <w:szCs w:val="17"/>
          <w:color w:val="auto"/>
        </w:rPr>
        <w:t>We are currently in the development stage and we expect to remain in that stage for the upcoming year, and therefore trends relating to production, sales, inventory, backlog and selling prices are not applicable. See “—A. Operating Results.”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5.E. Off-Balance Sheet Arrangements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We did not have during the period presented, and do not currently have, any off-balance sheet arrangements.</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5.F. Contractual Obligations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table below summarizes Mereo’s contractual obligations at December 31, 2018.</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10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center"/>
              <w:ind w:right="117"/>
              <w:spacing w:after="0"/>
              <w:rPr>
                <w:sz w:val="20"/>
                <w:szCs w:val="20"/>
                <w:color w:val="auto"/>
              </w:rPr>
            </w:pPr>
            <w:r>
              <w:rPr>
                <w:rFonts w:ascii="Arial" w:cs="Arial" w:eastAsia="Arial" w:hAnsi="Arial"/>
                <w:sz w:val="14"/>
                <w:szCs w:val="14"/>
                <w:b w:val="1"/>
                <w:bCs w:val="1"/>
                <w:color w:val="auto"/>
                <w:w w:val="87"/>
              </w:rPr>
              <w:t>Payments Due by Period</w:t>
            </w: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14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rPr>
              <w:t>Up to 1 year</w:t>
            </w:r>
          </w:p>
        </w:tc>
        <w:tc>
          <w:tcPr>
            <w:tcW w:w="960" w:type="dxa"/>
            <w:vAlign w:val="bottom"/>
            <w:tcBorders>
              <w:bottom w:val="single" w:sz="8" w:color="auto"/>
            </w:tcBorders>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83"/>
              </w:rPr>
              <w:t>1-3 Years</w:t>
            </w:r>
          </w:p>
        </w:tc>
        <w:tc>
          <w:tcPr>
            <w:tcW w:w="54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6"/>
              </w:rPr>
              <w:t>3-5 Years</w:t>
            </w:r>
          </w:p>
        </w:tc>
        <w:tc>
          <w:tcPr>
            <w:tcW w:w="4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6"/>
              </w:rPr>
              <w:t>Over 5 Years</w:t>
            </w:r>
          </w:p>
        </w:tc>
        <w:tc>
          <w:tcPr>
            <w:tcW w:w="4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100"/>
              <w:spacing w:after="0" w:line="13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80" w:type="dxa"/>
            <w:vAlign w:val="bottom"/>
            <w:gridSpan w:val="5"/>
          </w:tcPr>
          <w:p>
            <w:pPr>
              <w:jc w:val="center"/>
              <w:ind w:right="117"/>
              <w:spacing w:after="0" w:line="135" w:lineRule="exact"/>
              <w:rPr>
                <w:sz w:val="20"/>
                <w:szCs w:val="20"/>
                <w:color w:val="auto"/>
              </w:rPr>
            </w:pPr>
            <w:r>
              <w:rPr>
                <w:rFonts w:ascii="Arial" w:cs="Arial" w:eastAsia="Arial" w:hAnsi="Arial"/>
                <w:sz w:val="14"/>
                <w:szCs w:val="14"/>
                <w:b w:val="1"/>
                <w:bCs w:val="1"/>
                <w:color w:val="auto"/>
                <w:w w:val="85"/>
              </w:rPr>
              <w:t>(in thousands of pounds)</w:t>
            </w: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Novartis Notes(1)</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2,162</w:t>
            </w:r>
          </w:p>
        </w:tc>
        <w:tc>
          <w:tcPr>
            <w:tcW w:w="5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2,327</w:t>
            </w:r>
          </w:p>
        </w:tc>
        <w:tc>
          <w:tcPr>
            <w:tcW w:w="0" w:type="dxa"/>
            <w:vAlign w:val="bottom"/>
          </w:tcPr>
          <w:p>
            <w:pPr>
              <w:spacing w:after="0"/>
              <w:rPr>
                <w:sz w:val="1"/>
                <w:szCs w:val="1"/>
                <w:color w:val="auto"/>
              </w:rPr>
            </w:pPr>
          </w:p>
        </w:tc>
      </w:tr>
      <w:tr>
        <w:trPr>
          <w:trHeight w:val="207"/>
        </w:trPr>
        <w:tc>
          <w:tcPr>
            <w:tcW w:w="5740" w:type="dxa"/>
            <w:vAlign w:val="bottom"/>
            <w:gridSpan w:val="2"/>
          </w:tcPr>
          <w:p>
            <w:pPr>
              <w:spacing w:after="0"/>
              <w:rPr>
                <w:sz w:val="20"/>
                <w:szCs w:val="20"/>
                <w:color w:val="auto"/>
              </w:rPr>
            </w:pPr>
            <w:r>
              <w:rPr>
                <w:rFonts w:ascii="Arial" w:cs="Arial" w:eastAsia="Arial" w:hAnsi="Arial"/>
                <w:sz w:val="17"/>
                <w:szCs w:val="17"/>
                <w:color w:val="auto"/>
              </w:rPr>
              <w:t>Bank loan(2)</w:t>
            </w:r>
          </w:p>
        </w:tc>
        <w:tc>
          <w:tcPr>
            <w:tcW w:w="720" w:type="dxa"/>
            <w:vAlign w:val="bottom"/>
          </w:tcPr>
          <w:p>
            <w:pPr>
              <w:jc w:val="right"/>
              <w:spacing w:after="0"/>
              <w:rPr>
                <w:sz w:val="20"/>
                <w:szCs w:val="20"/>
                <w:color w:val="auto"/>
              </w:rPr>
            </w:pPr>
            <w:r>
              <w:rPr>
                <w:rFonts w:ascii="Arial" w:cs="Arial" w:eastAsia="Arial" w:hAnsi="Arial"/>
                <w:sz w:val="17"/>
                <w:szCs w:val="17"/>
                <w:color w:val="auto"/>
              </w:rPr>
              <w:t>8,260</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7"/>
                <w:szCs w:val="17"/>
                <w:color w:val="auto"/>
                <w:w w:val="99"/>
              </w:rPr>
              <w:t>15,589</w:t>
            </w:r>
          </w:p>
        </w:tc>
        <w:tc>
          <w:tcPr>
            <w:tcW w:w="540" w:type="dxa"/>
            <w:vAlign w:val="bottom"/>
          </w:tcPr>
          <w:p>
            <w:pPr>
              <w:ind w:left="2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23,849</w:t>
            </w: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lease(3)</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204</w:t>
            </w:r>
          </w:p>
        </w:tc>
        <w:tc>
          <w:tcPr>
            <w:tcW w:w="5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340"/>
              <w:spacing w:after="0"/>
              <w:rPr>
                <w:sz w:val="20"/>
                <w:szCs w:val="20"/>
                <w:color w:val="auto"/>
              </w:rPr>
            </w:pPr>
            <w:r>
              <w:rPr>
                <w:rFonts w:ascii="Arial" w:cs="Arial" w:eastAsia="Arial" w:hAnsi="Arial"/>
                <w:sz w:val="17"/>
                <w:szCs w:val="17"/>
                <w:color w:val="auto"/>
              </w:rPr>
              <w:t>Total</w:t>
            </w: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40" w:type="dxa"/>
            <w:vAlign w:val="bottom"/>
            <w:gridSpan w:val="2"/>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8,674</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7"/>
                <w:szCs w:val="17"/>
                <w:color w:val="auto"/>
                <w:w w:val="99"/>
              </w:rPr>
              <w:t>17,955</w:t>
            </w:r>
          </w:p>
        </w:tc>
        <w:tc>
          <w:tcPr>
            <w:tcW w:w="540" w:type="dxa"/>
            <w:vAlign w:val="bottom"/>
          </w:tcPr>
          <w:p>
            <w:pPr>
              <w:ind w:left="2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26,712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60" w:type="dxa"/>
            <w:vAlign w:val="bottom"/>
            <w:tcBorders>
              <w:bottom w:val="single" w:sz="8" w:color="auto"/>
            </w:tcBorders>
          </w:tcPr>
          <w:p>
            <w:pPr>
              <w:spacing w:after="0"/>
              <w:rPr>
                <w:sz w:val="10"/>
                <w:szCs w:val="10"/>
                <w:color w:val="auto"/>
              </w:rPr>
            </w:pPr>
          </w:p>
        </w:tc>
        <w:tc>
          <w:tcPr>
            <w:tcW w:w="4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40" w:hanging="409"/>
        <w:spacing w:after="0"/>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interest. See “—B. Liquidity and Capital Resources—Indebtedness—Novartis Notes.”</w:t>
      </w:r>
    </w:p>
    <w:p>
      <w:pPr>
        <w:spacing w:after="0" w:line="24" w:lineRule="exact"/>
        <w:rPr>
          <w:rFonts w:ascii="Arial" w:cs="Arial" w:eastAsia="Arial" w:hAnsi="Arial"/>
          <w:sz w:val="17"/>
          <w:szCs w:val="17"/>
          <w:color w:val="auto"/>
        </w:rPr>
      </w:pPr>
    </w:p>
    <w:p>
      <w:pPr>
        <w:ind w:left="840" w:hanging="409"/>
        <w:spacing w:after="0"/>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interest. See “—B. Liquidity and Capital Resources—Indebtedness—Novartis Notes.”</w:t>
      </w:r>
    </w:p>
    <w:p>
      <w:pPr>
        <w:spacing w:after="0" w:line="11" w:lineRule="exact"/>
        <w:rPr>
          <w:rFonts w:ascii="Arial" w:cs="Arial" w:eastAsia="Arial" w:hAnsi="Arial"/>
          <w:sz w:val="17"/>
          <w:szCs w:val="17"/>
          <w:color w:val="auto"/>
        </w:rPr>
      </w:pPr>
    </w:p>
    <w:p>
      <w:pPr>
        <w:ind w:left="840" w:right="440" w:hanging="409"/>
        <w:spacing w:after="0" w:line="268" w:lineRule="auto"/>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Reflects payments due for Mereo’s office lease under a lease agreement that expires in August 2025. Mereo may terminate this agreement in August 2020 and, as such, no amounts due under the agreement after August 2020 are reflected.</w:t>
      </w:r>
    </w:p>
    <w:p>
      <w:pPr>
        <w:spacing w:after="0" w:line="172" w:lineRule="exact"/>
        <w:rPr>
          <w:sz w:val="20"/>
          <w:szCs w:val="20"/>
          <w:color w:val="auto"/>
        </w:rPr>
      </w:pPr>
    </w:p>
    <w:p>
      <w:pPr>
        <w:ind w:left="440" w:right="200" w:firstLine="423"/>
        <w:spacing w:after="0" w:line="264" w:lineRule="auto"/>
        <w:rPr>
          <w:sz w:val="20"/>
          <w:szCs w:val="20"/>
          <w:color w:val="auto"/>
        </w:rPr>
      </w:pPr>
      <w:r>
        <w:rPr>
          <w:rFonts w:ascii="Arial" w:cs="Arial" w:eastAsia="Arial" w:hAnsi="Arial"/>
          <w:sz w:val="17"/>
          <w:szCs w:val="17"/>
          <w:color w:val="auto"/>
        </w:rPr>
        <w:t>As further described above under “—A. Operating Results—Asset Purchase Agreements with Novartis” and “—A. Operating Results—License Agreement with AstraZeneca,” under various agreements with Novartis and AstraZeneca, Mereo has agreed to make milestone payments and pay royalties. Mereo has not included any deferred payment obligations, such as milestones or royalties, in the table above, as the amount, timing, and likelihood of such payments are not known and will remain uncertain for the foreseeable future.</w:t>
      </w:r>
    </w:p>
    <w:p>
      <w:pPr>
        <w:spacing w:after="0" w:line="176" w:lineRule="exact"/>
        <w:rPr>
          <w:sz w:val="20"/>
          <w:szCs w:val="20"/>
          <w:color w:val="auto"/>
        </w:rPr>
      </w:pPr>
    </w:p>
    <w:p>
      <w:pPr>
        <w:jc w:val="both"/>
        <w:ind w:left="440" w:right="40" w:firstLine="423"/>
        <w:spacing w:after="0" w:line="293" w:lineRule="auto"/>
        <w:rPr>
          <w:sz w:val="20"/>
          <w:szCs w:val="20"/>
          <w:color w:val="auto"/>
        </w:rPr>
      </w:pPr>
      <w:r>
        <w:rPr>
          <w:rFonts w:ascii="Arial" w:cs="Arial" w:eastAsia="Arial" w:hAnsi="Arial"/>
          <w:sz w:val="16"/>
          <w:szCs w:val="16"/>
          <w:color w:val="auto"/>
        </w:rPr>
        <w:t>In addition, Mereo enters into contracts in the ordinary course of business with CROs, CMOs, and other vendors to assist in the performance of its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5.G. Safe Harbor</w:t>
      </w:r>
    </w:p>
    <w:p>
      <w:pPr>
        <w:spacing w:after="0" w:line="121" w:lineRule="exact"/>
        <w:rPr>
          <w:sz w:val="20"/>
          <w:szCs w:val="20"/>
          <w:color w:val="auto"/>
        </w:rPr>
      </w:pPr>
    </w:p>
    <w:p>
      <w:pPr>
        <w:ind w:left="440" w:right="60" w:firstLine="423"/>
        <w:spacing w:after="0" w:line="269" w:lineRule="auto"/>
        <w:rPr>
          <w:sz w:val="20"/>
          <w:szCs w:val="20"/>
          <w:color w:val="auto"/>
        </w:rPr>
      </w:pPr>
      <w:r>
        <w:rPr>
          <w:rFonts w:ascii="Arial" w:cs="Arial" w:eastAsia="Arial" w:hAnsi="Arial"/>
          <w:sz w:val="17"/>
          <w:szCs w:val="17"/>
          <w:color w:val="auto"/>
        </w:rPr>
        <w:t>This annual report contains forward-looking statements within the meaning of Section 27A of the Securities Act and Section 21E of the Exchange Act and as defined in the Private Securities Litigation Reform Act of 1995. See the section titled “Special Note Regarding Forward-Looking Statements” at the beginning of this annual report.</w:t>
      </w:r>
    </w:p>
    <w:p>
      <w:pPr>
        <w:spacing w:after="0" w:line="10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000"/>
          </w:cols>
          <w:pgMar w:left="240" w:top="445" w:right="6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Directors, Senior Management And Employees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6.A. Directors, Senior Management and Employees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Executive Officers and Directors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following table presents information about Mereo’s executive officers and directors, including their ages, as of the date of this annual report:</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80" w:type="dxa"/>
            <w:vAlign w:val="bottom"/>
          </w:tcPr>
          <w:p>
            <w:pPr>
              <w:spacing w:after="0"/>
              <w:rPr>
                <w:sz w:val="14"/>
                <w:szCs w:val="14"/>
                <w:color w:val="auto"/>
              </w:rPr>
            </w:pPr>
          </w:p>
        </w:tc>
        <w:tc>
          <w:tcPr>
            <w:tcW w:w="3480" w:type="dxa"/>
            <w:vAlign w:val="bottom"/>
          </w:tcPr>
          <w:p>
            <w:pPr>
              <w:ind w:left="15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r>
      <w:tr>
        <w:trPr>
          <w:trHeight w:val="180"/>
        </w:trPr>
        <w:tc>
          <w:tcPr>
            <w:tcW w:w="402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Executive Officers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r>
      <w:tr>
        <w:trPr>
          <w:trHeight w:val="207"/>
        </w:trPr>
        <w:tc>
          <w:tcPr>
            <w:tcW w:w="4020" w:type="dxa"/>
            <w:vAlign w:val="bottom"/>
            <w:gridSpan w:val="2"/>
          </w:tcPr>
          <w:p>
            <w:pPr>
              <w:ind w:left="340"/>
              <w:spacing w:after="0"/>
              <w:rPr>
                <w:sz w:val="20"/>
                <w:szCs w:val="20"/>
                <w:color w:val="auto"/>
              </w:rPr>
            </w:pPr>
            <w:r>
              <w:rPr>
                <w:rFonts w:ascii="Arial" w:cs="Arial" w:eastAsia="Arial" w:hAnsi="Arial"/>
                <w:sz w:val="17"/>
                <w:szCs w:val="17"/>
                <w:color w:val="auto"/>
              </w:rPr>
              <w:t>Denise Scots-Knight, Ph.D.</w:t>
            </w:r>
          </w:p>
        </w:tc>
        <w:tc>
          <w:tcPr>
            <w:tcW w:w="240" w:type="dxa"/>
            <w:vAlign w:val="bottom"/>
          </w:tcPr>
          <w:p>
            <w:pPr>
              <w:jc w:val="right"/>
              <w:spacing w:after="0"/>
              <w:rPr>
                <w:sz w:val="20"/>
                <w:szCs w:val="20"/>
                <w:color w:val="auto"/>
              </w:rPr>
            </w:pPr>
            <w:r>
              <w:rPr>
                <w:rFonts w:ascii="Arial" w:cs="Arial" w:eastAsia="Arial" w:hAnsi="Arial"/>
                <w:sz w:val="17"/>
                <w:szCs w:val="17"/>
                <w:color w:val="auto"/>
              </w:rPr>
              <w:t>59</w:t>
            </w:r>
          </w:p>
        </w:tc>
        <w:tc>
          <w:tcPr>
            <w:tcW w:w="3760" w:type="dxa"/>
            <w:vAlign w:val="bottom"/>
            <w:gridSpan w:val="2"/>
          </w:tcPr>
          <w:p>
            <w:pPr>
              <w:ind w:left="280"/>
              <w:spacing w:after="0"/>
              <w:rPr>
                <w:sz w:val="20"/>
                <w:szCs w:val="20"/>
                <w:color w:val="auto"/>
              </w:rPr>
            </w:pPr>
            <w:r>
              <w:rPr>
                <w:rFonts w:ascii="Arial" w:cs="Arial" w:eastAsia="Arial" w:hAnsi="Arial"/>
                <w:sz w:val="17"/>
                <w:szCs w:val="17"/>
                <w:color w:val="auto"/>
              </w:rPr>
              <w:t>Chief Executive Officer and Director</w:t>
            </w:r>
          </w:p>
        </w:tc>
      </w:tr>
      <w:tr>
        <w:trPr>
          <w:trHeight w:val="207"/>
        </w:trPr>
        <w:tc>
          <w:tcPr>
            <w:tcW w:w="4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Richard Jones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3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Chief Financial Officer and Director</w:t>
            </w:r>
          </w:p>
        </w:tc>
      </w:tr>
      <w:tr>
        <w:trPr>
          <w:trHeight w:val="207"/>
        </w:trPr>
        <w:tc>
          <w:tcPr>
            <w:tcW w:w="4020" w:type="dxa"/>
            <w:vAlign w:val="bottom"/>
            <w:gridSpan w:val="2"/>
          </w:tcPr>
          <w:p>
            <w:pPr>
              <w:ind w:left="340"/>
              <w:spacing w:after="0"/>
              <w:rPr>
                <w:sz w:val="20"/>
                <w:szCs w:val="20"/>
                <w:color w:val="auto"/>
              </w:rPr>
            </w:pPr>
            <w:r>
              <w:rPr>
                <w:rFonts w:ascii="Arial" w:cs="Arial" w:eastAsia="Arial" w:hAnsi="Arial"/>
                <w:sz w:val="17"/>
                <w:szCs w:val="17"/>
                <w:color w:val="auto"/>
              </w:rPr>
              <w:t>Alastair MacKinnon, MBBS</w:t>
            </w:r>
          </w:p>
        </w:tc>
        <w:tc>
          <w:tcPr>
            <w:tcW w:w="240" w:type="dxa"/>
            <w:vAlign w:val="bottom"/>
          </w:tcPr>
          <w:p>
            <w:pPr>
              <w:jc w:val="right"/>
              <w:spacing w:after="0"/>
              <w:rPr>
                <w:sz w:val="20"/>
                <w:szCs w:val="20"/>
                <w:color w:val="auto"/>
              </w:rPr>
            </w:pPr>
            <w:r>
              <w:rPr>
                <w:rFonts w:ascii="Arial" w:cs="Arial" w:eastAsia="Arial" w:hAnsi="Arial"/>
                <w:sz w:val="17"/>
                <w:szCs w:val="17"/>
                <w:color w:val="auto"/>
              </w:rPr>
              <w:t>48</w:t>
            </w:r>
          </w:p>
        </w:tc>
        <w:tc>
          <w:tcPr>
            <w:tcW w:w="3760" w:type="dxa"/>
            <w:vAlign w:val="bottom"/>
            <w:gridSpan w:val="2"/>
          </w:tcPr>
          <w:p>
            <w:pPr>
              <w:ind w:left="280"/>
              <w:spacing w:after="0"/>
              <w:rPr>
                <w:sz w:val="20"/>
                <w:szCs w:val="20"/>
                <w:color w:val="auto"/>
              </w:rPr>
            </w:pPr>
            <w:r>
              <w:rPr>
                <w:rFonts w:ascii="Arial" w:cs="Arial" w:eastAsia="Arial" w:hAnsi="Arial"/>
                <w:sz w:val="17"/>
                <w:szCs w:val="17"/>
                <w:color w:val="auto"/>
              </w:rPr>
              <w:t>Chief Medical Officer</w:t>
            </w:r>
          </w:p>
        </w:tc>
      </w:tr>
      <w:tr>
        <w:trPr>
          <w:trHeight w:val="207"/>
        </w:trPr>
        <w:tc>
          <w:tcPr>
            <w:tcW w:w="4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John Richard</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3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Head of Corporate Development</w:t>
            </w:r>
          </w:p>
        </w:tc>
      </w:tr>
      <w:tr>
        <w:trPr>
          <w:trHeight w:val="207"/>
        </w:trPr>
        <w:tc>
          <w:tcPr>
            <w:tcW w:w="4020" w:type="dxa"/>
            <w:vAlign w:val="bottom"/>
            <w:gridSpan w:val="2"/>
          </w:tcPr>
          <w:p>
            <w:pPr>
              <w:ind w:left="340"/>
              <w:spacing w:after="0"/>
              <w:rPr>
                <w:sz w:val="20"/>
                <w:szCs w:val="20"/>
                <w:color w:val="auto"/>
              </w:rPr>
            </w:pPr>
            <w:r>
              <w:rPr>
                <w:rFonts w:ascii="Arial" w:cs="Arial" w:eastAsia="Arial" w:hAnsi="Arial"/>
                <w:sz w:val="17"/>
                <w:szCs w:val="17"/>
                <w:color w:val="auto"/>
              </w:rPr>
              <w:t>Charles Sermon</w:t>
            </w:r>
          </w:p>
        </w:tc>
        <w:tc>
          <w:tcPr>
            <w:tcW w:w="240" w:type="dxa"/>
            <w:vAlign w:val="bottom"/>
          </w:tcPr>
          <w:p>
            <w:pPr>
              <w:jc w:val="right"/>
              <w:spacing w:after="0"/>
              <w:rPr>
                <w:sz w:val="20"/>
                <w:szCs w:val="20"/>
                <w:color w:val="auto"/>
              </w:rPr>
            </w:pPr>
            <w:r>
              <w:rPr>
                <w:rFonts w:ascii="Arial" w:cs="Arial" w:eastAsia="Arial" w:hAnsi="Arial"/>
                <w:sz w:val="17"/>
                <w:szCs w:val="17"/>
                <w:color w:val="auto"/>
              </w:rPr>
              <w:t>49</w:t>
            </w:r>
          </w:p>
        </w:tc>
        <w:tc>
          <w:tcPr>
            <w:tcW w:w="3760" w:type="dxa"/>
            <w:vAlign w:val="bottom"/>
            <w:gridSpan w:val="2"/>
          </w:tcPr>
          <w:p>
            <w:pPr>
              <w:ind w:left="280"/>
              <w:spacing w:after="0"/>
              <w:rPr>
                <w:sz w:val="20"/>
                <w:szCs w:val="20"/>
                <w:color w:val="auto"/>
              </w:rPr>
            </w:pPr>
            <w:r>
              <w:rPr>
                <w:rFonts w:ascii="Arial" w:cs="Arial" w:eastAsia="Arial" w:hAnsi="Arial"/>
                <w:sz w:val="17"/>
                <w:szCs w:val="17"/>
                <w:color w:val="auto"/>
              </w:rPr>
              <w:t>General Counsel</w:t>
            </w:r>
          </w:p>
        </w:tc>
      </w:tr>
      <w:tr>
        <w:trPr>
          <w:trHeight w:val="207"/>
        </w:trPr>
        <w:tc>
          <w:tcPr>
            <w:tcW w:w="4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Alexandra (Wills) Hughes-Wilson</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3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1"/>
              </w:rPr>
              <w:t>Head of Patient Access and Commercial Planning</w:t>
            </w: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b w:val="1"/>
                <w:bCs w:val="1"/>
                <w:color w:val="auto"/>
              </w:rPr>
              <w:t>Non-Executive Directors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07"/>
        </w:trPr>
        <w:tc>
          <w:tcPr>
            <w:tcW w:w="4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Peter Fellner, Ph.D.</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3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Chairman of the Board</w:t>
            </w:r>
          </w:p>
        </w:tc>
      </w:tr>
      <w:tr>
        <w:trPr>
          <w:trHeight w:val="207"/>
        </w:trPr>
        <w:tc>
          <w:tcPr>
            <w:tcW w:w="4020" w:type="dxa"/>
            <w:vAlign w:val="bottom"/>
            <w:gridSpan w:val="2"/>
          </w:tcPr>
          <w:p>
            <w:pPr>
              <w:ind w:left="340"/>
              <w:spacing w:after="0"/>
              <w:rPr>
                <w:sz w:val="20"/>
                <w:szCs w:val="20"/>
                <w:color w:val="auto"/>
              </w:rPr>
            </w:pPr>
            <w:r>
              <w:rPr>
                <w:rFonts w:ascii="Arial" w:cs="Arial" w:eastAsia="Arial" w:hAnsi="Arial"/>
                <w:sz w:val="17"/>
                <w:szCs w:val="17"/>
                <w:color w:val="auto"/>
              </w:rPr>
              <w:t>Peter Bains</w:t>
            </w:r>
          </w:p>
        </w:tc>
        <w:tc>
          <w:tcPr>
            <w:tcW w:w="240" w:type="dxa"/>
            <w:vAlign w:val="bottom"/>
          </w:tcPr>
          <w:p>
            <w:pPr>
              <w:jc w:val="right"/>
              <w:spacing w:after="0"/>
              <w:rPr>
                <w:sz w:val="20"/>
                <w:szCs w:val="20"/>
                <w:color w:val="auto"/>
              </w:rPr>
            </w:pPr>
            <w:r>
              <w:rPr>
                <w:rFonts w:ascii="Arial" w:cs="Arial" w:eastAsia="Arial" w:hAnsi="Arial"/>
                <w:sz w:val="17"/>
                <w:szCs w:val="17"/>
                <w:color w:val="auto"/>
              </w:rPr>
              <w:t>61</w:t>
            </w:r>
          </w:p>
        </w:tc>
        <w:tc>
          <w:tcPr>
            <w:tcW w:w="3760" w:type="dxa"/>
            <w:vAlign w:val="bottom"/>
            <w:gridSpan w:val="2"/>
          </w:tcPr>
          <w:p>
            <w:pPr>
              <w:ind w:left="280"/>
              <w:spacing w:after="0"/>
              <w:rPr>
                <w:sz w:val="20"/>
                <w:szCs w:val="20"/>
                <w:color w:val="auto"/>
              </w:rPr>
            </w:pPr>
            <w:r>
              <w:rPr>
                <w:rFonts w:ascii="Arial" w:cs="Arial" w:eastAsia="Arial" w:hAnsi="Arial"/>
                <w:sz w:val="17"/>
                <w:szCs w:val="17"/>
                <w:color w:val="auto"/>
              </w:rPr>
              <w:t>Director</w:t>
            </w:r>
          </w:p>
        </w:tc>
      </w:tr>
      <w:tr>
        <w:trPr>
          <w:trHeight w:val="207"/>
        </w:trPr>
        <w:tc>
          <w:tcPr>
            <w:tcW w:w="4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Paul Blackburn</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3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Director</w:t>
            </w:r>
          </w:p>
        </w:tc>
      </w:tr>
      <w:tr>
        <w:trPr>
          <w:trHeight w:val="207"/>
        </w:trPr>
        <w:tc>
          <w:tcPr>
            <w:tcW w:w="4020" w:type="dxa"/>
            <w:vAlign w:val="bottom"/>
            <w:gridSpan w:val="2"/>
          </w:tcPr>
          <w:p>
            <w:pPr>
              <w:ind w:left="340"/>
              <w:spacing w:after="0"/>
              <w:rPr>
                <w:sz w:val="20"/>
                <w:szCs w:val="20"/>
                <w:color w:val="auto"/>
              </w:rPr>
            </w:pPr>
            <w:r>
              <w:rPr>
                <w:rFonts w:ascii="Arial" w:cs="Arial" w:eastAsia="Arial" w:hAnsi="Arial"/>
                <w:sz w:val="17"/>
                <w:szCs w:val="17"/>
                <w:color w:val="auto"/>
              </w:rPr>
              <w:t>Anders Ekblom, M.D., Ph.D.</w:t>
            </w:r>
          </w:p>
        </w:tc>
        <w:tc>
          <w:tcPr>
            <w:tcW w:w="240" w:type="dxa"/>
            <w:vAlign w:val="bottom"/>
          </w:tcPr>
          <w:p>
            <w:pPr>
              <w:jc w:val="right"/>
              <w:spacing w:after="0"/>
              <w:rPr>
                <w:sz w:val="20"/>
                <w:szCs w:val="20"/>
                <w:color w:val="auto"/>
              </w:rPr>
            </w:pPr>
            <w:r>
              <w:rPr>
                <w:rFonts w:ascii="Arial" w:cs="Arial" w:eastAsia="Arial" w:hAnsi="Arial"/>
                <w:sz w:val="17"/>
                <w:szCs w:val="17"/>
                <w:color w:val="auto"/>
              </w:rPr>
              <w:t>64</w:t>
            </w:r>
          </w:p>
        </w:tc>
        <w:tc>
          <w:tcPr>
            <w:tcW w:w="3760" w:type="dxa"/>
            <w:vAlign w:val="bottom"/>
            <w:gridSpan w:val="2"/>
          </w:tcPr>
          <w:p>
            <w:pPr>
              <w:ind w:left="280"/>
              <w:spacing w:after="0"/>
              <w:rPr>
                <w:sz w:val="20"/>
                <w:szCs w:val="20"/>
                <w:color w:val="auto"/>
              </w:rPr>
            </w:pPr>
            <w:r>
              <w:rPr>
                <w:rFonts w:ascii="Arial" w:cs="Arial" w:eastAsia="Arial" w:hAnsi="Arial"/>
                <w:sz w:val="17"/>
                <w:szCs w:val="17"/>
                <w:color w:val="auto"/>
              </w:rPr>
              <w:t>Director</w:t>
            </w:r>
          </w:p>
        </w:tc>
      </w:tr>
      <w:tr>
        <w:trPr>
          <w:trHeight w:val="207"/>
        </w:trPr>
        <w:tc>
          <w:tcPr>
            <w:tcW w:w="4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Kunal Kashyap</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3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Director</w:t>
            </w:r>
          </w:p>
        </w:tc>
      </w:tr>
      <w:tr>
        <w:trPr>
          <w:trHeight w:val="207"/>
        </w:trPr>
        <w:tc>
          <w:tcPr>
            <w:tcW w:w="4020" w:type="dxa"/>
            <w:vAlign w:val="bottom"/>
            <w:gridSpan w:val="2"/>
          </w:tcPr>
          <w:p>
            <w:pPr>
              <w:ind w:left="340"/>
              <w:spacing w:after="0"/>
              <w:rPr>
                <w:sz w:val="20"/>
                <w:szCs w:val="20"/>
                <w:color w:val="auto"/>
              </w:rPr>
            </w:pPr>
            <w:r>
              <w:rPr>
                <w:rFonts w:ascii="Arial" w:cs="Arial" w:eastAsia="Arial" w:hAnsi="Arial"/>
                <w:sz w:val="17"/>
                <w:szCs w:val="17"/>
                <w:color w:val="auto"/>
              </w:rPr>
              <w:t>Deepika R. Pakianathan, Ph.D.</w:t>
            </w:r>
          </w:p>
        </w:tc>
        <w:tc>
          <w:tcPr>
            <w:tcW w:w="240" w:type="dxa"/>
            <w:vAlign w:val="bottom"/>
          </w:tcPr>
          <w:p>
            <w:pPr>
              <w:jc w:val="right"/>
              <w:spacing w:after="0"/>
              <w:rPr>
                <w:sz w:val="20"/>
                <w:szCs w:val="20"/>
                <w:color w:val="auto"/>
              </w:rPr>
            </w:pPr>
            <w:r>
              <w:rPr>
                <w:rFonts w:ascii="Arial" w:cs="Arial" w:eastAsia="Arial" w:hAnsi="Arial"/>
                <w:sz w:val="17"/>
                <w:szCs w:val="17"/>
                <w:color w:val="auto"/>
              </w:rPr>
              <w:t>54</w:t>
            </w:r>
          </w:p>
        </w:tc>
        <w:tc>
          <w:tcPr>
            <w:tcW w:w="3760" w:type="dxa"/>
            <w:vAlign w:val="bottom"/>
            <w:gridSpan w:val="2"/>
          </w:tcPr>
          <w:p>
            <w:pPr>
              <w:ind w:left="280"/>
              <w:spacing w:after="0"/>
              <w:rPr>
                <w:sz w:val="20"/>
                <w:szCs w:val="20"/>
                <w:color w:val="auto"/>
              </w:rPr>
            </w:pPr>
            <w:r>
              <w:rPr>
                <w:rFonts w:ascii="Arial" w:cs="Arial" w:eastAsia="Arial" w:hAnsi="Arial"/>
                <w:sz w:val="17"/>
                <w:szCs w:val="17"/>
                <w:color w:val="auto"/>
              </w:rPr>
              <w:t>Director</w:t>
            </w:r>
          </w:p>
        </w:tc>
      </w:tr>
      <w:tr>
        <w:trPr>
          <w:trHeight w:val="207"/>
        </w:trPr>
        <w:tc>
          <w:tcPr>
            <w:tcW w:w="4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Michael S. Wyzga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37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Director</w:t>
            </w:r>
          </w:p>
        </w:tc>
      </w:tr>
    </w:tbl>
    <w:p>
      <w:pPr>
        <w:spacing w:after="0" w:line="194" w:lineRule="exact"/>
        <w:rPr>
          <w:sz w:val="20"/>
          <w:szCs w:val="20"/>
          <w:color w:val="auto"/>
        </w:rPr>
      </w:pPr>
    </w:p>
    <w:p>
      <w:pPr>
        <w:ind w:left="440" w:right="160" w:firstLine="423"/>
        <w:spacing w:after="0" w:line="285" w:lineRule="auto"/>
        <w:rPr>
          <w:sz w:val="20"/>
          <w:szCs w:val="20"/>
          <w:color w:val="auto"/>
        </w:rPr>
      </w:pPr>
      <w:r>
        <w:rPr>
          <w:rFonts w:ascii="Arial" w:cs="Arial" w:eastAsia="Arial" w:hAnsi="Arial"/>
          <w:sz w:val="17"/>
          <w:szCs w:val="17"/>
          <w:color w:val="auto"/>
        </w:rPr>
        <w:t>The current business addresses for Mereo’s executive officers and directors is c/o Mereo BioPharma Group plc, 4</w:t>
      </w:r>
      <w:r>
        <w:rPr>
          <w:rFonts w:ascii="Arial" w:cs="Arial" w:eastAsia="Arial" w:hAnsi="Arial"/>
          <w:sz w:val="14"/>
          <w:szCs w:val="14"/>
          <w:color w:val="auto"/>
        </w:rPr>
        <w:t>th</w:t>
      </w:r>
      <w:r>
        <w:rPr>
          <w:rFonts w:ascii="Arial" w:cs="Arial" w:eastAsia="Arial" w:hAnsi="Arial"/>
          <w:sz w:val="17"/>
          <w:szCs w:val="17"/>
          <w:color w:val="auto"/>
        </w:rPr>
        <w:t xml:space="preserve"> Floor, One Cavendish Place, London, W1G 0QF, United Kingdom.</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are brief biographies of Mereo’s executive officers and directors:</w:t>
      </w:r>
    </w:p>
    <w:p>
      <w:pPr>
        <w:spacing w:after="0" w:line="219" w:lineRule="exact"/>
        <w:rPr>
          <w:sz w:val="20"/>
          <w:szCs w:val="20"/>
          <w:color w:val="auto"/>
        </w:rPr>
      </w:pPr>
    </w:p>
    <w:p>
      <w:pPr>
        <w:ind w:left="440" w:right="160" w:firstLine="423"/>
        <w:spacing w:after="0" w:line="264" w:lineRule="auto"/>
        <w:rPr>
          <w:sz w:val="20"/>
          <w:szCs w:val="20"/>
          <w:color w:val="auto"/>
        </w:rPr>
      </w:pPr>
      <w:r>
        <w:rPr>
          <w:rFonts w:ascii="Arial" w:cs="Arial" w:eastAsia="Arial" w:hAnsi="Arial"/>
          <w:sz w:val="17"/>
          <w:szCs w:val="17"/>
          <w:b w:val="1"/>
          <w:bCs w:val="1"/>
          <w:i w:val="1"/>
          <w:iCs w:val="1"/>
          <w:color w:val="auto"/>
        </w:rPr>
        <w:t xml:space="preserve">Denise Scots-Knight, Ph.D. </w:t>
      </w:r>
      <w:r>
        <w:rPr>
          <w:rFonts w:ascii="Arial" w:cs="Arial" w:eastAsia="Arial" w:hAnsi="Arial"/>
          <w:sz w:val="17"/>
          <w:szCs w:val="17"/>
          <w:color w:val="auto"/>
        </w:rPr>
        <w:t>Dr. Scots-Knight has served as Mereo’s Chief Executive Officer since July 2015 and as a member of the Mereo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since Mereo’s formation. From 2010 until joining Mereo, Dr. Scots-Knight was the Managing Partner of Phase4 Partners Ltd. (“Phase4”), a global life science venture capital firm. Dr. Scots-Knight is currently a board member of Phase4 and of Elanco Animal Health Incorporated. Dr. Scots-Knight holds a B.Sc. (Hons.) and a Ph.D. from Birmingham University.</w:t>
      </w:r>
    </w:p>
    <w:p>
      <w:pPr>
        <w:spacing w:after="0" w:line="176" w:lineRule="exact"/>
        <w:rPr>
          <w:sz w:val="20"/>
          <w:szCs w:val="20"/>
          <w:color w:val="auto"/>
        </w:rPr>
      </w:pPr>
    </w:p>
    <w:p>
      <w:pPr>
        <w:ind w:left="440" w:right="180" w:firstLine="423"/>
        <w:spacing w:after="0" w:line="261" w:lineRule="auto"/>
        <w:rPr>
          <w:sz w:val="20"/>
          <w:szCs w:val="20"/>
          <w:color w:val="auto"/>
        </w:rPr>
      </w:pPr>
      <w:r>
        <w:rPr>
          <w:rFonts w:ascii="Arial" w:cs="Arial" w:eastAsia="Arial" w:hAnsi="Arial"/>
          <w:sz w:val="17"/>
          <w:szCs w:val="17"/>
          <w:b w:val="1"/>
          <w:bCs w:val="1"/>
          <w:i w:val="1"/>
          <w:iCs w:val="1"/>
          <w:color w:val="auto"/>
        </w:rPr>
        <w:t xml:space="preserve">Richard Jones. </w:t>
      </w:r>
      <w:r>
        <w:rPr>
          <w:rFonts w:ascii="Arial" w:cs="Arial" w:eastAsia="Arial" w:hAnsi="Arial"/>
          <w:sz w:val="17"/>
          <w:szCs w:val="17"/>
          <w:color w:val="auto"/>
        </w:rPr>
        <w:t>Mr. Jones has served as Mereo’s Chief Financial Officer and as a member of the Mereo Board since January 2017. From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until joining Mereo, Mr. Jones was the Chief Financial Officer and Company Secretary of Shield Therapeutics plc, where he also served as a Non-Executive Director from 2010 to 2011. Mr. Jones serves as a non-executive director on the board of Alliance Pharma plc. Mr. Jones is a qualified chartered accountant (ACA) with the Institute of Chartered Accountants in England and Wales (ICAEW) and holds a B.Eng. (Hons.) from the University of Newcastle upon Tyne.</w:t>
      </w:r>
    </w:p>
    <w:p>
      <w:pPr>
        <w:spacing w:after="0" w:line="180" w:lineRule="exact"/>
        <w:rPr>
          <w:sz w:val="20"/>
          <w:szCs w:val="20"/>
          <w:color w:val="auto"/>
        </w:rPr>
      </w:pPr>
    </w:p>
    <w:p>
      <w:pPr>
        <w:ind w:left="440" w:right="240" w:firstLine="423"/>
        <w:spacing w:after="0" w:line="269" w:lineRule="auto"/>
        <w:rPr>
          <w:sz w:val="20"/>
          <w:szCs w:val="20"/>
          <w:color w:val="auto"/>
        </w:rPr>
      </w:pPr>
      <w:r>
        <w:rPr>
          <w:rFonts w:ascii="Arial" w:cs="Arial" w:eastAsia="Arial" w:hAnsi="Arial"/>
          <w:sz w:val="17"/>
          <w:szCs w:val="17"/>
          <w:b w:val="1"/>
          <w:bCs w:val="1"/>
          <w:i w:val="1"/>
          <w:iCs w:val="1"/>
          <w:color w:val="auto"/>
        </w:rPr>
        <w:t xml:space="preserve">Alastair MacKinnon, MBBS. </w:t>
      </w:r>
      <w:r>
        <w:rPr>
          <w:rFonts w:ascii="Arial" w:cs="Arial" w:eastAsia="Arial" w:hAnsi="Arial"/>
          <w:sz w:val="17"/>
          <w:szCs w:val="17"/>
          <w:color w:val="auto"/>
        </w:rPr>
        <w:t>Dr. MacKinnon has served as Mereo’s Chief Medical Officer since July 2015. From 2010 until joining Mereo,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MacKinnon was a Partner of Phase4, where he currently serves as a member of the board of directors. Dr. MacKinnon holds a B.Sc. and a MBBS from King’s College London and is a Member of the Royal College of Surgeons in Edinburgh.</w:t>
      </w:r>
    </w:p>
    <w:p>
      <w:pPr>
        <w:spacing w:after="0" w:line="171" w:lineRule="exact"/>
        <w:rPr>
          <w:sz w:val="20"/>
          <w:szCs w:val="20"/>
          <w:color w:val="auto"/>
        </w:rPr>
      </w:pPr>
    </w:p>
    <w:p>
      <w:pPr>
        <w:ind w:left="440" w:right="80" w:firstLine="423"/>
        <w:spacing w:after="0" w:line="269" w:lineRule="auto"/>
        <w:rPr>
          <w:sz w:val="20"/>
          <w:szCs w:val="20"/>
          <w:color w:val="auto"/>
        </w:rPr>
      </w:pPr>
      <w:r>
        <w:rPr>
          <w:rFonts w:ascii="Arial" w:cs="Arial" w:eastAsia="Arial" w:hAnsi="Arial"/>
          <w:sz w:val="17"/>
          <w:szCs w:val="17"/>
          <w:b w:val="1"/>
          <w:bCs w:val="1"/>
          <w:i w:val="1"/>
          <w:iCs w:val="1"/>
          <w:color w:val="auto"/>
        </w:rPr>
        <w:t xml:space="preserve">John Richard. </w:t>
      </w:r>
      <w:r>
        <w:rPr>
          <w:rFonts w:ascii="Arial" w:cs="Arial" w:eastAsia="Arial" w:hAnsi="Arial"/>
          <w:sz w:val="17"/>
          <w:szCs w:val="17"/>
          <w:color w:val="auto"/>
        </w:rPr>
        <w:t>Mr. Richard has served as Mereo’s Head of Corporate Development since July 2015. Prior to joining Mereo, he was a consultant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Nomura, a global investment bank, and Phase4. Mr. Richard serves on the boards of Vaxart, Inc., Catalyst Biosciences, QUE Oncology, and Phase4. Mr. Richard holds a B.S. from Stanford University and an MBA from Harvard Business School.</w:t>
      </w:r>
    </w:p>
    <w:p>
      <w:pPr>
        <w:spacing w:after="0" w:line="171" w:lineRule="exact"/>
        <w:rPr>
          <w:sz w:val="20"/>
          <w:szCs w:val="20"/>
          <w:color w:val="auto"/>
        </w:rPr>
      </w:pPr>
    </w:p>
    <w:p>
      <w:pPr>
        <w:ind w:left="440" w:firstLine="423"/>
        <w:spacing w:after="0" w:line="293" w:lineRule="auto"/>
        <w:rPr>
          <w:sz w:val="20"/>
          <w:szCs w:val="20"/>
          <w:color w:val="auto"/>
        </w:rPr>
      </w:pPr>
      <w:r>
        <w:rPr>
          <w:rFonts w:ascii="Arial" w:cs="Arial" w:eastAsia="Arial" w:hAnsi="Arial"/>
          <w:sz w:val="16"/>
          <w:szCs w:val="16"/>
          <w:b w:val="1"/>
          <w:bCs w:val="1"/>
          <w:i w:val="1"/>
          <w:iCs w:val="1"/>
          <w:color w:val="auto"/>
        </w:rPr>
        <w:t xml:space="preserve">Charles Sermon. </w:t>
      </w:r>
      <w:r>
        <w:rPr>
          <w:rFonts w:ascii="Arial" w:cs="Arial" w:eastAsia="Arial" w:hAnsi="Arial"/>
          <w:sz w:val="16"/>
          <w:szCs w:val="16"/>
          <w:color w:val="auto"/>
        </w:rPr>
        <w:t>Mr. Sermon has served as Mereo’s General Counsel and Company Secretary since July 2015. From 2010 until joining Mereo,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Sermon was a Partner of Phase4, where he currently serves as a member of the board of directors. Mr. Sermon trained and qualified as a lawyer with Freshfields after completing the Law Society’s Final Examination. Mr. Sermon holds an LL.B. (Hons.) from Hull University.</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980"/>
          </w:cols>
          <w:pgMar w:left="240" w:top="445" w:right="67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Alexandra (Wills) Hughes-Wilson</w:t>
      </w:r>
      <w:r>
        <w:rPr>
          <w:rFonts w:ascii="Arial" w:cs="Arial" w:eastAsia="Arial" w:hAnsi="Arial"/>
          <w:sz w:val="16"/>
          <w:szCs w:val="16"/>
          <w:color w:val="auto"/>
        </w:rPr>
        <w:t>. Ms. Hughes-Wilson has served as Mereo’s Head of Patient Access and Commercial Planning since March</w:t>
      </w:r>
    </w:p>
    <w:p>
      <w:pPr>
        <w:spacing w:after="0" w:line="36" w:lineRule="exact"/>
        <w:rPr>
          <w:sz w:val="20"/>
          <w:szCs w:val="20"/>
          <w:color w:val="auto"/>
        </w:rPr>
      </w:pPr>
    </w:p>
    <w:p>
      <w:pPr>
        <w:jc w:val="both"/>
        <w:ind w:left="440" w:right="80"/>
        <w:spacing w:after="0" w:line="312" w:lineRule="auto"/>
        <w:rPr>
          <w:sz w:val="20"/>
          <w:szCs w:val="20"/>
          <w:color w:val="auto"/>
        </w:rPr>
      </w:pPr>
      <w:r>
        <w:rPr>
          <w:rFonts w:ascii="Arial" w:cs="Arial" w:eastAsia="Arial" w:hAnsi="Arial"/>
          <w:sz w:val="15"/>
          <w:szCs w:val="15"/>
          <w:color w:val="auto"/>
        </w:rPr>
        <w:t>2018. Prior to joining Mereo,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Ms. Hughes-Wilson holds a Bachelor’s Degree in Law and Politics (Hons.) from the University of Durham, U.K.</w:t>
      </w:r>
    </w:p>
    <w:p>
      <w:pPr>
        <w:spacing w:after="0" w:line="143" w:lineRule="exact"/>
        <w:rPr>
          <w:sz w:val="20"/>
          <w:szCs w:val="20"/>
          <w:color w:val="auto"/>
        </w:rPr>
      </w:pPr>
    </w:p>
    <w:p>
      <w:pPr>
        <w:ind w:left="440" w:right="60" w:firstLine="423"/>
        <w:spacing w:after="0" w:line="260" w:lineRule="auto"/>
        <w:rPr>
          <w:sz w:val="20"/>
          <w:szCs w:val="20"/>
          <w:color w:val="auto"/>
        </w:rPr>
      </w:pPr>
      <w:r>
        <w:rPr>
          <w:rFonts w:ascii="Arial" w:cs="Arial" w:eastAsia="Arial" w:hAnsi="Arial"/>
          <w:sz w:val="17"/>
          <w:szCs w:val="17"/>
          <w:b w:val="1"/>
          <w:bCs w:val="1"/>
          <w:i w:val="1"/>
          <w:iCs w:val="1"/>
          <w:color w:val="auto"/>
        </w:rPr>
        <w:t>Peter Fellner, Ph.D</w:t>
      </w:r>
      <w:r>
        <w:rPr>
          <w:rFonts w:ascii="Arial" w:cs="Arial" w:eastAsia="Arial" w:hAnsi="Arial"/>
          <w:sz w:val="17"/>
          <w:szCs w:val="17"/>
          <w:color w:val="auto"/>
        </w:rPr>
        <w:t>. Dr. Fellner has been Chairman of the Mereo Board since July 2015. He also serves as Chairman of the board of directors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Consort Medical plc, and was Chairman of the board of directors of Ablynx NV from November 2013 until January 2018 and Vernalis plc until October 2018. Dr. Fellner was previously Chairman of the board of directors of Acambis plc from 2006 until its acquisition by Sanofi Pasteur and Optos plc from 2000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80" w:lineRule="exact"/>
        <w:rPr>
          <w:sz w:val="20"/>
          <w:szCs w:val="20"/>
          <w:color w:val="auto"/>
        </w:rPr>
      </w:pPr>
    </w:p>
    <w:p>
      <w:pPr>
        <w:ind w:left="440" w:right="120" w:firstLine="423"/>
        <w:spacing w:after="0" w:line="261" w:lineRule="auto"/>
        <w:rPr>
          <w:sz w:val="20"/>
          <w:szCs w:val="20"/>
          <w:color w:val="auto"/>
        </w:rPr>
      </w:pPr>
      <w:r>
        <w:rPr>
          <w:rFonts w:ascii="Arial" w:cs="Arial" w:eastAsia="Arial" w:hAnsi="Arial"/>
          <w:sz w:val="17"/>
          <w:szCs w:val="17"/>
          <w:b w:val="1"/>
          <w:bCs w:val="1"/>
          <w:i w:val="1"/>
          <w:iCs w:val="1"/>
          <w:color w:val="auto"/>
        </w:rPr>
        <w:t xml:space="preserve">Peter Bains. </w:t>
      </w:r>
      <w:r>
        <w:rPr>
          <w:rFonts w:ascii="Arial" w:cs="Arial" w:eastAsia="Arial" w:hAnsi="Arial"/>
          <w:sz w:val="17"/>
          <w:szCs w:val="17"/>
          <w:color w:val="auto"/>
        </w:rPr>
        <w:t>Mr. Bains has served on the Mereo Board since July 2015. Mr. Bains was Representative Executive Officer and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Sosei Group Corporation, a biotechnology company until 31 December 2018. Previously, he was Chief Executive Officer of Syngene International Ltd. (“Syngene”), and served as a Non-Executive Director until 2016. Mr. Bains currently serves as Non-Executive Director for Phase4 and MiNA Therapeutics Ltd. Mr. Bains served as Non-Executive Chairman of Fermenta Biotech Ltd. until April 2018. Mr. Bains holds a B.Sc. (Hons.) from Sheffield University.</w:t>
      </w:r>
    </w:p>
    <w:p>
      <w:pPr>
        <w:spacing w:after="0" w:line="180" w:lineRule="exact"/>
        <w:rPr>
          <w:sz w:val="20"/>
          <w:szCs w:val="20"/>
          <w:color w:val="auto"/>
        </w:rPr>
      </w:pPr>
    </w:p>
    <w:p>
      <w:pPr>
        <w:ind w:left="440" w:right="20" w:firstLine="423"/>
        <w:spacing w:after="0" w:line="293" w:lineRule="auto"/>
        <w:rPr>
          <w:sz w:val="20"/>
          <w:szCs w:val="20"/>
          <w:color w:val="auto"/>
        </w:rPr>
      </w:pPr>
      <w:r>
        <w:rPr>
          <w:rFonts w:ascii="Arial" w:cs="Arial" w:eastAsia="Arial" w:hAnsi="Arial"/>
          <w:sz w:val="16"/>
          <w:szCs w:val="16"/>
          <w:b w:val="1"/>
          <w:bCs w:val="1"/>
          <w:i w:val="1"/>
          <w:iCs w:val="1"/>
          <w:color w:val="auto"/>
        </w:rPr>
        <w:t xml:space="preserve">Paul Blackburn. </w:t>
      </w:r>
      <w:r>
        <w:rPr>
          <w:rFonts w:ascii="Arial" w:cs="Arial" w:eastAsia="Arial" w:hAnsi="Arial"/>
          <w:sz w:val="16"/>
          <w:szCs w:val="16"/>
          <w:color w:val="auto"/>
        </w:rPr>
        <w:t>Mr. Blackburn has served on the Mereo Board since October 2015. Mr. Blackburn was Senior Vice President Strategic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Projects and Financial Controller at GlaxoSmithKline. Mr. Blackburn currently serves on the Board of Directors of Syngene. Mr. Blackburn is a member of the Chartered Institute of Managed Accountants. Mr. Blackburn holds a B.Sc. from Warwick University.</w:t>
      </w:r>
    </w:p>
    <w:p>
      <w:pPr>
        <w:spacing w:after="0" w:line="155" w:lineRule="exact"/>
        <w:rPr>
          <w:sz w:val="20"/>
          <w:szCs w:val="20"/>
          <w:color w:val="auto"/>
        </w:rPr>
      </w:pPr>
    </w:p>
    <w:p>
      <w:pPr>
        <w:ind w:left="440" w:firstLine="423"/>
        <w:spacing w:after="0" w:line="279" w:lineRule="auto"/>
        <w:rPr>
          <w:sz w:val="20"/>
          <w:szCs w:val="20"/>
          <w:color w:val="auto"/>
        </w:rPr>
      </w:pPr>
      <w:r>
        <w:rPr>
          <w:rFonts w:ascii="Arial" w:cs="Arial" w:eastAsia="Arial" w:hAnsi="Arial"/>
          <w:sz w:val="16"/>
          <w:szCs w:val="16"/>
          <w:b w:val="1"/>
          <w:bCs w:val="1"/>
          <w:i w:val="1"/>
          <w:iCs w:val="1"/>
          <w:color w:val="auto"/>
        </w:rPr>
        <w:t xml:space="preserve">Anders Ekblom, M.D., Ph.D. </w:t>
      </w:r>
      <w:r>
        <w:rPr>
          <w:rFonts w:ascii="Arial" w:cs="Arial" w:eastAsia="Arial" w:hAnsi="Arial"/>
          <w:sz w:val="16"/>
          <w:szCs w:val="16"/>
          <w:color w:val="auto"/>
        </w:rPr>
        <w:t>Dr. Ekblom has served on the Mereo Board since July 2015. Dr. Ekblom has held a number of executive positions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AstraZeneca, including Executive Vice President Global Drug Development, Executive Vice President Global Medicines Development, Global Head Clinical Development, Global Therapy Area Head, Global Head Science &amp; Technology Integration, and Chief Executive Officer of AstraZeneca AB Sweden. He currently serves as Chairman of the Board of Elypta AB and TFS International AB, and on the boards of directors of Alligator Bioscience AB, AnaMar AB, Infant Bacterial Therapeutics AB and LEO Pharma A/S. Dr. Ekblom is a board-certified medical doctor and an Associate Professor at the Karolinska Institutet. Dr. Ekblom holds a D.D.S., M.D. and Ph.D. from Karolinska Institutet.</w:t>
      </w:r>
    </w:p>
    <w:p>
      <w:pPr>
        <w:spacing w:after="0" w:line="167" w:lineRule="exact"/>
        <w:rPr>
          <w:sz w:val="20"/>
          <w:szCs w:val="20"/>
          <w:color w:val="auto"/>
        </w:rPr>
      </w:pPr>
    </w:p>
    <w:p>
      <w:pPr>
        <w:ind w:left="440" w:right="260" w:firstLine="423"/>
        <w:spacing w:after="0" w:line="261" w:lineRule="auto"/>
        <w:rPr>
          <w:sz w:val="20"/>
          <w:szCs w:val="20"/>
          <w:color w:val="auto"/>
        </w:rPr>
      </w:pPr>
      <w:r>
        <w:rPr>
          <w:rFonts w:ascii="Arial" w:cs="Arial" w:eastAsia="Arial" w:hAnsi="Arial"/>
          <w:sz w:val="17"/>
          <w:szCs w:val="17"/>
          <w:b w:val="1"/>
          <w:bCs w:val="1"/>
          <w:i w:val="1"/>
          <w:iCs w:val="1"/>
          <w:color w:val="auto"/>
        </w:rPr>
        <w:t xml:space="preserve">Kunal Kashyap. </w:t>
      </w:r>
      <w:r>
        <w:rPr>
          <w:rFonts w:ascii="Arial" w:cs="Arial" w:eastAsia="Arial" w:hAnsi="Arial"/>
          <w:sz w:val="17"/>
          <w:szCs w:val="17"/>
          <w:color w:val="auto"/>
        </w:rPr>
        <w:t>Mr. Kashyap has served on the Mereo Board since July 2015. Mr. Kashyap is Chairman and Managing Director of Allegro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Advisors and also serves as an Independent Director of GlaxoSmithKline Consumer Healthcare Ltd and a Non-Executive Director of Phase4. Mr. Kashyap was a partner with Arthur Andersen responsible for establishing and managing their operations in South India. Mr. Kashyap is also the Founder and was the Executive Director of Celstream Technologies Private Limited. Mr. Kashyap is a Chartered Accountant from the Institute of Chartered Accountants of India.</w:t>
      </w:r>
    </w:p>
    <w:p>
      <w:pPr>
        <w:spacing w:after="0" w:line="180" w:lineRule="exact"/>
        <w:rPr>
          <w:sz w:val="20"/>
          <w:szCs w:val="20"/>
          <w:color w:val="auto"/>
        </w:rPr>
      </w:pPr>
    </w:p>
    <w:p>
      <w:pPr>
        <w:ind w:left="440" w:right="60" w:firstLine="423"/>
        <w:spacing w:after="0" w:line="301" w:lineRule="auto"/>
        <w:rPr>
          <w:sz w:val="20"/>
          <w:szCs w:val="20"/>
          <w:color w:val="auto"/>
        </w:rPr>
      </w:pPr>
      <w:r>
        <w:rPr>
          <w:rFonts w:ascii="Arial" w:cs="Arial" w:eastAsia="Arial" w:hAnsi="Arial"/>
          <w:sz w:val="15"/>
          <w:szCs w:val="15"/>
          <w:b w:val="1"/>
          <w:bCs w:val="1"/>
          <w:i w:val="1"/>
          <w:iCs w:val="1"/>
          <w:color w:val="auto"/>
        </w:rPr>
        <w:t xml:space="preserve">Deepika R. Pakianathan, Ph.D. </w:t>
      </w:r>
      <w:r>
        <w:rPr>
          <w:rFonts w:ascii="Arial" w:cs="Arial" w:eastAsia="Arial" w:hAnsi="Arial"/>
          <w:sz w:val="15"/>
          <w:szCs w:val="15"/>
          <w:color w:val="auto"/>
        </w:rPr>
        <w:t>Dr. Pakianathan has served on the Mereo Board since April 2019 following completion of the Merger and served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a director of OncoMed since December 2008 until the closing of the Merger. Since 2001, Dr. Pakianathan has been a Managing Member at Delphi Ventures, a venture capital firm focused on biotechnology and medical device investments. Dr. Pakianathan serves on the boards of directors of Alder Biopharmaceuticals, Inc., Karyopharm Therapeutics, Inc., and Calithera Biosciences, Inc. Dr. Pakianathan previously served on the boards of directors of Alexza Pharmaceuticals, Inc., PTC Therapeutics, Inc. and Relypsa, Inc. Dr. Pakianathan received a B.Sc. from the University of Bombay, India, a M.Sc. from The Cancer Research Institute at the University of Bombay, India, and an M.S. and Ph.D. from Wake Forest University.</w:t>
      </w:r>
    </w:p>
    <w:p>
      <w:pPr>
        <w:spacing w:after="0" w:line="152" w:lineRule="exact"/>
        <w:rPr>
          <w:sz w:val="20"/>
          <w:szCs w:val="20"/>
          <w:color w:val="auto"/>
        </w:rPr>
      </w:pPr>
    </w:p>
    <w:p>
      <w:pPr>
        <w:ind w:left="440" w:right="160" w:firstLine="423"/>
        <w:spacing w:after="0" w:line="281" w:lineRule="auto"/>
        <w:rPr>
          <w:sz w:val="20"/>
          <w:szCs w:val="20"/>
          <w:color w:val="auto"/>
        </w:rPr>
      </w:pPr>
      <w:r>
        <w:rPr>
          <w:rFonts w:ascii="Arial" w:cs="Arial" w:eastAsia="Arial" w:hAnsi="Arial"/>
          <w:sz w:val="16"/>
          <w:szCs w:val="16"/>
          <w:b w:val="1"/>
          <w:bCs w:val="1"/>
          <w:i w:val="1"/>
          <w:iCs w:val="1"/>
          <w:color w:val="auto"/>
        </w:rPr>
        <w:t xml:space="preserve">Michael S. Wyzga. </w:t>
      </w:r>
      <w:r>
        <w:rPr>
          <w:rFonts w:ascii="Arial" w:cs="Arial" w:eastAsia="Arial" w:hAnsi="Arial"/>
          <w:sz w:val="16"/>
          <w:szCs w:val="16"/>
          <w:color w:val="auto"/>
        </w:rPr>
        <w:t>Mr. Wyzga has served on the Mereo Board since April 2019 following completion of the Merger and had served as a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OncoMed since October 2013 until the closing of the Merger.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w:t>
      </w:r>
    </w:p>
    <w:p>
      <w:pPr>
        <w:spacing w:after="0" w:line="10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000"/>
          </w:cols>
          <w:pgMar w:left="240" w:top="445" w:right="65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0"/>
        <w:spacing w:after="0" w:line="264" w:lineRule="auto"/>
        <w:rPr>
          <w:sz w:val="20"/>
          <w:szCs w:val="20"/>
          <w:color w:val="auto"/>
        </w:rPr>
      </w:pPr>
      <w:r>
        <w:rPr>
          <w:rFonts w:ascii="Arial" w:cs="Arial" w:eastAsia="Arial" w:hAnsi="Arial"/>
          <w:sz w:val="17"/>
          <w:szCs w:val="17"/>
          <w:color w:val="auto"/>
        </w:rPr>
        <w:t>member of the boards of directors of Exact Sciences Corporation and LogicBio, and is Chairman of the board of directors of GenSight Biologics S.A. and of X4 Biologics. Mr. Wyzga previously served as a member of the boards of directors of Idenix Pharmaceuticals, Inc. and Altus Pharmaceuticals, Inc., and as a member of the supervisory board of Prosensa Holding B.V. He received an M.B.A. from Providence College and a B.S. from Suffolk University.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Arrangements Concerning Election of Directors; Family Relationships</w:t>
      </w:r>
    </w:p>
    <w:p>
      <w:pPr>
        <w:spacing w:after="0" w:line="115" w:lineRule="exact"/>
        <w:rPr>
          <w:sz w:val="20"/>
          <w:szCs w:val="20"/>
          <w:color w:val="auto"/>
        </w:rPr>
      </w:pPr>
    </w:p>
    <w:p>
      <w:pPr>
        <w:ind w:left="440" w:right="180" w:firstLine="423"/>
        <w:spacing w:after="0" w:line="284" w:lineRule="auto"/>
        <w:rPr>
          <w:sz w:val="20"/>
          <w:szCs w:val="20"/>
          <w:color w:val="auto"/>
        </w:rPr>
      </w:pPr>
      <w:r>
        <w:rPr>
          <w:rFonts w:ascii="Arial" w:cs="Arial" w:eastAsia="Arial" w:hAnsi="Arial"/>
          <w:sz w:val="17"/>
          <w:szCs w:val="17"/>
          <w:color w:val="auto"/>
        </w:rPr>
        <w:t>We are not a party to, and are not aware of, any voting agreements among our shareholders. In addition, there are no family relationships among our executive officers and directors.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6.B. Compensation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Executive Officer Remuneration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table sets forth the approximate remuneration paid during the year ended December 31, 2018.</w:t>
      </w:r>
    </w:p>
    <w:p>
      <w:pPr>
        <w:spacing w:after="0" w:line="10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Salary</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 Bonus(1)</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Total(3)</w:t>
            </w:r>
          </w:p>
        </w:tc>
        <w:tc>
          <w:tcPr>
            <w:tcW w:w="0" w:type="dxa"/>
            <w:vAlign w:val="bottom"/>
          </w:tcPr>
          <w:p>
            <w:pPr>
              <w:spacing w:after="0"/>
              <w:rPr>
                <w:sz w:val="1"/>
                <w:szCs w:val="1"/>
                <w:color w:val="auto"/>
              </w:rPr>
            </w:pPr>
          </w:p>
        </w:tc>
      </w:tr>
      <w:tr>
        <w:trPr>
          <w:trHeight w:val="14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88"/>
              </w:rPr>
              <w:t>Name and Principal Position</w:t>
            </w:r>
          </w:p>
        </w:tc>
        <w:tc>
          <w:tcPr>
            <w:tcW w:w="366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20" w:type="dxa"/>
            <w:vAlign w:val="bottom"/>
            <w:gridSpan w:val="2"/>
          </w:tcPr>
          <w:p>
            <w:pPr>
              <w:jc w:val="right"/>
              <w:ind w:right="400"/>
              <w:spacing w:after="0" w:line="143" w:lineRule="exact"/>
              <w:rPr>
                <w:sz w:val="20"/>
                <w:szCs w:val="20"/>
                <w:color w:val="auto"/>
              </w:rPr>
            </w:pPr>
            <w:r>
              <w:rPr>
                <w:rFonts w:ascii="Arial" w:cs="Arial" w:eastAsia="Arial" w:hAnsi="Arial"/>
                <w:sz w:val="14"/>
                <w:szCs w:val="14"/>
                <w:b w:val="1"/>
                <w:bCs w:val="1"/>
                <w:color w:val="auto"/>
                <w:w w:val="87"/>
              </w:rPr>
              <w:t>Compensation(2)</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tcBorders>
              <w:bottom w:val="single" w:sz="8" w:color="auto"/>
            </w:tcBorders>
            <w:vMerge w:val="continue"/>
          </w:tcPr>
          <w:p>
            <w:pPr>
              <w:spacing w:after="0"/>
              <w:rPr>
                <w:sz w:val="14"/>
                <w:szCs w:val="14"/>
                <w:color w:val="auto"/>
              </w:rPr>
            </w:pPr>
          </w:p>
        </w:tc>
        <w:tc>
          <w:tcPr>
            <w:tcW w:w="3660" w:type="dxa"/>
            <w:vAlign w:val="bottom"/>
            <w:vMerge w:val="continue"/>
          </w:tcPr>
          <w:p>
            <w:pPr>
              <w:spacing w:after="0"/>
              <w:rPr>
                <w:sz w:val="14"/>
                <w:szCs w:val="14"/>
                <w:color w:val="auto"/>
              </w:rPr>
            </w:pPr>
          </w:p>
        </w:tc>
        <w:tc>
          <w:tcPr>
            <w:tcW w:w="620" w:type="dxa"/>
            <w:vAlign w:val="bottom"/>
          </w:tcPr>
          <w:p>
            <w:pPr>
              <w:jc w:val="right"/>
              <w:ind w:right="138"/>
              <w:spacing w:after="0" w:line="15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880" w:type="dxa"/>
            <w:vAlign w:val="bottom"/>
          </w:tcPr>
          <w:p>
            <w:pPr>
              <w:jc w:val="right"/>
              <w:ind w:right="278"/>
              <w:spacing w:after="0" w:line="15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020" w:type="dxa"/>
            <w:vAlign w:val="bottom"/>
          </w:tcPr>
          <w:p>
            <w:pPr>
              <w:jc w:val="right"/>
              <w:ind w:right="339"/>
              <w:spacing w:after="0" w:line="15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20" w:type="dxa"/>
            <w:vAlign w:val="bottom"/>
          </w:tcPr>
          <w:p>
            <w:pPr>
              <w:jc w:val="right"/>
              <w:ind w:right="158"/>
              <w:spacing w:after="0" w:line="15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36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Denise Scots-Knight, Ph.D.</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379,600</w:t>
            </w:r>
          </w:p>
        </w:tc>
        <w:tc>
          <w:tcPr>
            <w:tcW w:w="3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303,680</w:t>
            </w:r>
          </w:p>
        </w:tc>
        <w:tc>
          <w:tcPr>
            <w:tcW w:w="3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64,560</w:t>
            </w:r>
          </w:p>
        </w:tc>
        <w:tc>
          <w:tcPr>
            <w:tcW w:w="4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747,840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60" w:type="dxa"/>
            <w:vAlign w:val="bottom"/>
            <w:gridSpan w:val="2"/>
          </w:tcPr>
          <w:p>
            <w:pPr>
              <w:spacing w:after="0"/>
              <w:rPr>
                <w:sz w:val="20"/>
                <w:szCs w:val="20"/>
                <w:color w:val="auto"/>
              </w:rPr>
            </w:pPr>
            <w:r>
              <w:rPr>
                <w:rFonts w:ascii="Arial" w:cs="Arial" w:eastAsia="Arial" w:hAnsi="Arial"/>
                <w:sz w:val="17"/>
                <w:szCs w:val="17"/>
                <w:color w:val="auto"/>
              </w:rPr>
              <w:t>Richard Jones</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w w:val="97"/>
              </w:rPr>
              <w:t>260,000</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208,000</w:t>
            </w:r>
          </w:p>
        </w:tc>
        <w:tc>
          <w:tcPr>
            <w:tcW w:w="1420" w:type="dxa"/>
            <w:vAlign w:val="bottom"/>
            <w:gridSpan w:val="2"/>
          </w:tcPr>
          <w:p>
            <w:pPr>
              <w:jc w:val="right"/>
              <w:ind w:right="400"/>
              <w:spacing w:after="0"/>
              <w:rPr>
                <w:sz w:val="20"/>
                <w:szCs w:val="20"/>
                <w:color w:val="auto"/>
              </w:rPr>
            </w:pPr>
            <w:r>
              <w:rPr>
                <w:rFonts w:ascii="Arial" w:cs="Arial" w:eastAsia="Arial" w:hAnsi="Arial"/>
                <w:sz w:val="17"/>
                <w:szCs w:val="17"/>
                <w:color w:val="auto"/>
              </w:rPr>
              <w:t>33,481</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501,481</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Alastair MacKinnon, MBBS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7"/>
              </w:rPr>
              <w:t>281,600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225,280</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30,698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537,578</w:t>
            </w:r>
          </w:p>
        </w:tc>
        <w:tc>
          <w:tcPr>
            <w:tcW w:w="0" w:type="dxa"/>
            <w:vAlign w:val="bottom"/>
          </w:tcPr>
          <w:p>
            <w:pPr>
              <w:spacing w:after="0"/>
              <w:rPr>
                <w:sz w:val="1"/>
                <w:szCs w:val="1"/>
                <w:color w:val="auto"/>
              </w:rPr>
            </w:pPr>
          </w:p>
        </w:tc>
      </w:tr>
      <w:tr>
        <w:trPr>
          <w:trHeight w:val="207"/>
        </w:trPr>
        <w:tc>
          <w:tcPr>
            <w:tcW w:w="5360" w:type="dxa"/>
            <w:vAlign w:val="bottom"/>
            <w:gridSpan w:val="2"/>
          </w:tcPr>
          <w:p>
            <w:pPr>
              <w:spacing w:after="0"/>
              <w:rPr>
                <w:sz w:val="20"/>
                <w:szCs w:val="20"/>
                <w:color w:val="auto"/>
              </w:rPr>
            </w:pPr>
            <w:r>
              <w:rPr>
                <w:rFonts w:ascii="Arial" w:cs="Arial" w:eastAsia="Arial" w:hAnsi="Arial"/>
                <w:sz w:val="17"/>
                <w:szCs w:val="17"/>
                <w:color w:val="auto"/>
              </w:rPr>
              <w:t>John Richard(4)</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w w:val="97"/>
              </w:rPr>
              <w:t>277,861</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230,053</w:t>
            </w:r>
          </w:p>
        </w:tc>
        <w:tc>
          <w:tcPr>
            <w:tcW w:w="14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507,914</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Charles Sermon</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7"/>
              </w:rPr>
              <w:t>282,490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225,992</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34,975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543,457</w:t>
            </w:r>
          </w:p>
        </w:tc>
        <w:tc>
          <w:tcPr>
            <w:tcW w:w="0" w:type="dxa"/>
            <w:vAlign w:val="bottom"/>
          </w:tcPr>
          <w:p>
            <w:pPr>
              <w:spacing w:after="0"/>
              <w:rPr>
                <w:sz w:val="1"/>
                <w:szCs w:val="1"/>
                <w:color w:val="auto"/>
              </w:rPr>
            </w:pPr>
          </w:p>
        </w:tc>
      </w:tr>
      <w:tr>
        <w:trPr>
          <w:trHeight w:val="220"/>
        </w:trPr>
        <w:tc>
          <w:tcPr>
            <w:tcW w:w="5360" w:type="dxa"/>
            <w:vAlign w:val="bottom"/>
            <w:gridSpan w:val="2"/>
          </w:tcPr>
          <w:p>
            <w:pPr>
              <w:spacing w:after="0"/>
              <w:rPr>
                <w:sz w:val="20"/>
                <w:szCs w:val="20"/>
                <w:color w:val="auto"/>
              </w:rPr>
            </w:pPr>
            <w:r>
              <w:rPr>
                <w:rFonts w:ascii="Arial" w:cs="Arial" w:eastAsia="Arial" w:hAnsi="Arial"/>
                <w:sz w:val="17"/>
                <w:szCs w:val="17"/>
                <w:color w:val="auto"/>
              </w:rPr>
              <w:t>Alexandra Hughes-Wilson</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63,750</w:t>
            </w:r>
          </w:p>
        </w:tc>
        <w:tc>
          <w:tcPr>
            <w:tcW w:w="1260" w:type="dxa"/>
            <w:vAlign w:val="bottom"/>
            <w:gridSpan w:val="2"/>
          </w:tcPr>
          <w:p>
            <w:pPr>
              <w:jc w:val="right"/>
              <w:ind w:right="380"/>
              <w:spacing w:after="0"/>
              <w:rPr>
                <w:sz w:val="20"/>
                <w:szCs w:val="20"/>
                <w:color w:val="auto"/>
              </w:rPr>
            </w:pPr>
            <w:r>
              <w:rPr>
                <w:rFonts w:ascii="Arial" w:cs="Arial" w:eastAsia="Arial" w:hAnsi="Arial"/>
                <w:sz w:val="17"/>
                <w:szCs w:val="17"/>
                <w:color w:val="auto"/>
              </w:rPr>
              <w:t>30,000</w:t>
            </w:r>
          </w:p>
        </w:tc>
        <w:tc>
          <w:tcPr>
            <w:tcW w:w="1420" w:type="dxa"/>
            <w:vAlign w:val="bottom"/>
            <w:gridSpan w:val="2"/>
          </w:tcPr>
          <w:p>
            <w:pPr>
              <w:jc w:val="right"/>
              <w:ind w:right="400"/>
              <w:spacing w:after="0"/>
              <w:rPr>
                <w:sz w:val="20"/>
                <w:szCs w:val="20"/>
                <w:color w:val="auto"/>
              </w:rPr>
            </w:pPr>
            <w:r>
              <w:rPr>
                <w:rFonts w:ascii="Arial" w:cs="Arial" w:eastAsia="Arial" w:hAnsi="Arial"/>
                <w:sz w:val="17"/>
                <w:szCs w:val="17"/>
                <w:color w:val="auto"/>
              </w:rPr>
              <w:t>6,375</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100,125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74295</wp:posOffset>
            </wp:positionV>
            <wp:extent cx="6743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36" w:lineRule="exact"/>
        <w:rPr>
          <w:sz w:val="20"/>
          <w:szCs w:val="20"/>
          <w:color w:val="auto"/>
        </w:rPr>
      </w:pPr>
    </w:p>
    <w:p>
      <w:pPr>
        <w:ind w:left="840" w:right="160" w:hanging="409"/>
        <w:spacing w:after="0" w:line="275" w:lineRule="auto"/>
        <w:tabs>
          <w:tab w:leader="none" w:pos="8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Amount shown reflects cash bonuses awarded for achievement of performance goals. In 2018, 30% of the annual cash bonus awarded was made (after deduction of income tax and the relevant employee’s national insurance contributions) to Mereo’s current executive officers to acquire Mereo ordinary shares under the 2019 DBP (as defined below). See “—D. Share Ownership—Equity Compensation Arrangements.”</w:t>
      </w:r>
    </w:p>
    <w:p>
      <w:pPr>
        <w:spacing w:after="0" w:line="1" w:lineRule="exact"/>
        <w:rPr>
          <w:rFonts w:ascii="Arial" w:cs="Arial" w:eastAsia="Arial" w:hAnsi="Arial"/>
          <w:sz w:val="16"/>
          <w:szCs w:val="16"/>
          <w:color w:val="auto"/>
        </w:rPr>
      </w:pPr>
    </w:p>
    <w:p>
      <w:pPr>
        <w:ind w:left="840" w:hanging="409"/>
        <w:spacing w:after="0"/>
        <w:tabs>
          <w:tab w:leader="none" w:pos="8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Amount shown represents health benefit payments and pension contributions made by us.</w:t>
      </w:r>
    </w:p>
    <w:p>
      <w:pPr>
        <w:spacing w:after="0" w:line="11" w:lineRule="exact"/>
        <w:rPr>
          <w:rFonts w:ascii="Arial" w:cs="Arial" w:eastAsia="Arial" w:hAnsi="Arial"/>
          <w:sz w:val="17"/>
          <w:szCs w:val="17"/>
          <w:color w:val="auto"/>
        </w:rPr>
      </w:pPr>
    </w:p>
    <w:p>
      <w:pPr>
        <w:ind w:left="840" w:right="200" w:hanging="409"/>
        <w:spacing w:after="0" w:line="288" w:lineRule="auto"/>
        <w:tabs>
          <w:tab w:leader="none" w:pos="8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Total compensation set out in this table does not include any amounts for awards under the 2016 DBSP or the value of options to acquire Mereo ordinary shares or awards granted to or held by current senior management, which is described in “—Equity Compensation Arrangements.”</w:t>
      </w:r>
    </w:p>
    <w:p>
      <w:pPr>
        <w:ind w:left="840" w:right="80" w:hanging="409"/>
        <w:spacing w:after="0" w:line="261" w:lineRule="auto"/>
        <w:tabs>
          <w:tab w:leader="none" w:pos="8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Mr. Richard provided services to Mereo in 2018 under a consultancy agreement and currently provides services to Mereo under a consultancy agreement and an employment agreement. These agreements are described in “—Executive Officer Employment and Consultancy Agreements— John Richard.”</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Executive Officer Employment and Consultancy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Denise Scots-Knight, Ph.D.</w:t>
      </w:r>
    </w:p>
    <w:p>
      <w:pPr>
        <w:spacing w:after="0" w:line="115" w:lineRule="exact"/>
        <w:rPr>
          <w:sz w:val="20"/>
          <w:szCs w:val="20"/>
          <w:color w:val="auto"/>
        </w:rPr>
      </w:pPr>
    </w:p>
    <w:p>
      <w:pPr>
        <w:ind w:left="440" w:firstLine="423"/>
        <w:spacing w:after="0" w:line="274" w:lineRule="auto"/>
        <w:rPr>
          <w:sz w:val="20"/>
          <w:szCs w:val="20"/>
          <w:color w:val="auto"/>
        </w:rPr>
      </w:pPr>
      <w:r>
        <w:rPr>
          <w:rFonts w:ascii="Arial" w:cs="Arial" w:eastAsia="Arial" w:hAnsi="Arial"/>
          <w:sz w:val="16"/>
          <w:szCs w:val="16"/>
          <w:color w:val="auto"/>
        </w:rPr>
        <w:t>Mereo entered into an employment agreement with Dr. Scots-Knight on July 29, 2015. This agreement entitles Dr. Scots-Knight to receive an initial annual base salary of £275,000 (which was subsequently increased to £379,600 for 2018 and to £390,988 for 2019) and an opportunity to earn an annual discretionary performance-based bonus, subject to the achievement of performance goals determined in accordance with Mereo’s annual bonus plan. Mereo currently contributes to Dr. Scots-Knight’s Self-Invested Personal Pension Scheme an amount equal to 15% of Dr. Scots-Knight’s annual salary, provided that she contributes 4% or more of her annual salary to that scheme. In lieu of a pension contribution, Mereo may, at Dr. Scots-Knight’s request, pay a pro-rata amount equal to 10% of her base salary as additional compensation. Either party may terminate the employment agreement by giving the other party not less than 12 months’ written notice, provided that Mereo may terminate Dr. Scots-Knight at any time with immediate effect for cause or by giving written notice to Dr. Scots-Knight that Mereo will instead pay her basic salary for any remaining notice period. Dr. Scots-Knight’s employment agreement also contains restrictive covenants pursuant to which she has agreed to refrain from competing with Mereo or soliciting Mereo’s key employees for a period of six months following her termination of employment or soliciting Mereo’s customers for a period of nine months following her termination of employment.</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980"/>
          </w:cols>
          <w:pgMar w:left="240" w:top="445" w:right="67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Richard Jones</w:t>
      </w:r>
    </w:p>
    <w:p>
      <w:pPr>
        <w:spacing w:after="0" w:line="115" w:lineRule="exact"/>
        <w:rPr>
          <w:sz w:val="20"/>
          <w:szCs w:val="20"/>
          <w:color w:val="auto"/>
        </w:rPr>
      </w:pPr>
    </w:p>
    <w:p>
      <w:pPr>
        <w:ind w:left="440" w:right="20" w:firstLine="423"/>
        <w:spacing w:after="0" w:line="294" w:lineRule="auto"/>
        <w:rPr>
          <w:sz w:val="20"/>
          <w:szCs w:val="20"/>
          <w:color w:val="auto"/>
        </w:rPr>
      </w:pPr>
      <w:r>
        <w:rPr>
          <w:rFonts w:ascii="Arial" w:cs="Arial" w:eastAsia="Arial" w:hAnsi="Arial"/>
          <w:sz w:val="15"/>
          <w:szCs w:val="15"/>
          <w:color w:val="auto"/>
        </w:rPr>
        <w:t>Mereo entered into an employment agreement with Mr. Jones on November 7, 2016 pursuant to which he commenced employment with Mereo on January 28, 2017. This agreement entitles Mr. Jones to receive an initial annual base salary of £250,000 (which was subsequently increased to £260,000 for 2018 and to £291,200 for 2019) and an opportunity to earn an annual discretionary performance-based bonus, subject to the achievement of performance goals determined in accordance with Mereo’s annual bonus plan. Mr. Jones is also eligible to participate in Mereo’s group personal pension scheme and Mereo has agreed to contribute to the pension scheme an amount equal to 10% of Mr. Jones’s annual salary provided that he contributes 4% or more of his annual salary to that scheme. In lieu of a pension contribution, Mereo may, at Mr. Jones’s request, pay a pro-rata amount equal to 10% of his base salary as additional compensation. Either party may terminate the employment agreement by giving the other party not less than six months’ written notice, provided that Mereo may terminate Mr. Jones at any time with immediate effect for cause or by giving written notice to Mr. Jones that Mereo will instead pay his basic salary for any remaining notice period. Mr. Jones’s employment agreement also contains restrictive covenants pursuant to which he has agreed to refrain from competing with Mereo or soliciting Mereo’s key employees for a period of six months following his termination of employment or soliciting Mereo’s customers for a period of nine months following his termination of employment.</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Alastair MacKinnon, MBBS</w:t>
      </w:r>
    </w:p>
    <w:p>
      <w:pPr>
        <w:spacing w:after="0" w:line="115"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7"/>
          <w:szCs w:val="17"/>
          <w:color w:val="auto"/>
        </w:rPr>
        <w:t>Mereo entered into an employment agreement with Dr. MacKinnon on July 29, 2015, and subsequently amended the agreement on November 24, 2017. This agreement entitles Dr. MacKinnon to receive an initial annual base salary of £210,000 (which was subsequently increased to £281,600 for 2018 and to £290,048 for 2019) and an opportunity to earn an annual discretionary performance-based bonus, subject to the achievement of performance goals determined in accordance with Mereo’s annual bonus plan.</w:t>
      </w:r>
    </w:p>
    <w:p>
      <w:pPr>
        <w:spacing w:after="0" w:line="176" w:lineRule="exact"/>
        <w:rPr>
          <w:sz w:val="20"/>
          <w:szCs w:val="20"/>
          <w:color w:val="auto"/>
        </w:rPr>
      </w:pPr>
    </w:p>
    <w:p>
      <w:pPr>
        <w:ind w:left="440" w:firstLine="423"/>
        <w:spacing w:after="0" w:line="297" w:lineRule="auto"/>
        <w:rPr>
          <w:sz w:val="20"/>
          <w:szCs w:val="20"/>
          <w:color w:val="auto"/>
        </w:rPr>
      </w:pPr>
      <w:r>
        <w:rPr>
          <w:rFonts w:ascii="Arial" w:cs="Arial" w:eastAsia="Arial" w:hAnsi="Arial"/>
          <w:sz w:val="15"/>
          <w:szCs w:val="15"/>
          <w:color w:val="auto"/>
        </w:rPr>
        <w:t>Dr. MacKinnon is also eligible to participate in Mereo’s group personal pension scheme and Mereo has agreed to contribute to the pension scheme an amount equal to 10% of Dr. MacKinnon’s annual salary provided that he contributes 4% or more of his annual salary to that scheme. In lieu of a pension contribution, Mereo may, at Dr. MacKinnon’s request, pay a pro-rata amount equal to 10% of his base salary as additional compensation. Either party may terminate the employment agreement by giving the other party not less than six months’ written notice, provided that Mereo may terminate Dr. MacKinnon at any time with immediate effect for cause or by giving written notice to Dr. MacKinnon that Mereo instead pay his basic salary for any remaining notice period. Dr. MacKinnon’s employment agreement also contains restrictive covenants pursuant to which he has agreed to refrain from competing with Mereo for a period of three months following his termination of employment, soliciting Mereo’s key employees for a period of six months following his termination of employment, or soliciting Mereo’s customers for a period of nine months following his termination of employment.</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John Richard</w:t>
      </w:r>
    </w:p>
    <w:p>
      <w:pPr>
        <w:spacing w:after="0" w:line="115" w:lineRule="exact"/>
        <w:rPr>
          <w:sz w:val="20"/>
          <w:szCs w:val="20"/>
          <w:color w:val="auto"/>
        </w:rPr>
      </w:pPr>
    </w:p>
    <w:p>
      <w:pPr>
        <w:jc w:val="both"/>
        <w:ind w:left="440" w:right="80" w:firstLine="423"/>
        <w:spacing w:after="0" w:line="293" w:lineRule="auto"/>
        <w:rPr>
          <w:sz w:val="20"/>
          <w:szCs w:val="20"/>
          <w:color w:val="auto"/>
        </w:rPr>
      </w:pPr>
      <w:r>
        <w:rPr>
          <w:rFonts w:ascii="Arial" w:cs="Arial" w:eastAsia="Arial" w:hAnsi="Arial"/>
          <w:sz w:val="16"/>
          <w:szCs w:val="16"/>
          <w:color w:val="auto"/>
        </w:rPr>
        <w:t>Mereo entered into a consultancy agreement with Mr. Richard on February 1, 2018, pursuant to which he provided services to Mereo during 2018 and which has subsequently expired. Mr. Richard currently provides services to Mereo pursuant to an employment agreement dated February 26, 2018 (the “Richard Employment Agreement”), and a consultancy agreement dated January 23, 2019 (the “Richard Consulting Agreement”).</w:t>
      </w:r>
    </w:p>
    <w:p>
      <w:pPr>
        <w:spacing w:after="0" w:line="155" w:lineRule="exact"/>
        <w:rPr>
          <w:sz w:val="20"/>
          <w:szCs w:val="20"/>
          <w:color w:val="auto"/>
        </w:rPr>
      </w:pPr>
    </w:p>
    <w:p>
      <w:pPr>
        <w:ind w:left="440" w:right="40" w:firstLine="423"/>
        <w:spacing w:after="0" w:line="295" w:lineRule="auto"/>
        <w:rPr>
          <w:sz w:val="20"/>
          <w:szCs w:val="20"/>
          <w:color w:val="auto"/>
        </w:rPr>
      </w:pPr>
      <w:r>
        <w:rPr>
          <w:rFonts w:ascii="Arial" w:cs="Arial" w:eastAsia="Arial" w:hAnsi="Arial"/>
          <w:sz w:val="15"/>
          <w:szCs w:val="15"/>
          <w:color w:val="auto"/>
        </w:rPr>
        <w:t>The Richard Employment Agreement entitles Mr. Richard to receive an initial base salary of £3,900 per month, which was subsequently increased to £4,017 per month from January 2019, and an opportunity to earn an annual discretionary performance-based bonus, subject to the achievement of performance goals determined in accordance with Mereo’s annual bonus plan. Mr. Richard is also eligible to participate in Mereo’s group personal pension scheme and Mereo has agreed to contribute to the pension scheme an amount equal to 10% of Mr. Richard’s annual salary provided that he contributes 4% or more of his annual salary to that scheme. In lieu of a pension contribution, Mereo may, at Mr. Richard’s request, pay a pro-rata amount equal to 10% of his base salary as additional compensation. Either party may terminate the employment agreement by giving the other party not less than six months’ written notice, provided that Mereo may terminate Mr. Richard at any time with immediate effect for cause or by giving written notice to Mr. Richard that Mereo will instead pay his basic salary for any remaining notice period. Mr. Richard’s employment agreement also contains restrictive covenants pursuant to which he has agreed to refrain from competing with Mereo or soliciting Mereo’s key employees for a period of six months following his termination of employment, or soliciting Mereo’s customers for a period of nine months following his termination of employment.</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000"/>
          </w:cols>
          <w:pgMar w:left="240" w:top="445" w:right="65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20" w:firstLine="423"/>
        <w:spacing w:after="0" w:line="264" w:lineRule="auto"/>
        <w:rPr>
          <w:sz w:val="20"/>
          <w:szCs w:val="20"/>
          <w:color w:val="auto"/>
        </w:rPr>
      </w:pPr>
      <w:r>
        <w:rPr>
          <w:rFonts w:ascii="Arial" w:cs="Arial" w:eastAsia="Arial" w:hAnsi="Arial"/>
          <w:sz w:val="17"/>
          <w:szCs w:val="17"/>
          <w:color w:val="auto"/>
        </w:rPr>
        <w:t>Pursuant to the Richard Consulting Agreement, Mr. Richard also provides services to Mereo as a consultant. The Richard Consulting Agreement is expected to remain in effect until January 31, 2020. The Richard Consulting Agreement entitles Mr. Richard to receive a retainer of $26,316 per month and an opportunity to earn a one-time discretionary payment from Mereo based upon the achievement of agreed-upon performance goals with regard to the preceding 12-month period.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Charles Sermon</w:t>
      </w:r>
    </w:p>
    <w:p>
      <w:pPr>
        <w:spacing w:after="0" w:line="115" w:lineRule="exact"/>
        <w:rPr>
          <w:sz w:val="20"/>
          <w:szCs w:val="20"/>
          <w:color w:val="auto"/>
        </w:rPr>
      </w:pPr>
    </w:p>
    <w:p>
      <w:pPr>
        <w:ind w:left="440" w:firstLine="423"/>
        <w:spacing w:after="0" w:line="274" w:lineRule="auto"/>
        <w:rPr>
          <w:sz w:val="20"/>
          <w:szCs w:val="20"/>
          <w:color w:val="auto"/>
        </w:rPr>
      </w:pPr>
      <w:r>
        <w:rPr>
          <w:rFonts w:ascii="Arial" w:cs="Arial" w:eastAsia="Arial" w:hAnsi="Arial"/>
          <w:sz w:val="16"/>
          <w:szCs w:val="16"/>
          <w:color w:val="auto"/>
        </w:rPr>
        <w:t>Mereo entered into an employment agreement with Mr. Sermon on July 29, 2015. This agreement entitles Mr. Sermon to receive an initial annual base salary of £245,000 (which was subsequently increased to £282,490 for 2018 and to £290,964 for 2019) and an opportunity to earn an annual discretionary performance-based bonus, subject to the achievement of performance goals determined in accordance with Mereo’s annual bonus plan. Mereo has agreed to contribute to Mr. Sermon’s Self-Invested Personal Pension Scheme an amount equal to 10% of Mr. Sermon’s annual salary provided that he contributes 4% or more of his annual salary to that scheme. In lieu of a pension contribution, Mereo may, at Mr. Sermon’s request, pay a pro-rata amount equal to 10% of his base salary as additional compensation. Either party may terminate the employment agreement by giving the other party not less than six months’ written notice, provided that Mereo may terminate Mr. Sermon at any time with immediate effect for cause or by giving written notice to Mr. Sermon that Mereo will instead pay his basic salary for any remaining notice period. Mr. Sermon’s employment agreement also contains restrictive covenants pursuant to which he has agreed to refrain from competing with Mereo or soliciting Mereo’s key employees for a period of six months following his termination of employment or soliciting Mereo’s customers for a period of nine months following his termination of employment.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Alexandra (Wills) Hughes-Wilson</w:t>
      </w:r>
    </w:p>
    <w:p>
      <w:pPr>
        <w:spacing w:after="0" w:line="115" w:lineRule="exact"/>
        <w:rPr>
          <w:sz w:val="20"/>
          <w:szCs w:val="20"/>
          <w:color w:val="auto"/>
        </w:rPr>
      </w:pPr>
    </w:p>
    <w:p>
      <w:pPr>
        <w:ind w:left="440" w:right="200" w:firstLine="423"/>
        <w:spacing w:after="0" w:line="261" w:lineRule="auto"/>
        <w:rPr>
          <w:sz w:val="20"/>
          <w:szCs w:val="20"/>
          <w:color w:val="auto"/>
        </w:rPr>
      </w:pPr>
      <w:r>
        <w:rPr>
          <w:rFonts w:ascii="Arial" w:cs="Arial" w:eastAsia="Arial" w:hAnsi="Arial"/>
          <w:sz w:val="17"/>
          <w:szCs w:val="17"/>
          <w:color w:val="auto"/>
        </w:rPr>
        <w:t>Mereo entered into a part-time employment agreement with Ms. Alexandra (Wills) Hughes-Wilson on February 19, 2018, and subsequently amended the agreement on May 29, 2018 and on March 8, 2019. Ms. Hughes-Wilson commenced part-time employment with Mereo as its Head of Patient Access and Commercial Planning on March 5, 2018. The employment agreement entitles Ms. Hughes-Wilson to receive an initial annual base salary of £185,400 and an opportunity to earn an annual discretionary performance-based bonus, subject to the achievement of performance goals determined in accordance with Mereo’s annual bonus plan.</w:t>
      </w:r>
    </w:p>
    <w:p>
      <w:pPr>
        <w:spacing w:after="0" w:line="180" w:lineRule="exact"/>
        <w:rPr>
          <w:sz w:val="20"/>
          <w:szCs w:val="20"/>
          <w:color w:val="auto"/>
        </w:rPr>
      </w:pPr>
    </w:p>
    <w:p>
      <w:pPr>
        <w:ind w:left="440" w:right="120" w:firstLine="423"/>
        <w:spacing w:after="0" w:line="297" w:lineRule="auto"/>
        <w:rPr>
          <w:sz w:val="20"/>
          <w:szCs w:val="20"/>
          <w:color w:val="auto"/>
        </w:rPr>
      </w:pPr>
      <w:r>
        <w:rPr>
          <w:rFonts w:ascii="Arial" w:cs="Arial" w:eastAsia="Arial" w:hAnsi="Arial"/>
          <w:sz w:val="15"/>
          <w:szCs w:val="15"/>
          <w:color w:val="auto"/>
        </w:rPr>
        <w:t>Ms. Hughes-Wilson is also eligible to participate in Mereo’s group personal pension scheme and Mereo has agreed to contribute to the pension scheme an amount equal to 10% of Ms. Hughes-Wilson annual salary provided that she contributes 4% or more of her annual salary to that scheme. In lieu of a pension contribution, Mereo may, at Ms. Hughes-Wilson’s request, pay a pro-rata amount equal to 10% of her base salary as additional compensation. Either party may terminate the employment agreement by giving the other party not less than six months’ written notice, provided that Mereo may terminate Ms. Hughes-Wilson at any time with immediate effect for cause or by giving written notice to Ms. Hughes-Wilson that Mereo instead pay her basic salary for any remaining notice period. Ms. Hughes-Wilson’s employment agreement also contains restrictive covenants pursuant to which she has agreed to refrain from competing with Mereo or soliciting its key employees for a period of six months following her termination of employment or soliciting Mereo customers for a period of nine months following her termination of employment.</w:t>
      </w:r>
    </w:p>
    <w:p>
      <w:pPr>
        <w:spacing w:after="0" w:line="9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980"/>
          </w:cols>
          <w:pgMar w:left="240" w:top="445" w:right="67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Equity Compensation Awards to Directors and Executive Officers of Mereo</w:t>
      </w:r>
    </w:p>
    <w:p>
      <w:pPr>
        <w:spacing w:after="0" w:line="121" w:lineRule="exact"/>
        <w:rPr>
          <w:sz w:val="20"/>
          <w:szCs w:val="20"/>
          <w:color w:val="auto"/>
        </w:rPr>
      </w:pPr>
    </w:p>
    <w:p>
      <w:pPr>
        <w:ind w:left="440" w:right="100" w:firstLine="423"/>
        <w:spacing w:after="0" w:line="284" w:lineRule="auto"/>
        <w:rPr>
          <w:sz w:val="20"/>
          <w:szCs w:val="20"/>
          <w:color w:val="auto"/>
        </w:rPr>
      </w:pPr>
      <w:r>
        <w:rPr>
          <w:rFonts w:ascii="Arial" w:cs="Arial" w:eastAsia="Arial" w:hAnsi="Arial"/>
          <w:sz w:val="17"/>
          <w:szCs w:val="17"/>
          <w:color w:val="auto"/>
        </w:rPr>
        <w:t>The following table summarizes: (i) the outstanding number of options and awards under the equity incentive plans; and (ii) the number of shares granted to the current directors, executive officers, and non-executive directors, as of December 31, 2018:</w:t>
      </w:r>
    </w:p>
    <w:p>
      <w:pPr>
        <w:spacing w:after="0" w:line="15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Ordinary</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Ordinary</w:t>
            </w:r>
          </w:p>
        </w:tc>
        <w:tc>
          <w:tcPr>
            <w:tcW w:w="10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0"/>
              </w:rPr>
              <w:t>Underlying</w:t>
            </w:r>
          </w:p>
        </w:tc>
        <w:tc>
          <w:tcPr>
            <w:tcW w:w="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Per Ordinary</w:t>
            </w:r>
          </w:p>
        </w:tc>
        <w:tc>
          <w:tcPr>
            <w:tcW w:w="200" w:type="dxa"/>
            <w:vAlign w:val="bottom"/>
          </w:tcPr>
          <w:p>
            <w:pPr>
              <w:spacing w:after="0"/>
              <w:rPr>
                <w:sz w:val="12"/>
                <w:szCs w:val="12"/>
                <w:color w:val="auto"/>
              </w:rPr>
            </w:pPr>
          </w:p>
        </w:tc>
        <w:tc>
          <w:tcPr>
            <w:tcW w:w="16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Grant Date</w:t>
            </w:r>
          </w:p>
        </w:tc>
        <w:tc>
          <w:tcPr>
            <w:tcW w:w="13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52"/>
        </w:trPr>
        <w:tc>
          <w:tcPr>
            <w:tcW w:w="4520" w:type="dxa"/>
            <w:vAlign w:val="bottom"/>
            <w:gridSpan w:val="3"/>
            <w:vMerge w:val="continue"/>
          </w:tcPr>
          <w:p>
            <w:pPr>
              <w:spacing w:after="0"/>
              <w:rPr>
                <w:sz w:val="13"/>
                <w:szCs w:val="13"/>
                <w:color w:val="auto"/>
              </w:rPr>
            </w:pPr>
          </w:p>
        </w:tc>
        <w:tc>
          <w:tcPr>
            <w:tcW w:w="1000" w:type="dxa"/>
            <w:vAlign w:val="bottom"/>
            <w:gridSpan w:val="2"/>
          </w:tcPr>
          <w:p>
            <w:pPr>
              <w:jc w:val="right"/>
              <w:ind w:right="440"/>
              <w:spacing w:after="0" w:line="152"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2"/>
          </w:tcPr>
          <w:p>
            <w:pPr>
              <w:jc w:val="center"/>
              <w:ind w:right="280"/>
              <w:spacing w:after="0" w:line="152" w:lineRule="exact"/>
              <w:rPr>
                <w:sz w:val="20"/>
                <w:szCs w:val="20"/>
                <w:color w:val="auto"/>
              </w:rPr>
            </w:pPr>
            <w:r>
              <w:rPr>
                <w:rFonts w:ascii="Arial" w:cs="Arial" w:eastAsia="Arial" w:hAnsi="Arial"/>
                <w:sz w:val="14"/>
                <w:szCs w:val="14"/>
                <w:b w:val="1"/>
                <w:bCs w:val="1"/>
                <w:color w:val="auto"/>
                <w:w w:val="86"/>
              </w:rPr>
              <w:t>Options</w:t>
            </w: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0"/>
              </w:rPr>
              <w:t>Share (£)</w:t>
            </w:r>
          </w:p>
        </w:tc>
        <w:tc>
          <w:tcPr>
            <w:tcW w:w="20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5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Denise Scots-Knight, Ph.D.</w:t>
            </w: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1,544,745</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1.29</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88"/>
              </w:rPr>
              <w:t>September 25, 2015</w:t>
            </w: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88"/>
              </w:rPr>
              <w:t>September 25, 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461,538</w:t>
            </w:r>
          </w:p>
        </w:tc>
        <w:tc>
          <w:tcPr>
            <w:tcW w:w="840" w:type="dxa"/>
            <w:vAlign w:val="bottom"/>
          </w:tcPr>
          <w:p>
            <w:pPr>
              <w:jc w:val="center"/>
              <w:spacing w:after="0"/>
              <w:rPr>
                <w:sz w:val="20"/>
                <w:szCs w:val="20"/>
                <w:color w:val="auto"/>
              </w:rPr>
            </w:pPr>
            <w:r>
              <w:rPr>
                <w:rFonts w:ascii="Arial" w:cs="Arial" w:eastAsia="Arial" w:hAnsi="Arial"/>
                <w:sz w:val="17"/>
                <w:szCs w:val="17"/>
                <w:color w:val="auto"/>
              </w:rPr>
              <w:t>nil</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June 9, 2016</w:t>
            </w:r>
          </w:p>
        </w:tc>
        <w:tc>
          <w:tcPr>
            <w:tcW w:w="1380" w:type="dxa"/>
            <w:vAlign w:val="bottom"/>
          </w:tcPr>
          <w:p>
            <w:pPr>
              <w:spacing w:after="0"/>
              <w:rPr>
                <w:sz w:val="20"/>
                <w:szCs w:val="20"/>
                <w:color w:val="auto"/>
              </w:rPr>
            </w:pPr>
            <w:r>
              <w:rPr>
                <w:rFonts w:ascii="Arial" w:cs="Arial" w:eastAsia="Arial" w:hAnsi="Arial"/>
                <w:sz w:val="17"/>
                <w:szCs w:val="17"/>
                <w:color w:val="auto"/>
              </w:rPr>
              <w:t>June 9, 2026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25,319</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nil</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April 4, 2017</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April 4, 2021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32,205</w:t>
            </w:r>
          </w:p>
        </w:tc>
        <w:tc>
          <w:tcPr>
            <w:tcW w:w="840" w:type="dxa"/>
            <w:vAlign w:val="bottom"/>
          </w:tcPr>
          <w:p>
            <w:pPr>
              <w:jc w:val="center"/>
              <w:spacing w:after="0"/>
              <w:rPr>
                <w:sz w:val="20"/>
                <w:szCs w:val="20"/>
                <w:color w:val="auto"/>
              </w:rPr>
            </w:pPr>
            <w:r>
              <w:rPr>
                <w:rFonts w:ascii="Arial" w:cs="Arial" w:eastAsia="Arial" w:hAnsi="Arial"/>
                <w:sz w:val="17"/>
                <w:szCs w:val="17"/>
                <w:color w:val="auto"/>
              </w:rPr>
              <w:t>nil</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April 26, 2018</w:t>
            </w:r>
          </w:p>
        </w:tc>
        <w:tc>
          <w:tcPr>
            <w:tcW w:w="1380" w:type="dxa"/>
            <w:vAlign w:val="bottom"/>
          </w:tcPr>
          <w:p>
            <w:pPr>
              <w:spacing w:after="0"/>
              <w:rPr>
                <w:sz w:val="20"/>
                <w:szCs w:val="20"/>
                <w:color w:val="auto"/>
              </w:rPr>
            </w:pPr>
            <w:r>
              <w:rPr>
                <w:rFonts w:ascii="Arial" w:cs="Arial" w:eastAsia="Arial" w:hAnsi="Arial"/>
                <w:sz w:val="17"/>
                <w:szCs w:val="17"/>
                <w:color w:val="auto"/>
              </w:rPr>
              <w:t>January 31,2022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844,199</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N/A</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7"/>
                <w:szCs w:val="17"/>
                <w:color w:val="auto"/>
              </w:rPr>
              <w:t>Richard Jones</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650,000</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3.02</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April 4, 2017</w:t>
            </w:r>
          </w:p>
        </w:tc>
        <w:tc>
          <w:tcPr>
            <w:tcW w:w="1380" w:type="dxa"/>
            <w:vAlign w:val="bottom"/>
          </w:tcPr>
          <w:p>
            <w:pPr>
              <w:spacing w:after="0"/>
              <w:rPr>
                <w:sz w:val="20"/>
                <w:szCs w:val="20"/>
                <w:color w:val="auto"/>
              </w:rPr>
            </w:pPr>
            <w:r>
              <w:rPr>
                <w:rFonts w:ascii="Arial" w:cs="Arial" w:eastAsia="Arial" w:hAnsi="Arial"/>
                <w:sz w:val="17"/>
                <w:szCs w:val="17"/>
                <w:color w:val="auto"/>
              </w:rPr>
              <w:t>April 4, 2027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185,950</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nil</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April 4, 2017</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June 9, 2026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22,058</w:t>
            </w:r>
          </w:p>
        </w:tc>
        <w:tc>
          <w:tcPr>
            <w:tcW w:w="840" w:type="dxa"/>
            <w:vAlign w:val="bottom"/>
          </w:tcPr>
          <w:p>
            <w:pPr>
              <w:jc w:val="center"/>
              <w:spacing w:after="0"/>
              <w:rPr>
                <w:sz w:val="20"/>
                <w:szCs w:val="20"/>
                <w:color w:val="auto"/>
              </w:rPr>
            </w:pPr>
            <w:r>
              <w:rPr>
                <w:rFonts w:ascii="Arial" w:cs="Arial" w:eastAsia="Arial" w:hAnsi="Arial"/>
                <w:sz w:val="17"/>
                <w:szCs w:val="17"/>
                <w:color w:val="auto"/>
              </w:rPr>
              <w:t>nil</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April 26, 2018</w:t>
            </w:r>
          </w:p>
        </w:tc>
        <w:tc>
          <w:tcPr>
            <w:tcW w:w="1380" w:type="dxa"/>
            <w:vAlign w:val="bottom"/>
          </w:tcPr>
          <w:p>
            <w:pPr>
              <w:spacing w:after="0"/>
              <w:rPr>
                <w:sz w:val="20"/>
                <w:szCs w:val="20"/>
                <w:color w:val="auto"/>
              </w:rPr>
            </w:pPr>
            <w:r>
              <w:rPr>
                <w:rFonts w:ascii="Arial" w:cs="Arial" w:eastAsia="Arial" w:hAnsi="Arial"/>
                <w:sz w:val="17"/>
                <w:szCs w:val="17"/>
                <w:color w:val="auto"/>
              </w:rPr>
              <w:t>January 31, 2022</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Alastair MacKinnon, MBBS</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772,371</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1.29</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September 25, 2015</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w w:val="88"/>
              </w:rPr>
              <w:t>September 25, 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234,162</w:t>
            </w:r>
          </w:p>
        </w:tc>
        <w:tc>
          <w:tcPr>
            <w:tcW w:w="840" w:type="dxa"/>
            <w:vAlign w:val="bottom"/>
          </w:tcPr>
          <w:p>
            <w:pPr>
              <w:spacing w:after="0"/>
              <w:rPr>
                <w:sz w:val="18"/>
                <w:szCs w:val="18"/>
                <w:color w:val="auto"/>
              </w:rPr>
            </w:pP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June 9, 2016</w:t>
            </w:r>
          </w:p>
        </w:tc>
        <w:tc>
          <w:tcPr>
            <w:tcW w:w="1380" w:type="dxa"/>
            <w:vAlign w:val="bottom"/>
          </w:tcPr>
          <w:p>
            <w:pPr>
              <w:spacing w:after="0"/>
              <w:rPr>
                <w:sz w:val="20"/>
                <w:szCs w:val="20"/>
                <w:color w:val="auto"/>
              </w:rPr>
            </w:pPr>
            <w:r>
              <w:rPr>
                <w:rFonts w:ascii="Arial" w:cs="Arial" w:eastAsia="Arial" w:hAnsi="Arial"/>
                <w:sz w:val="17"/>
                <w:szCs w:val="17"/>
                <w:color w:val="auto"/>
              </w:rPr>
              <w:t>June 9, 2026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17,127</w:t>
            </w:r>
          </w:p>
        </w:tc>
        <w:tc>
          <w:tcPr>
            <w:tcW w:w="8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April 4, 2017</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April 4, 2021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22,588</w:t>
            </w:r>
          </w:p>
        </w:tc>
        <w:tc>
          <w:tcPr>
            <w:tcW w:w="840" w:type="dxa"/>
            <w:vAlign w:val="bottom"/>
          </w:tcPr>
          <w:p>
            <w:pPr>
              <w:spacing w:after="0"/>
              <w:rPr>
                <w:sz w:val="18"/>
                <w:szCs w:val="18"/>
                <w:color w:val="auto"/>
              </w:rPr>
            </w:pP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April 26, 2018</w:t>
            </w:r>
          </w:p>
        </w:tc>
        <w:tc>
          <w:tcPr>
            <w:tcW w:w="1380" w:type="dxa"/>
            <w:vAlign w:val="bottom"/>
          </w:tcPr>
          <w:p>
            <w:pPr>
              <w:spacing w:after="0"/>
              <w:rPr>
                <w:sz w:val="20"/>
                <w:szCs w:val="20"/>
                <w:color w:val="auto"/>
              </w:rPr>
            </w:pPr>
            <w:r>
              <w:rPr>
                <w:rFonts w:ascii="Arial" w:cs="Arial" w:eastAsia="Arial" w:hAnsi="Arial"/>
                <w:sz w:val="17"/>
                <w:szCs w:val="17"/>
                <w:color w:val="auto"/>
              </w:rPr>
              <w:t>January 31, 2022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425,974</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N/A</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311"/>
        </w:trPr>
        <w:tc>
          <w:tcPr>
            <w:tcW w:w="4520" w:type="dxa"/>
            <w:vAlign w:val="bottom"/>
            <w:gridSpan w:val="3"/>
          </w:tcPr>
          <w:p>
            <w:pPr>
              <w:spacing w:after="0"/>
              <w:rPr>
                <w:sz w:val="20"/>
                <w:szCs w:val="20"/>
                <w:color w:val="auto"/>
              </w:rPr>
            </w:pPr>
            <w:r>
              <w:rPr>
                <w:rFonts w:ascii="Arial" w:cs="Arial" w:eastAsia="Arial" w:hAnsi="Arial"/>
                <w:sz w:val="17"/>
                <w:szCs w:val="17"/>
                <w:color w:val="auto"/>
              </w:rPr>
              <w:t>John Richard</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772,371</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1.29</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September 25, 2015</w:t>
            </w:r>
          </w:p>
        </w:tc>
        <w:tc>
          <w:tcPr>
            <w:tcW w:w="1380" w:type="dxa"/>
            <w:vAlign w:val="bottom"/>
          </w:tcPr>
          <w:p>
            <w:pPr>
              <w:spacing w:after="0"/>
              <w:rPr>
                <w:sz w:val="20"/>
                <w:szCs w:val="20"/>
                <w:color w:val="auto"/>
              </w:rPr>
            </w:pPr>
            <w:r>
              <w:rPr>
                <w:rFonts w:ascii="Arial" w:cs="Arial" w:eastAsia="Arial" w:hAnsi="Arial"/>
                <w:sz w:val="17"/>
                <w:szCs w:val="17"/>
                <w:color w:val="auto"/>
                <w:w w:val="88"/>
              </w:rPr>
              <w:t>September 25, 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2.321</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June 1, 2016</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June 1, 2026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249,658</w:t>
            </w:r>
          </w:p>
        </w:tc>
        <w:tc>
          <w:tcPr>
            <w:tcW w:w="1020" w:type="dxa"/>
            <w:vAlign w:val="bottom"/>
            <w:gridSpan w:val="2"/>
          </w:tcPr>
          <w:p>
            <w:pPr>
              <w:ind w:left="460"/>
              <w:spacing w:after="0"/>
              <w:rPr>
                <w:sz w:val="20"/>
                <w:szCs w:val="20"/>
                <w:color w:val="auto"/>
              </w:rPr>
            </w:pPr>
            <w:r>
              <w:rPr>
                <w:rFonts w:ascii="Arial" w:cs="Arial" w:eastAsia="Arial" w:hAnsi="Arial"/>
                <w:sz w:val="17"/>
                <w:szCs w:val="17"/>
                <w:color w:val="auto"/>
              </w:rPr>
              <w:t>N/A</w:t>
            </w:r>
          </w:p>
        </w:tc>
        <w:tc>
          <w:tcPr>
            <w:tcW w:w="840" w:type="dxa"/>
            <w:vAlign w:val="bottom"/>
          </w:tcPr>
          <w:p>
            <w:pPr>
              <w:jc w:val="center"/>
              <w:spacing w:after="0"/>
              <w:rPr>
                <w:sz w:val="20"/>
                <w:szCs w:val="20"/>
                <w:color w:val="auto"/>
              </w:rPr>
            </w:pPr>
            <w:r>
              <w:rPr>
                <w:rFonts w:ascii="Arial" w:cs="Arial" w:eastAsia="Arial" w:hAnsi="Arial"/>
                <w:sz w:val="17"/>
                <w:szCs w:val="17"/>
                <w:color w:val="auto"/>
              </w:rPr>
              <w:t>N/A</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N/A</w:t>
            </w:r>
          </w:p>
        </w:tc>
        <w:tc>
          <w:tcPr>
            <w:tcW w:w="1380" w:type="dxa"/>
            <w:vAlign w:val="bottom"/>
          </w:tcPr>
          <w:p>
            <w:pP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Charles Sermon</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772,371</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1.29</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September 25, 2015</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w w:val="88"/>
              </w:rPr>
              <w:t>September 25, 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269,796</w:t>
            </w:r>
          </w:p>
        </w:tc>
        <w:tc>
          <w:tcPr>
            <w:tcW w:w="840" w:type="dxa"/>
            <w:vAlign w:val="bottom"/>
          </w:tcPr>
          <w:p>
            <w:pPr>
              <w:jc w:val="center"/>
              <w:spacing w:after="0"/>
              <w:rPr>
                <w:sz w:val="20"/>
                <w:szCs w:val="20"/>
                <w:color w:val="auto"/>
              </w:rPr>
            </w:pPr>
            <w:r>
              <w:rPr>
                <w:rFonts w:ascii="Arial" w:cs="Arial" w:eastAsia="Arial" w:hAnsi="Arial"/>
                <w:sz w:val="17"/>
                <w:szCs w:val="17"/>
                <w:color w:val="auto"/>
              </w:rPr>
              <w:t>nil</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June 9, 2016</w:t>
            </w:r>
          </w:p>
        </w:tc>
        <w:tc>
          <w:tcPr>
            <w:tcW w:w="1380" w:type="dxa"/>
            <w:vAlign w:val="bottom"/>
          </w:tcPr>
          <w:p>
            <w:pPr>
              <w:spacing w:after="0"/>
              <w:rPr>
                <w:sz w:val="20"/>
                <w:szCs w:val="20"/>
                <w:color w:val="auto"/>
              </w:rPr>
            </w:pPr>
            <w:r>
              <w:rPr>
                <w:rFonts w:ascii="Arial" w:cs="Arial" w:eastAsia="Arial" w:hAnsi="Arial"/>
                <w:sz w:val="17"/>
                <w:szCs w:val="17"/>
                <w:color w:val="auto"/>
              </w:rPr>
              <w:t>June 9, 2026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19,734</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nil</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April 4, 2017</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April 4, 2021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23,966</w:t>
            </w:r>
          </w:p>
        </w:tc>
        <w:tc>
          <w:tcPr>
            <w:tcW w:w="840" w:type="dxa"/>
            <w:vAlign w:val="bottom"/>
          </w:tcPr>
          <w:p>
            <w:pPr>
              <w:jc w:val="center"/>
              <w:spacing w:after="0"/>
              <w:rPr>
                <w:sz w:val="20"/>
                <w:szCs w:val="20"/>
                <w:color w:val="auto"/>
              </w:rPr>
            </w:pPr>
            <w:r>
              <w:rPr>
                <w:rFonts w:ascii="Arial" w:cs="Arial" w:eastAsia="Arial" w:hAnsi="Arial"/>
                <w:sz w:val="17"/>
                <w:szCs w:val="17"/>
                <w:color w:val="auto"/>
              </w:rPr>
              <w:t>nil</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April 26, 2018</w:t>
            </w:r>
          </w:p>
        </w:tc>
        <w:tc>
          <w:tcPr>
            <w:tcW w:w="1380" w:type="dxa"/>
            <w:vAlign w:val="bottom"/>
          </w:tcPr>
          <w:p>
            <w:pPr>
              <w:spacing w:after="0"/>
              <w:rPr>
                <w:sz w:val="20"/>
                <w:szCs w:val="20"/>
                <w:color w:val="auto"/>
              </w:rPr>
            </w:pPr>
            <w:r>
              <w:rPr>
                <w:rFonts w:ascii="Arial" w:cs="Arial" w:eastAsia="Arial" w:hAnsi="Arial"/>
                <w:sz w:val="17"/>
                <w:szCs w:val="17"/>
                <w:color w:val="auto"/>
              </w:rPr>
              <w:t>January 31, 2022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524,504</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N/A</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311"/>
        </w:trPr>
        <w:tc>
          <w:tcPr>
            <w:tcW w:w="4520" w:type="dxa"/>
            <w:vAlign w:val="bottom"/>
            <w:gridSpan w:val="3"/>
          </w:tcPr>
          <w:p>
            <w:pPr>
              <w:spacing w:after="0"/>
              <w:rPr>
                <w:sz w:val="20"/>
                <w:szCs w:val="20"/>
                <w:color w:val="auto"/>
              </w:rPr>
            </w:pPr>
            <w:r>
              <w:rPr>
                <w:rFonts w:ascii="Arial" w:cs="Arial" w:eastAsia="Arial" w:hAnsi="Arial"/>
                <w:sz w:val="17"/>
                <w:szCs w:val="17"/>
                <w:color w:val="auto"/>
              </w:rPr>
              <w:t>Alexandra (Wills) Hughes-Wilson</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30,769</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3.25</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May 2, 2018</w:t>
            </w:r>
          </w:p>
        </w:tc>
        <w:tc>
          <w:tcPr>
            <w:tcW w:w="1380" w:type="dxa"/>
            <w:vAlign w:val="bottom"/>
          </w:tcPr>
          <w:p>
            <w:pPr>
              <w:spacing w:after="0"/>
              <w:rPr>
                <w:sz w:val="20"/>
                <w:szCs w:val="20"/>
                <w:color w:val="auto"/>
              </w:rPr>
            </w:pPr>
            <w:r>
              <w:rPr>
                <w:rFonts w:ascii="Arial" w:cs="Arial" w:eastAsia="Arial" w:hAnsi="Arial"/>
                <w:sz w:val="17"/>
                <w:szCs w:val="17"/>
                <w:color w:val="auto"/>
              </w:rPr>
              <w:t>May 2, 2028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9,231</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3.25</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May 2, 2018</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May 2, 2028</w:t>
            </w:r>
          </w:p>
        </w:tc>
        <w:tc>
          <w:tcPr>
            <w:tcW w:w="0" w:type="dxa"/>
            <w:vAlign w:val="bottom"/>
          </w:tcPr>
          <w:p>
            <w:pPr>
              <w:spacing w:after="0"/>
              <w:rPr>
                <w:sz w:val="1"/>
                <w:szCs w:val="1"/>
                <w:color w:val="auto"/>
              </w:rPr>
            </w:pPr>
          </w:p>
        </w:tc>
      </w:tr>
      <w:tr>
        <w:trPr>
          <w:trHeight w:val="311"/>
        </w:trPr>
        <w:tc>
          <w:tcPr>
            <w:tcW w:w="4520" w:type="dxa"/>
            <w:vAlign w:val="bottom"/>
            <w:gridSpan w:val="3"/>
          </w:tcPr>
          <w:p>
            <w:pPr>
              <w:spacing w:after="0"/>
              <w:rPr>
                <w:sz w:val="20"/>
                <w:szCs w:val="20"/>
                <w:color w:val="auto"/>
              </w:rPr>
            </w:pPr>
            <w:r>
              <w:rPr>
                <w:rFonts w:ascii="Arial" w:cs="Arial" w:eastAsia="Arial" w:hAnsi="Arial"/>
                <w:sz w:val="17"/>
                <w:szCs w:val="17"/>
                <w:color w:val="auto"/>
              </w:rPr>
              <w:t>Peter Fellner</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1,692,673</w:t>
            </w:r>
          </w:p>
        </w:tc>
        <w:tc>
          <w:tcPr>
            <w:tcW w:w="2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1.29</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September 29, 2015</w:t>
            </w:r>
          </w:p>
        </w:tc>
        <w:tc>
          <w:tcPr>
            <w:tcW w:w="1380" w:type="dxa"/>
            <w:vAlign w:val="bottom"/>
          </w:tcPr>
          <w:p>
            <w:pPr>
              <w:spacing w:after="0"/>
              <w:rPr>
                <w:sz w:val="20"/>
                <w:szCs w:val="20"/>
                <w:color w:val="auto"/>
              </w:rPr>
            </w:pPr>
            <w:r>
              <w:rPr>
                <w:rFonts w:ascii="Arial" w:cs="Arial" w:eastAsia="Arial" w:hAnsi="Arial"/>
                <w:sz w:val="17"/>
                <w:szCs w:val="17"/>
                <w:color w:val="auto"/>
                <w:w w:val="88"/>
              </w:rPr>
              <w:t>September 29, 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10,000</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N/A</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311"/>
        </w:trPr>
        <w:tc>
          <w:tcPr>
            <w:tcW w:w="4520" w:type="dxa"/>
            <w:vAlign w:val="bottom"/>
            <w:gridSpan w:val="3"/>
          </w:tcPr>
          <w:p>
            <w:pPr>
              <w:spacing w:after="0"/>
              <w:rPr>
                <w:sz w:val="20"/>
                <w:szCs w:val="20"/>
                <w:color w:val="auto"/>
              </w:rPr>
            </w:pPr>
            <w:r>
              <w:rPr>
                <w:rFonts w:ascii="Arial" w:cs="Arial" w:eastAsia="Arial" w:hAnsi="Arial"/>
                <w:sz w:val="17"/>
                <w:szCs w:val="17"/>
                <w:color w:val="auto"/>
              </w:rPr>
              <w:t>Peter Bains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710,583</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1.29</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September 29, 2015</w:t>
            </w:r>
          </w:p>
        </w:tc>
        <w:tc>
          <w:tcPr>
            <w:tcW w:w="1380" w:type="dxa"/>
            <w:vAlign w:val="bottom"/>
          </w:tcPr>
          <w:p>
            <w:pPr>
              <w:spacing w:after="0"/>
              <w:rPr>
                <w:sz w:val="20"/>
                <w:szCs w:val="20"/>
                <w:color w:val="auto"/>
              </w:rPr>
            </w:pPr>
            <w:r>
              <w:rPr>
                <w:rFonts w:ascii="Arial" w:cs="Arial" w:eastAsia="Arial" w:hAnsi="Arial"/>
                <w:sz w:val="17"/>
                <w:szCs w:val="17"/>
                <w:color w:val="auto"/>
                <w:w w:val="88"/>
              </w:rPr>
              <w:t>September 29, 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107,906</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N/A</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311"/>
        </w:trPr>
        <w:tc>
          <w:tcPr>
            <w:tcW w:w="4520" w:type="dxa"/>
            <w:vAlign w:val="bottom"/>
            <w:gridSpan w:val="3"/>
          </w:tcPr>
          <w:p>
            <w:pPr>
              <w:spacing w:after="0"/>
              <w:rPr>
                <w:sz w:val="20"/>
                <w:szCs w:val="20"/>
                <w:color w:val="auto"/>
              </w:rPr>
            </w:pPr>
            <w:r>
              <w:rPr>
                <w:rFonts w:ascii="Arial" w:cs="Arial" w:eastAsia="Arial" w:hAnsi="Arial"/>
                <w:sz w:val="17"/>
                <w:szCs w:val="17"/>
                <w:color w:val="auto"/>
              </w:rPr>
              <w:t>Paul Blackburn</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236,974</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1.84</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May 11, 2016</w:t>
            </w:r>
          </w:p>
        </w:tc>
        <w:tc>
          <w:tcPr>
            <w:tcW w:w="1380" w:type="dxa"/>
            <w:vAlign w:val="bottom"/>
          </w:tcPr>
          <w:p>
            <w:pPr>
              <w:spacing w:after="0"/>
              <w:rPr>
                <w:sz w:val="20"/>
                <w:szCs w:val="20"/>
                <w:color w:val="auto"/>
              </w:rPr>
            </w:pPr>
            <w:r>
              <w:rPr>
                <w:rFonts w:ascii="Arial" w:cs="Arial" w:eastAsia="Arial" w:hAnsi="Arial"/>
                <w:sz w:val="17"/>
                <w:szCs w:val="17"/>
                <w:color w:val="auto"/>
              </w:rPr>
              <w:t>May 11, 2026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22,624</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N/A</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311"/>
        </w:trPr>
        <w:tc>
          <w:tcPr>
            <w:tcW w:w="4520" w:type="dxa"/>
            <w:vAlign w:val="bottom"/>
            <w:gridSpan w:val="3"/>
          </w:tcPr>
          <w:p>
            <w:pPr>
              <w:spacing w:after="0"/>
              <w:rPr>
                <w:sz w:val="20"/>
                <w:szCs w:val="20"/>
                <w:color w:val="auto"/>
              </w:rPr>
            </w:pPr>
            <w:r>
              <w:rPr>
                <w:rFonts w:ascii="Arial" w:cs="Arial" w:eastAsia="Arial" w:hAnsi="Arial"/>
                <w:sz w:val="17"/>
                <w:szCs w:val="17"/>
                <w:color w:val="auto"/>
              </w:rPr>
              <w:t>Anders Ekblom</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216,264</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1.29</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September 29, 2015</w:t>
            </w:r>
          </w:p>
        </w:tc>
        <w:tc>
          <w:tcPr>
            <w:tcW w:w="1380" w:type="dxa"/>
            <w:vAlign w:val="bottom"/>
          </w:tcPr>
          <w:p>
            <w:pPr>
              <w:spacing w:after="0"/>
              <w:rPr>
                <w:sz w:val="20"/>
                <w:szCs w:val="20"/>
                <w:color w:val="auto"/>
              </w:rPr>
            </w:pPr>
            <w:r>
              <w:rPr>
                <w:rFonts w:ascii="Arial" w:cs="Arial" w:eastAsia="Arial" w:hAnsi="Arial"/>
                <w:sz w:val="17"/>
                <w:szCs w:val="17"/>
                <w:color w:val="auto"/>
                <w:w w:val="88"/>
              </w:rPr>
              <w:t>September 29, 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93,002</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N/A</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311"/>
        </w:trPr>
        <w:tc>
          <w:tcPr>
            <w:tcW w:w="4520" w:type="dxa"/>
            <w:vAlign w:val="bottom"/>
            <w:gridSpan w:val="3"/>
          </w:tcPr>
          <w:p>
            <w:pPr>
              <w:spacing w:after="0"/>
              <w:rPr>
                <w:sz w:val="20"/>
                <w:szCs w:val="20"/>
                <w:color w:val="auto"/>
              </w:rPr>
            </w:pPr>
            <w:r>
              <w:rPr>
                <w:rFonts w:ascii="Arial" w:cs="Arial" w:eastAsia="Arial" w:hAnsi="Arial"/>
                <w:sz w:val="17"/>
                <w:szCs w:val="17"/>
                <w:color w:val="auto"/>
              </w:rPr>
              <w:t>Kunal Kashyap</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216,264</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1.29</w:t>
            </w:r>
          </w:p>
        </w:tc>
        <w:tc>
          <w:tcPr>
            <w:tcW w:w="1800" w:type="dxa"/>
            <w:vAlign w:val="bottom"/>
            <w:gridSpan w:val="3"/>
          </w:tcPr>
          <w:p>
            <w:pPr>
              <w:ind w:left="200"/>
              <w:spacing w:after="0"/>
              <w:rPr>
                <w:sz w:val="20"/>
                <w:szCs w:val="20"/>
                <w:color w:val="auto"/>
              </w:rPr>
            </w:pPr>
            <w:r>
              <w:rPr>
                <w:rFonts w:ascii="Arial" w:cs="Arial" w:eastAsia="Arial" w:hAnsi="Arial"/>
                <w:sz w:val="17"/>
                <w:szCs w:val="17"/>
                <w:color w:val="auto"/>
              </w:rPr>
              <w:t>September 29, 2015</w:t>
            </w:r>
          </w:p>
        </w:tc>
        <w:tc>
          <w:tcPr>
            <w:tcW w:w="1380" w:type="dxa"/>
            <w:vAlign w:val="bottom"/>
          </w:tcPr>
          <w:p>
            <w:pPr>
              <w:spacing w:after="0"/>
              <w:rPr>
                <w:sz w:val="20"/>
                <w:szCs w:val="20"/>
                <w:color w:val="auto"/>
              </w:rPr>
            </w:pPr>
            <w:r>
              <w:rPr>
                <w:rFonts w:ascii="Arial" w:cs="Arial" w:eastAsia="Arial" w:hAnsi="Arial"/>
                <w:sz w:val="17"/>
                <w:szCs w:val="17"/>
                <w:color w:val="auto"/>
                <w:w w:val="88"/>
              </w:rPr>
              <w:t>September 29, 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1,497,735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18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N/A</w:t>
            </w:r>
          </w:p>
        </w:tc>
        <w:tc>
          <w:tcPr>
            <w:tcW w:w="1380" w:type="dxa"/>
            <w:vAlign w:val="bottom"/>
            <w:shd w:val="clear" w:color="auto" w:fill="CCEEFF"/>
          </w:tcPr>
          <w:p>
            <w:pP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For a description of the equity incentive plans see “—E. Share Ownership—Equity Compensation Arrangements.”</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Non-Employee Directors Remuneration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table sets forth the remuneration paid during 2018 to the current non-employee directors, all of which was in the form of annual</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fees:</w:t>
      </w:r>
    </w:p>
    <w:p>
      <w:pPr>
        <w:spacing w:after="0" w:line="222" w:lineRule="exact"/>
        <w:rPr>
          <w:sz w:val="20"/>
          <w:szCs w:val="20"/>
          <w:color w:val="auto"/>
        </w:rPr>
      </w:pPr>
    </w:p>
    <w:tbl>
      <w:tblPr>
        <w:tblLayout w:type="fixed"/>
        <w:tblInd w:w="2120" w:type="dxa"/>
        <w:tblCellMar>
          <w:top w:w="0" w:type="dxa"/>
          <w:left w:w="0" w:type="dxa"/>
          <w:bottom w:w="0" w:type="dxa"/>
          <w:right w:w="0" w:type="dxa"/>
        </w:tblCellMar>
      </w:tblPr>
      <w:tr>
        <w:trPr>
          <w:trHeight w:val="185"/>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58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 xml:space="preserve">Annual Fees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r>
      <w:tr>
        <w:trPr>
          <w:trHeight w:val="193"/>
        </w:trPr>
        <w:tc>
          <w:tcPr>
            <w:tcW w:w="620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Peter Bains</w:t>
            </w:r>
          </w:p>
        </w:tc>
        <w:tc>
          <w:tcPr>
            <w:tcW w:w="920" w:type="dxa"/>
            <w:vAlign w:val="bottom"/>
            <w:tcBorders>
              <w:top w:val="single" w:sz="8" w:color="auto"/>
            </w:tcBorders>
            <w:shd w:val="clear" w:color="auto" w:fill="CCEEFF"/>
          </w:tcPr>
          <w:p>
            <w:pPr>
              <w:ind w:left="460"/>
              <w:spacing w:after="0" w:line="194" w:lineRule="exact"/>
              <w:rPr>
                <w:sz w:val="20"/>
                <w:szCs w:val="20"/>
                <w:color w:val="auto"/>
              </w:rPr>
            </w:pPr>
            <w:r>
              <w:rPr>
                <w:rFonts w:ascii="Arial" w:cs="Arial" w:eastAsia="Arial" w:hAnsi="Arial"/>
                <w:sz w:val="17"/>
                <w:szCs w:val="17"/>
                <w:color w:val="auto"/>
                <w:w w:val="84"/>
              </w:rPr>
              <w:t>44,000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07"/>
        </w:trPr>
        <w:tc>
          <w:tcPr>
            <w:tcW w:w="6200" w:type="dxa"/>
            <w:vAlign w:val="bottom"/>
            <w:gridSpan w:val="2"/>
          </w:tcPr>
          <w:p>
            <w:pPr>
              <w:spacing w:after="0"/>
              <w:rPr>
                <w:sz w:val="20"/>
                <w:szCs w:val="20"/>
                <w:color w:val="auto"/>
              </w:rPr>
            </w:pPr>
            <w:r>
              <w:rPr>
                <w:rFonts w:ascii="Arial" w:cs="Arial" w:eastAsia="Arial" w:hAnsi="Arial"/>
                <w:sz w:val="17"/>
                <w:szCs w:val="17"/>
                <w:color w:val="auto"/>
              </w:rPr>
              <w:t>Paul Blackburn</w:t>
            </w:r>
          </w:p>
        </w:tc>
        <w:tc>
          <w:tcPr>
            <w:tcW w:w="980" w:type="dxa"/>
            <w:vAlign w:val="bottom"/>
            <w:gridSpan w:val="2"/>
          </w:tcPr>
          <w:p>
            <w:pPr>
              <w:ind w:left="460"/>
              <w:spacing w:after="0"/>
              <w:rPr>
                <w:sz w:val="20"/>
                <w:szCs w:val="20"/>
                <w:color w:val="auto"/>
              </w:rPr>
            </w:pPr>
            <w:r>
              <w:rPr>
                <w:rFonts w:ascii="Arial" w:cs="Arial" w:eastAsia="Arial" w:hAnsi="Arial"/>
                <w:sz w:val="17"/>
                <w:szCs w:val="17"/>
                <w:color w:val="auto"/>
                <w:w w:val="96"/>
              </w:rPr>
              <w:t>48,000</w:t>
            </w:r>
          </w:p>
        </w:tc>
      </w:tr>
      <w:tr>
        <w:trPr>
          <w:trHeight w:val="207"/>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Anders Ekblom</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96"/>
              </w:rPr>
              <w:t>48,000</w:t>
            </w:r>
          </w:p>
        </w:tc>
      </w:tr>
      <w:tr>
        <w:trPr>
          <w:trHeight w:val="207"/>
        </w:trPr>
        <w:tc>
          <w:tcPr>
            <w:tcW w:w="6200" w:type="dxa"/>
            <w:vAlign w:val="bottom"/>
            <w:gridSpan w:val="2"/>
          </w:tcPr>
          <w:p>
            <w:pPr>
              <w:spacing w:after="0"/>
              <w:rPr>
                <w:sz w:val="20"/>
                <w:szCs w:val="20"/>
                <w:color w:val="auto"/>
              </w:rPr>
            </w:pPr>
            <w:r>
              <w:rPr>
                <w:rFonts w:ascii="Arial" w:cs="Arial" w:eastAsia="Arial" w:hAnsi="Arial"/>
                <w:sz w:val="17"/>
                <w:szCs w:val="17"/>
                <w:color w:val="auto"/>
              </w:rPr>
              <w:t>Peter Fellner</w:t>
            </w:r>
          </w:p>
        </w:tc>
        <w:tc>
          <w:tcPr>
            <w:tcW w:w="920" w:type="dxa"/>
            <w:vAlign w:val="bottom"/>
          </w:tcPr>
          <w:p>
            <w:pPr>
              <w:jc w:val="right"/>
              <w:spacing w:after="0"/>
              <w:rPr>
                <w:sz w:val="20"/>
                <w:szCs w:val="20"/>
                <w:color w:val="auto"/>
              </w:rPr>
            </w:pPr>
            <w:r>
              <w:rPr>
                <w:rFonts w:ascii="Arial" w:cs="Arial" w:eastAsia="Arial" w:hAnsi="Arial"/>
                <w:sz w:val="17"/>
                <w:szCs w:val="17"/>
                <w:color w:val="auto"/>
              </w:rPr>
              <w:t>100,000</w:t>
            </w:r>
          </w:p>
        </w:tc>
        <w:tc>
          <w:tcPr>
            <w:tcW w:w="60" w:type="dxa"/>
            <w:vAlign w:val="bottom"/>
          </w:tcPr>
          <w:p>
            <w:pPr>
              <w:spacing w:after="0"/>
              <w:rPr>
                <w:sz w:val="18"/>
                <w:szCs w:val="18"/>
                <w:color w:val="auto"/>
              </w:rPr>
            </w:pPr>
          </w:p>
        </w:tc>
      </w:tr>
      <w:tr>
        <w:trPr>
          <w:trHeight w:val="207"/>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Kunal Kashyap</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96"/>
              </w:rPr>
              <w:t>40,000</w:t>
            </w:r>
          </w:p>
        </w:tc>
      </w:tr>
    </w:tbl>
    <w:p>
      <w:pPr>
        <w:spacing w:after="0" w:line="29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Non-Employee Director Service Contracts</w:t>
      </w:r>
    </w:p>
    <w:p>
      <w:pPr>
        <w:spacing w:after="0" w:line="121" w:lineRule="exact"/>
        <w:rPr>
          <w:sz w:val="20"/>
          <w:szCs w:val="20"/>
          <w:color w:val="auto"/>
        </w:rPr>
      </w:pPr>
    </w:p>
    <w:p>
      <w:pPr>
        <w:ind w:left="440" w:right="300" w:firstLine="423"/>
        <w:spacing w:after="0" w:line="264" w:lineRule="auto"/>
        <w:rPr>
          <w:sz w:val="20"/>
          <w:szCs w:val="20"/>
          <w:color w:val="auto"/>
        </w:rPr>
      </w:pPr>
      <w:r>
        <w:rPr>
          <w:rFonts w:ascii="Arial" w:cs="Arial" w:eastAsia="Arial" w:hAnsi="Arial"/>
          <w:sz w:val="17"/>
          <w:szCs w:val="17"/>
          <w:color w:val="auto"/>
        </w:rPr>
        <w:t>The remuneration of the non-executive directors is determined by the Mereo Board as a whole, based on a review of current practices in other companies. Mereo has entered into service contracts with Mereo’s directors for their services, which are subject to a three-month termination period. There are no arrangements under which any non-executive director is entitled to receive compensation upon the early termination of his or her appointment.</w:t>
      </w:r>
    </w:p>
    <w:p>
      <w:pPr>
        <w:sectPr>
          <w:pgSz w:w="11900" w:h="16838" w:orient="portrait"/>
          <w:cols w:equalWidth="0" w:num="1">
            <w:col w:w="11000"/>
          </w:cols>
          <w:pgMar w:left="240" w:top="445" w:right="659" w:bottom="1440" w:gutter="0" w:footer="0" w:header="0"/>
        </w:sectPr>
      </w:pPr>
    </w:p>
    <w:p>
      <w:pPr>
        <w:spacing w:after="0" w:line="111" w:lineRule="exact"/>
        <w:rPr>
          <w:sz w:val="20"/>
          <w:szCs w:val="20"/>
          <w:color w:val="auto"/>
        </w:rPr>
      </w:pPr>
    </w:p>
    <w:p>
      <w:pPr>
        <w:jc w:val="center"/>
        <w:ind w:right="-419"/>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000"/>
          </w:cols>
          <w:pgMar w:left="240" w:top="445" w:right="659" w:bottom="1440" w:gutter="0" w:footer="0" w:header="0"/>
          <w:type w:val="continuous"/>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Pension, Retirement or Similar Benefits</w:t>
      </w:r>
    </w:p>
    <w:p>
      <w:pPr>
        <w:spacing w:after="0" w:line="121" w:lineRule="exact"/>
        <w:rPr>
          <w:sz w:val="20"/>
          <w:szCs w:val="20"/>
          <w:color w:val="auto"/>
        </w:rPr>
      </w:pPr>
    </w:p>
    <w:p>
      <w:pPr>
        <w:ind w:left="440" w:firstLine="423"/>
        <w:spacing w:after="0" w:line="304" w:lineRule="auto"/>
        <w:rPr>
          <w:sz w:val="20"/>
          <w:szCs w:val="20"/>
          <w:color w:val="auto"/>
        </w:rPr>
      </w:pPr>
      <w:r>
        <w:rPr>
          <w:rFonts w:ascii="Arial" w:cs="Arial" w:eastAsia="Arial" w:hAnsi="Arial"/>
          <w:sz w:val="15"/>
          <w:szCs w:val="15"/>
          <w:color w:val="auto"/>
        </w:rPr>
        <w:t>Mereo operates a defined contribution pension scheme which is available to all employees. Mereo makes payments of up to 10% of basic salary for executives (up to 15% for Mereo’s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Mereo to provide pension, retirement or similar benefits to Mereo’s current directors and Mereo’s senior management with respect to 2018 was £145,724, which represents contributions made by Mereo in 2018 in respect of a defined contribution scheme.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6.C. Board practices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Composition of the Mereo Board</w:t>
      </w:r>
    </w:p>
    <w:p>
      <w:pPr>
        <w:spacing w:after="0" w:line="121" w:lineRule="exact"/>
        <w:rPr>
          <w:sz w:val="20"/>
          <w:szCs w:val="20"/>
          <w:color w:val="auto"/>
        </w:rPr>
      </w:pPr>
    </w:p>
    <w:p>
      <w:pPr>
        <w:ind w:left="440" w:right="120" w:firstLine="423"/>
        <w:spacing w:after="0" w:line="285" w:lineRule="auto"/>
        <w:rPr>
          <w:sz w:val="20"/>
          <w:szCs w:val="20"/>
          <w:color w:val="auto"/>
        </w:rPr>
      </w:pPr>
      <w:r>
        <w:rPr>
          <w:rFonts w:ascii="Arial" w:cs="Arial" w:eastAsia="Arial" w:hAnsi="Arial"/>
          <w:sz w:val="16"/>
          <w:szCs w:val="16"/>
          <w:color w:val="auto"/>
        </w:rPr>
        <w:t>The Mereo Board currently consists of nine members. None of the members of the Mereo Board have a relationship that would interfere with the exercise of independent judgment in carrying out the responsibilities of a director and each is “independent” as that term is defined under the rules of Nasdaq. As a foreign private issuer, Mereo is not required to meet the Nasdaq rule that the Mereo Board be comprised of a majority of independent directors. However, Mereo currently complies and intends to continue to comply with this requirement.</w:t>
      </w:r>
    </w:p>
    <w:p>
      <w:pPr>
        <w:spacing w:after="0" w:line="162" w:lineRule="exact"/>
        <w:rPr>
          <w:sz w:val="20"/>
          <w:szCs w:val="20"/>
          <w:color w:val="auto"/>
        </w:rPr>
      </w:pPr>
    </w:p>
    <w:p>
      <w:pPr>
        <w:ind w:left="440" w:right="20" w:firstLine="423"/>
        <w:spacing w:after="0" w:line="276" w:lineRule="auto"/>
        <w:rPr>
          <w:sz w:val="20"/>
          <w:szCs w:val="20"/>
          <w:color w:val="auto"/>
        </w:rPr>
      </w:pPr>
      <w:r>
        <w:rPr>
          <w:rFonts w:ascii="Arial" w:cs="Arial" w:eastAsia="Arial" w:hAnsi="Arial"/>
          <w:sz w:val="16"/>
          <w:szCs w:val="16"/>
          <w:color w:val="auto"/>
        </w:rPr>
        <w:t>In accordance with Mereo’s Articles, each of its directors serves for a term of three years. Retiring directors are eligible for re-election and, if no other director is elected to fill his or her position and the director is willing, shall be re-elected by default. The current term for all of its directors expires in 2021, except for Mr. Jones, whose current term expires in 2020, and for Michael S. Wyzga and Deepika R. Pakianathan, who each will retire at Mereo’s next annual general meeting. The Articles provide that if a director has been appointed by the Mereo Board since the previous annual general meeting, he or she shall retire. In accordance with the Articles, Mr. Wyzga and Ms. Pakianathan shall both retire but will be eligible for re-appointment at Mereo’s next annual general meeting. Mereo’s shareholders elect directors in accordance with Mereo’s Articles. If Mereo’s shareholders do not elect a new director, then the retiring director may, if willing to serve, continue as a director. See “Item 10. Additional Information—B. Memorandum and Articles of Association—Directors—Appointment of Directors.”</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Insurance and Indemnification</w:t>
      </w:r>
    </w:p>
    <w:p>
      <w:pPr>
        <w:spacing w:after="0" w:line="115"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To the extent permitted by the U.K. Companies Act 2006, Mereo is empowered to indemnify its directors against any liability they incur by reason of their directorship. Mereo maintains directors’ and officers’ insurance to ensure such persons against certain liabilities. Mereo has entered into a deed of indemnity with each of its directors.</w:t>
      </w:r>
    </w:p>
    <w:p>
      <w:pPr>
        <w:spacing w:after="0" w:line="171" w:lineRule="exact"/>
        <w:rPr>
          <w:sz w:val="20"/>
          <w:szCs w:val="20"/>
          <w:color w:val="auto"/>
        </w:rPr>
      </w:pPr>
    </w:p>
    <w:p>
      <w:pPr>
        <w:ind w:left="440" w:right="120" w:firstLine="423"/>
        <w:spacing w:after="0" w:line="269" w:lineRule="auto"/>
        <w:rPr>
          <w:sz w:val="20"/>
          <w:szCs w:val="20"/>
          <w:color w:val="auto"/>
        </w:rPr>
      </w:pPr>
      <w:r>
        <w:rPr>
          <w:rFonts w:ascii="Arial" w:cs="Arial" w:eastAsia="Arial" w:hAnsi="Arial"/>
          <w:sz w:val="17"/>
          <w:szCs w:val="17"/>
          <w:color w:val="auto"/>
        </w:rPr>
        <w:t>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Committees of the Mereo Board</w:t>
      </w:r>
    </w:p>
    <w:p>
      <w:pPr>
        <w:spacing w:after="0" w:line="121" w:lineRule="exact"/>
        <w:rPr>
          <w:sz w:val="20"/>
          <w:szCs w:val="20"/>
          <w:color w:val="auto"/>
        </w:rPr>
      </w:pPr>
    </w:p>
    <w:p>
      <w:pPr>
        <w:ind w:left="440" w:right="80" w:firstLine="423"/>
        <w:spacing w:after="0" w:line="284" w:lineRule="auto"/>
        <w:rPr>
          <w:sz w:val="20"/>
          <w:szCs w:val="20"/>
          <w:color w:val="auto"/>
        </w:rPr>
      </w:pPr>
      <w:r>
        <w:rPr>
          <w:rFonts w:ascii="Arial" w:cs="Arial" w:eastAsia="Arial" w:hAnsi="Arial"/>
          <w:sz w:val="17"/>
          <w:szCs w:val="17"/>
          <w:color w:val="auto"/>
        </w:rPr>
        <w:t>The Mereo Board has four standing committees: an audit and risk committee, a remuneration committee, a nomination committee, and a research and development committee.</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Audit and Risk Committee</w:t>
      </w:r>
    </w:p>
    <w:p>
      <w:pPr>
        <w:spacing w:after="0" w:line="115" w:lineRule="exact"/>
        <w:rPr>
          <w:sz w:val="20"/>
          <w:szCs w:val="20"/>
          <w:color w:val="auto"/>
        </w:rPr>
      </w:pPr>
    </w:p>
    <w:p>
      <w:pPr>
        <w:ind w:left="440" w:right="220" w:firstLine="423"/>
        <w:spacing w:after="0" w:line="279" w:lineRule="auto"/>
        <w:rPr>
          <w:sz w:val="20"/>
          <w:szCs w:val="20"/>
          <w:color w:val="auto"/>
        </w:rPr>
      </w:pPr>
      <w:r>
        <w:rPr>
          <w:rFonts w:ascii="Arial" w:cs="Arial" w:eastAsia="Arial" w:hAnsi="Arial"/>
          <w:sz w:val="16"/>
          <w:szCs w:val="16"/>
          <w:color w:val="auto"/>
        </w:rPr>
        <w:t>The audit and risk committee, which consists of Paul Blackburn, Kunal Kashyap and Anders Ekblom, assists the board in overseeing Mereo’s accounting and financial reporting processes and the audits of Mereo’s financial statements. Mr. Blackburn serves as Chairman of the committee. The audit and risk committee consists exclusively of members of the Mereo Board who are financially literate, and Mr. Blackburn is considered an “audit committee financial expert” as defined by applicable SEC rules and has the requisite financial sophistication as defined under the applicable Nasdaq rules and regulations. All of the members of the audit and risk committee satisfy the “independence” requirements set forth in Rule 10A-3 under the Exchange Act. The audit and risk committee is governed by a charter that complies with Nasdaq rules.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980"/>
          </w:cols>
          <w:pgMar w:left="240" w:top="445" w:right="67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audit and risk committee’s responsibilities include:</w:t>
      </w:r>
    </w:p>
    <w:p>
      <w:pPr>
        <w:spacing w:after="0" w:line="128" w:lineRule="exact"/>
        <w:rPr>
          <w:sz w:val="20"/>
          <w:szCs w:val="20"/>
          <w:color w:val="auto"/>
        </w:rPr>
      </w:pPr>
    </w:p>
    <w:p>
      <w:pPr>
        <w:ind w:left="1260" w:hanging="415"/>
        <w:spacing w:after="0"/>
        <w:tabs>
          <w:tab w:leader="none" w:pos="1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recommending the appointment of the independent auditor to the general meeting of shareholders;</w:t>
      </w:r>
    </w:p>
    <w:p>
      <w:pPr>
        <w:spacing w:after="0" w:line="128" w:lineRule="exact"/>
        <w:rPr>
          <w:rFonts w:ascii="Arial" w:cs="Arial" w:eastAsia="Arial" w:hAnsi="Arial"/>
          <w:sz w:val="17"/>
          <w:szCs w:val="17"/>
          <w:color w:val="auto"/>
        </w:rPr>
      </w:pPr>
    </w:p>
    <w:p>
      <w:pPr>
        <w:ind w:left="1260" w:right="340" w:hanging="415"/>
        <w:spacing w:after="0" w:line="284" w:lineRule="auto"/>
        <w:tabs>
          <w:tab w:leader="none" w:pos="1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appointment, compensation, retention and oversight of any accounting firm engaged for the purpose of preparing or issuing an audit report or performing other audit services;</w:t>
      </w:r>
    </w:p>
    <w:p>
      <w:pPr>
        <w:spacing w:after="0" w:line="68" w:lineRule="exact"/>
        <w:rPr>
          <w:rFonts w:ascii="Arial" w:cs="Arial" w:eastAsia="Arial" w:hAnsi="Arial"/>
          <w:sz w:val="17"/>
          <w:szCs w:val="17"/>
          <w:color w:val="auto"/>
        </w:rPr>
      </w:pPr>
    </w:p>
    <w:p>
      <w:pPr>
        <w:ind w:left="1260" w:right="380" w:hanging="415"/>
        <w:spacing w:after="0" w:line="284" w:lineRule="auto"/>
        <w:tabs>
          <w:tab w:leader="none" w:pos="1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pre-approving the audit services and non-audit services to be provided by Mereo’s independent auditor before the auditor is engaged to render such services;</w:t>
      </w:r>
    </w:p>
    <w:p>
      <w:pPr>
        <w:spacing w:after="0" w:line="68" w:lineRule="exact"/>
        <w:rPr>
          <w:rFonts w:ascii="Arial" w:cs="Arial" w:eastAsia="Arial" w:hAnsi="Arial"/>
          <w:sz w:val="17"/>
          <w:szCs w:val="17"/>
          <w:color w:val="auto"/>
        </w:rPr>
      </w:pPr>
    </w:p>
    <w:p>
      <w:pPr>
        <w:ind w:left="1260" w:right="260" w:hanging="415"/>
        <w:spacing w:after="0" w:line="284" w:lineRule="auto"/>
        <w:tabs>
          <w:tab w:leader="none" w:pos="1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evaluating the independent auditor’s qualifications, performance and independence, and presenting its conclusions to the full board on at least an annual basis;</w:t>
      </w:r>
    </w:p>
    <w:p>
      <w:pPr>
        <w:spacing w:after="0" w:line="68" w:lineRule="exact"/>
        <w:rPr>
          <w:rFonts w:ascii="Arial" w:cs="Arial" w:eastAsia="Arial" w:hAnsi="Arial"/>
          <w:sz w:val="17"/>
          <w:szCs w:val="17"/>
          <w:color w:val="auto"/>
        </w:rPr>
      </w:pPr>
    </w:p>
    <w:p>
      <w:pPr>
        <w:ind w:left="1260" w:right="420" w:hanging="415"/>
        <w:spacing w:after="0" w:line="284" w:lineRule="auto"/>
        <w:tabs>
          <w:tab w:leader="none" w:pos="1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reviewing and discussing with the executive officers, the board, and the independent auditor Mereo’s financial statements and Mereo’s financial reporting process; and</w:t>
      </w:r>
    </w:p>
    <w:p>
      <w:pPr>
        <w:spacing w:after="0" w:line="68" w:lineRule="exact"/>
        <w:rPr>
          <w:rFonts w:ascii="Arial" w:cs="Arial" w:eastAsia="Arial" w:hAnsi="Arial"/>
          <w:sz w:val="17"/>
          <w:szCs w:val="17"/>
          <w:color w:val="auto"/>
        </w:rPr>
      </w:pPr>
    </w:p>
    <w:p>
      <w:pPr>
        <w:ind w:left="1260" w:right="180" w:hanging="415"/>
        <w:spacing w:after="0" w:line="284" w:lineRule="auto"/>
        <w:tabs>
          <w:tab w:leader="none" w:pos="1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approving or ratifying any related person transaction (as defined in Mereo’s related person transaction policy) in accordance with Mereo’s related person transaction policy.</w:t>
      </w:r>
    </w:p>
    <w:p>
      <w:pPr>
        <w:spacing w:after="0" w:line="159" w:lineRule="exact"/>
        <w:rPr>
          <w:sz w:val="20"/>
          <w:szCs w:val="20"/>
          <w:color w:val="auto"/>
        </w:rPr>
      </w:pPr>
    </w:p>
    <w:p>
      <w:pPr>
        <w:ind w:left="440" w:right="200" w:firstLine="423"/>
        <w:spacing w:after="0" w:line="269" w:lineRule="auto"/>
        <w:rPr>
          <w:sz w:val="20"/>
          <w:szCs w:val="20"/>
          <w:color w:val="auto"/>
        </w:rPr>
      </w:pPr>
      <w:r>
        <w:rPr>
          <w:rFonts w:ascii="Arial" w:cs="Arial" w:eastAsia="Arial" w:hAnsi="Arial"/>
          <w:sz w:val="17"/>
          <w:szCs w:val="17"/>
          <w:color w:val="auto"/>
        </w:rPr>
        <w:t>The audit and risk committee meets as often as one or more members of the audit and risk committee deem necessary, but in any event meets at least four times per year. The audit and risk committee meets at least once per year with Mereo’s independent accountant, without Mereo’s senior management being present.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Remuneration Committee</w:t>
      </w:r>
    </w:p>
    <w:p>
      <w:pPr>
        <w:spacing w:after="0" w:line="115" w:lineRule="exact"/>
        <w:rPr>
          <w:sz w:val="20"/>
          <w:szCs w:val="20"/>
          <w:color w:val="auto"/>
        </w:rPr>
      </w:pPr>
    </w:p>
    <w:p>
      <w:pPr>
        <w:ind w:left="440" w:firstLine="423"/>
        <w:spacing w:after="0" w:line="281" w:lineRule="auto"/>
        <w:rPr>
          <w:sz w:val="20"/>
          <w:szCs w:val="20"/>
          <w:color w:val="auto"/>
        </w:rPr>
      </w:pPr>
      <w:r>
        <w:rPr>
          <w:rFonts w:ascii="Arial" w:cs="Arial" w:eastAsia="Arial" w:hAnsi="Arial"/>
          <w:sz w:val="16"/>
          <w:szCs w:val="16"/>
          <w:color w:val="auto"/>
        </w:rPr>
        <w:t>The remuneration committee, which consists of Peter Bains and Anders Ekblom, assists the board in determining senior management compensation. Dr. Ekblom serves as Chairman of the committee. Under SEC and Nasdaq rules, there are heightened independence standards for members of the remuneration committee, including a prohibition against the receipt of any compensation from Mereo other than standard board member fees. However, foreign private issuers are not required to meet this heightened standard. Nonetheless, Mr. Bains and Dr. Ekblom meet this heightened standard. The remuneration committee is governed by a charter that complies with Nasdaq rules.</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remuneration committee’s responsibilities include:</w:t>
      </w:r>
    </w:p>
    <w:p>
      <w:pPr>
        <w:spacing w:after="0" w:line="128" w:lineRule="exact"/>
        <w:rPr>
          <w:sz w:val="20"/>
          <w:szCs w:val="20"/>
          <w:color w:val="auto"/>
        </w:rPr>
      </w:pPr>
    </w:p>
    <w:p>
      <w:pPr>
        <w:ind w:left="1260" w:hanging="415"/>
        <w:spacing w:after="0"/>
        <w:tabs>
          <w:tab w:leader="none" w:pos="1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identifying, reviewing, and proposing policies relevant to senior management compensation;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evaluating each member of senior management’s performance in light of such policies and reporting to the board;</w:t>
      </w:r>
    </w:p>
    <w:p>
      <w:pPr>
        <w:spacing w:after="0" w:line="128" w:lineRule="exact"/>
        <w:rPr>
          <w:rFonts w:ascii="Arial" w:cs="Arial" w:eastAsia="Arial" w:hAnsi="Arial"/>
          <w:sz w:val="17"/>
          <w:szCs w:val="17"/>
          <w:color w:val="auto"/>
        </w:rPr>
      </w:pPr>
    </w:p>
    <w:p>
      <w:pPr>
        <w:ind w:left="1260" w:right="880" w:hanging="415"/>
        <w:spacing w:after="0" w:line="284" w:lineRule="auto"/>
        <w:tabs>
          <w:tab w:leader="none" w:pos="1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analyzing the possible outcomes of the variable compensation components and how they may affect the compensation of senior management;</w:t>
      </w:r>
    </w:p>
    <w:p>
      <w:pPr>
        <w:spacing w:after="0" w:line="68" w:lineRule="exact"/>
        <w:rPr>
          <w:rFonts w:ascii="Arial" w:cs="Arial" w:eastAsia="Arial" w:hAnsi="Arial"/>
          <w:sz w:val="17"/>
          <w:szCs w:val="17"/>
          <w:color w:val="auto"/>
        </w:rPr>
      </w:pPr>
    </w:p>
    <w:p>
      <w:pPr>
        <w:ind w:left="1260" w:right="720" w:hanging="415"/>
        <w:spacing w:after="0" w:line="316" w:lineRule="auto"/>
        <w:tabs>
          <w:tab w:leader="none" w:pos="12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recommending any equity long-term incentive component of each member of senior management’s compensation in line with any compensation policy and reviewing Mereo’s senior management compensation and benefits policies generally; and</w:t>
      </w:r>
    </w:p>
    <w:p>
      <w:pPr>
        <w:spacing w:after="0" w:line="46" w:lineRule="exact"/>
        <w:rPr>
          <w:rFonts w:ascii="Arial" w:cs="Arial" w:eastAsia="Arial" w:hAnsi="Arial"/>
          <w:sz w:val="16"/>
          <w:szCs w:val="16"/>
          <w:color w:val="auto"/>
        </w:rPr>
      </w:pPr>
    </w:p>
    <w:p>
      <w:pPr>
        <w:ind w:left="1260" w:hanging="415"/>
        <w:spacing w:after="0"/>
        <w:tabs>
          <w:tab w:leader="none" w:pos="1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reviewing and assessing risks arising from Mereo’s compensation policies and practices.</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Nomination Committee</w:t>
      </w:r>
    </w:p>
    <w:p>
      <w:pPr>
        <w:spacing w:after="0" w:line="115" w:lineRule="exact"/>
        <w:rPr>
          <w:sz w:val="20"/>
          <w:szCs w:val="20"/>
          <w:color w:val="auto"/>
        </w:rPr>
      </w:pPr>
    </w:p>
    <w:p>
      <w:pPr>
        <w:ind w:left="440" w:right="160" w:firstLine="423"/>
        <w:spacing w:after="0" w:line="264" w:lineRule="auto"/>
        <w:rPr>
          <w:sz w:val="20"/>
          <w:szCs w:val="20"/>
          <w:color w:val="auto"/>
        </w:rPr>
      </w:pPr>
      <w:r>
        <w:rPr>
          <w:rFonts w:ascii="Arial" w:cs="Arial" w:eastAsia="Arial" w:hAnsi="Arial"/>
          <w:sz w:val="17"/>
          <w:szCs w:val="17"/>
          <w:color w:val="auto"/>
        </w:rPr>
        <w:t>The nomination committee, which consists of Peter Bains, Anders Ekblom, and Peter Fellner, assists the Mereo Board in identifying individuals qualified to become members of the Mereo Board and senior management consistent with criteria established by the Mereo Board and in developing Mereo’s corporate governance principles. Dr. Fellner serves as Chairman of the nomination committee. The nomination committee is governed by a charter that complies with Nasdaq rules.</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nomination committee’s responsibilities include:</w:t>
      </w:r>
    </w:p>
    <w:p>
      <w:pPr>
        <w:spacing w:after="0" w:line="128" w:lineRule="exact"/>
        <w:rPr>
          <w:sz w:val="20"/>
          <w:szCs w:val="20"/>
          <w:color w:val="auto"/>
        </w:rPr>
      </w:pPr>
    </w:p>
    <w:p>
      <w:pPr>
        <w:ind w:left="5580" w:right="4320" w:hanging="4735"/>
        <w:spacing w:after="0" w:line="502" w:lineRule="auto"/>
        <w:tabs>
          <w:tab w:leader="none" w:pos="12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drawing up selection criteria and appointment procedures for board members; 127</w:t>
      </w:r>
    </w:p>
    <w:p>
      <w:pPr>
        <w:sectPr>
          <w:pgSz w:w="11900" w:h="16838" w:orient="portrait"/>
          <w:cols w:equalWidth="0" w:num="1">
            <w:col w:w="10960"/>
          </w:cols>
          <w:pgMar w:left="240" w:top="445" w:right="69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60" w:hanging="415"/>
        <w:spacing w:after="0" w:line="284" w:lineRule="auto"/>
        <w:tabs>
          <w:tab w:leader="none" w:pos="12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reviewing and evaluating the size and composition of the Mereo Board and making a proposal for a composition profile of the board at least annually;</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recommending nominees for election to the Mereo Board and its corresponding committees;</w:t>
      </w:r>
    </w:p>
    <w:p>
      <w:pPr>
        <w:spacing w:after="0" w:line="128" w:lineRule="exact"/>
        <w:rPr>
          <w:rFonts w:ascii="Arial" w:cs="Arial" w:eastAsia="Arial" w:hAnsi="Arial"/>
          <w:sz w:val="17"/>
          <w:szCs w:val="17"/>
          <w:color w:val="auto"/>
        </w:rPr>
      </w:pPr>
    </w:p>
    <w:p>
      <w:pPr>
        <w:ind w:left="1260" w:right="340" w:hanging="415"/>
        <w:spacing w:after="0" w:line="284" w:lineRule="auto"/>
        <w:tabs>
          <w:tab w:leader="none" w:pos="12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assessing the functioning of individual members of the board and senior management and reporting the results of such assessment to the board; and</w:t>
      </w:r>
    </w:p>
    <w:p>
      <w:pPr>
        <w:spacing w:after="0" w:line="68" w:lineRule="exact"/>
        <w:rPr>
          <w:rFonts w:ascii="Arial" w:cs="Arial" w:eastAsia="Arial" w:hAnsi="Arial"/>
          <w:sz w:val="17"/>
          <w:szCs w:val="17"/>
          <w:color w:val="auto"/>
        </w:rPr>
      </w:pPr>
    </w:p>
    <w:p>
      <w:pPr>
        <w:ind w:left="1260" w:right="160" w:hanging="415"/>
        <w:spacing w:after="0" w:line="284" w:lineRule="auto"/>
        <w:tabs>
          <w:tab w:leader="none" w:pos="12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developing and recommending to the board rules governing the board, reviewing and reassessing the adequacy of such rules governing the board, and recommending any proposed changes to the board.</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Research and Development Committee</w:t>
      </w:r>
    </w:p>
    <w:p>
      <w:pPr>
        <w:spacing w:after="0" w:line="115" w:lineRule="exact"/>
        <w:rPr>
          <w:sz w:val="20"/>
          <w:szCs w:val="20"/>
          <w:color w:val="auto"/>
        </w:rPr>
      </w:pPr>
    </w:p>
    <w:p>
      <w:pPr>
        <w:jc w:val="both"/>
        <w:ind w:left="440" w:right="160" w:firstLine="423"/>
        <w:spacing w:after="0" w:line="269" w:lineRule="auto"/>
        <w:rPr>
          <w:sz w:val="20"/>
          <w:szCs w:val="20"/>
          <w:color w:val="auto"/>
        </w:rPr>
      </w:pPr>
      <w:r>
        <w:rPr>
          <w:rFonts w:ascii="Arial" w:cs="Arial" w:eastAsia="Arial" w:hAnsi="Arial"/>
          <w:sz w:val="17"/>
          <w:szCs w:val="17"/>
          <w:color w:val="auto"/>
        </w:rPr>
        <w:t>The research and development committee, which consists of Peter Bains and Anders Ekblom, assists Mereo’s senior management with oversight and guidance related to research and development matters and provides guidance and makes recommendations to the Mereo Board regarding research and development matters.</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research and development committee’s responsibilities include oversight of:</w:t>
      </w:r>
    </w:p>
    <w:p>
      <w:pPr>
        <w:spacing w:after="0" w:line="128" w:lineRule="exact"/>
        <w:rPr>
          <w:sz w:val="20"/>
          <w:szCs w:val="20"/>
          <w:color w:val="auto"/>
        </w:rPr>
      </w:pPr>
    </w:p>
    <w:p>
      <w:pPr>
        <w:ind w:left="1260" w:hanging="415"/>
        <w:spacing w:after="0"/>
        <w:tabs>
          <w:tab w:leader="none" w:pos="1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Mereo’s strategic development plans for products, taking into account any regulatory feedback;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acquisition of new products.</w:t>
      </w:r>
    </w:p>
    <w:p>
      <w:pPr>
        <w:spacing w:after="0" w:line="219"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In addition, the research and development committee is tasked with keeping itself informed of strategic issues and commercial changes affecting Mereo’s development programs and potential product acquisitions.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6.D. Employees</w:t>
      </w:r>
    </w:p>
    <w:p>
      <w:pPr>
        <w:spacing w:after="0" w:line="121" w:lineRule="exact"/>
        <w:rPr>
          <w:sz w:val="20"/>
          <w:szCs w:val="20"/>
          <w:color w:val="auto"/>
        </w:rPr>
      </w:pPr>
    </w:p>
    <w:p>
      <w:pPr>
        <w:jc w:val="both"/>
        <w:ind w:left="440" w:right="40" w:firstLine="423"/>
        <w:spacing w:after="0" w:line="269" w:lineRule="auto"/>
        <w:rPr>
          <w:sz w:val="20"/>
          <w:szCs w:val="20"/>
          <w:color w:val="auto"/>
        </w:rPr>
      </w:pPr>
      <w:r>
        <w:rPr>
          <w:rFonts w:ascii="Arial" w:cs="Arial" w:eastAsia="Arial" w:hAnsi="Arial"/>
          <w:sz w:val="17"/>
          <w:szCs w:val="17"/>
          <w:color w:val="auto"/>
        </w:rPr>
        <w:t>As of December 31, 2018, 2017 and 2016, Mereo had 37, 31 and 24 employees, respectively. Following the Merger, Mereo had 50 employees. All of Mereo’s employees are engaged in either general and administrative or research and development functions. None of Mereo’s employees are covered by a collective bargaining agreement.</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6.E. Share Ownership</w:t>
      </w:r>
    </w:p>
    <w:p>
      <w:pPr>
        <w:spacing w:after="0" w:line="121" w:lineRule="exact"/>
        <w:rPr>
          <w:sz w:val="20"/>
          <w:szCs w:val="20"/>
          <w:color w:val="auto"/>
        </w:rPr>
      </w:pPr>
    </w:p>
    <w:p>
      <w:pPr>
        <w:ind w:left="440" w:right="180" w:firstLine="423"/>
        <w:spacing w:after="0" w:line="284" w:lineRule="auto"/>
        <w:rPr>
          <w:sz w:val="20"/>
          <w:szCs w:val="20"/>
          <w:color w:val="auto"/>
        </w:rPr>
      </w:pPr>
      <w:r>
        <w:rPr>
          <w:rFonts w:ascii="Arial" w:cs="Arial" w:eastAsia="Arial" w:hAnsi="Arial"/>
          <w:sz w:val="17"/>
          <w:szCs w:val="17"/>
          <w:color w:val="auto"/>
        </w:rPr>
        <w:t>The following table sets forth information relating to the beneficial ownership of Mereo ordinary shares as of April 24, 2019 by each member of the Mereo Board and each of Mereo’s other executive officers.</w:t>
      </w:r>
    </w:p>
    <w:p>
      <w:pPr>
        <w:spacing w:after="0" w:line="159"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The number of Mereo ordinary shares beneficially owned by each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24, 2019 through the exercise of any option, warrant or other right. Except as otherwise indicated, and subject to applicable community property laws, the persons named in the table have sole voting and investment power with respect to all Mereo ordinary shares held by that person.</w:t>
      </w:r>
    </w:p>
    <w:p>
      <w:pPr>
        <w:spacing w:after="0" w:line="180" w:lineRule="exact"/>
        <w:rPr>
          <w:sz w:val="20"/>
          <w:szCs w:val="20"/>
          <w:color w:val="auto"/>
        </w:rPr>
      </w:pPr>
    </w:p>
    <w:p>
      <w:pPr>
        <w:ind w:left="440" w:right="40" w:firstLine="423"/>
        <w:spacing w:after="0" w:line="301" w:lineRule="auto"/>
        <w:rPr>
          <w:sz w:val="20"/>
          <w:szCs w:val="20"/>
          <w:color w:val="auto"/>
        </w:rPr>
      </w:pPr>
      <w:r>
        <w:rPr>
          <w:rFonts w:ascii="Arial" w:cs="Arial" w:eastAsia="Arial" w:hAnsi="Arial"/>
          <w:sz w:val="15"/>
          <w:szCs w:val="15"/>
          <w:color w:val="auto"/>
        </w:rPr>
        <w:t>The percentage of Mereo ordinary shares beneficially owned as of April 24, 2019 is computed on the basis of 96,023,592 Mereo ordinary shares outstanding as of April 24, 2019. As of the date of this annual report, Mereo’s share capital (fully subscribed and paid up) is 96,023,592 Mereo ordinary shares. Mereo ordinary shares that a person has the right to acquire within 60 days of April 24, 2019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4th Floor, One Cavendish Place, London W1G 0QF, United Kingdom</w:t>
      </w:r>
    </w:p>
    <w:p>
      <w:pPr>
        <w:spacing w:after="0" w:line="8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000"/>
          </w:cols>
          <w:pgMar w:left="240" w:top="445" w:right="65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20" w:type="dxa"/>
            <w:vAlign w:val="bottom"/>
          </w:tcPr>
          <w:p>
            <w:pPr>
              <w:jc w:val="center"/>
              <w:ind w:right="338"/>
              <w:spacing w:after="0"/>
              <w:rPr>
                <w:sz w:val="20"/>
                <w:szCs w:val="20"/>
                <w:color w:val="auto"/>
              </w:rPr>
            </w:pPr>
            <w:r>
              <w:rPr>
                <w:rFonts w:ascii="Arial" w:cs="Arial" w:eastAsia="Arial" w:hAnsi="Arial"/>
                <w:sz w:val="14"/>
                <w:szCs w:val="14"/>
                <w:b w:val="1"/>
                <w:bCs w:val="1"/>
                <w:color w:val="auto"/>
                <w:w w:val="92"/>
              </w:rPr>
              <w:t>Number of ordinary</w:t>
            </w:r>
          </w:p>
        </w:tc>
        <w:tc>
          <w:tcPr>
            <w:tcW w:w="1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 of ordinary</w:t>
            </w:r>
          </w:p>
        </w:tc>
        <w:tc>
          <w:tcPr>
            <w:tcW w:w="0" w:type="dxa"/>
            <w:vAlign w:val="bottom"/>
          </w:tcPr>
          <w:p>
            <w:pPr>
              <w:spacing w:after="0"/>
              <w:rPr>
                <w:sz w:val="1"/>
                <w:szCs w:val="1"/>
                <w:color w:val="auto"/>
              </w:rPr>
            </w:pPr>
          </w:p>
        </w:tc>
      </w:tr>
      <w:tr>
        <w:trPr>
          <w:trHeight w:val="142"/>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620" w:type="dxa"/>
            <w:vAlign w:val="bottom"/>
          </w:tcPr>
          <w:p>
            <w:pPr>
              <w:jc w:val="center"/>
              <w:ind w:right="358"/>
              <w:spacing w:after="0" w:line="143" w:lineRule="exact"/>
              <w:rPr>
                <w:sz w:val="20"/>
                <w:szCs w:val="20"/>
                <w:color w:val="auto"/>
              </w:rPr>
            </w:pPr>
            <w:r>
              <w:rPr>
                <w:rFonts w:ascii="Arial" w:cs="Arial" w:eastAsia="Arial" w:hAnsi="Arial"/>
                <w:sz w:val="14"/>
                <w:szCs w:val="14"/>
                <w:b w:val="1"/>
                <w:bCs w:val="1"/>
                <w:color w:val="auto"/>
                <w:w w:val="86"/>
              </w:rPr>
              <w:t>shares Beneficially</w:t>
            </w:r>
          </w:p>
        </w:tc>
        <w:tc>
          <w:tcPr>
            <w:tcW w:w="190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58"/>
        </w:trPr>
        <w:tc>
          <w:tcPr>
            <w:tcW w:w="4500" w:type="dxa"/>
            <w:vAlign w:val="bottom"/>
            <w:gridSpan w:val="2"/>
            <w:vMerge w:val="continue"/>
          </w:tcPr>
          <w:p>
            <w:pPr>
              <w:spacing w:after="0"/>
              <w:rPr>
                <w:sz w:val="13"/>
                <w:szCs w:val="13"/>
                <w:color w:val="auto"/>
              </w:rPr>
            </w:pPr>
          </w:p>
        </w:tc>
        <w:tc>
          <w:tcPr>
            <w:tcW w:w="1620" w:type="dxa"/>
            <w:vAlign w:val="bottom"/>
          </w:tcPr>
          <w:p>
            <w:pPr>
              <w:jc w:val="center"/>
              <w:ind w:right="358"/>
              <w:spacing w:after="0" w:line="152" w:lineRule="exact"/>
              <w:rPr>
                <w:sz w:val="20"/>
                <w:szCs w:val="20"/>
                <w:color w:val="auto"/>
              </w:rPr>
            </w:pPr>
            <w:r>
              <w:rPr>
                <w:rFonts w:ascii="Arial" w:cs="Arial" w:eastAsia="Arial" w:hAnsi="Arial"/>
                <w:sz w:val="14"/>
                <w:szCs w:val="14"/>
                <w:b w:val="1"/>
                <w:bCs w:val="1"/>
                <w:color w:val="auto"/>
                <w:w w:val="90"/>
              </w:rPr>
              <w:t>Owned(1)</w:t>
            </w:r>
          </w:p>
        </w:tc>
        <w:tc>
          <w:tcPr>
            <w:tcW w:w="1900" w:type="dxa"/>
            <w:vAlign w:val="bottom"/>
            <w:gridSpan w:val="2"/>
          </w:tcPr>
          <w:p>
            <w:pPr>
              <w:jc w:val="right"/>
              <w:ind w:right="500"/>
              <w:spacing w:after="0" w:line="152" w:lineRule="exact"/>
              <w:rPr>
                <w:sz w:val="20"/>
                <w:szCs w:val="20"/>
                <w:color w:val="auto"/>
              </w:rPr>
            </w:pPr>
            <w:r>
              <w:rPr>
                <w:rFonts w:ascii="Arial" w:cs="Arial" w:eastAsia="Arial" w:hAnsi="Arial"/>
                <w:sz w:val="14"/>
                <w:szCs w:val="14"/>
                <w:b w:val="1"/>
                <w:bCs w:val="1"/>
                <w:color w:val="auto"/>
              </w:rPr>
              <w:t>Owned(1)</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tcPr>
          <w:p>
            <w:pPr>
              <w:spacing w:after="0"/>
              <w:rPr>
                <w:sz w:val="12"/>
                <w:szCs w:val="12"/>
                <w:color w:val="auto"/>
              </w:rPr>
            </w:pPr>
          </w:p>
        </w:tc>
        <w:tc>
          <w:tcPr>
            <w:tcW w:w="3000" w:type="dxa"/>
            <w:vAlign w:val="bottom"/>
          </w:tcPr>
          <w:p>
            <w:pPr>
              <w:spacing w:after="0"/>
              <w:rPr>
                <w:sz w:val="12"/>
                <w:szCs w:val="12"/>
                <w:color w:val="auto"/>
              </w:rPr>
            </w:pPr>
          </w:p>
        </w:tc>
        <w:tc>
          <w:tcPr>
            <w:tcW w:w="3400" w:type="dxa"/>
            <w:vAlign w:val="bottom"/>
            <w:tcBorders>
              <w:top w:val="single" w:sz="8" w:color="auto"/>
            </w:tcBorders>
            <w:gridSpan w:val="2"/>
          </w:tcPr>
          <w:p>
            <w:pPr>
              <w:jc w:val="right"/>
              <w:ind w:right="1057"/>
              <w:spacing w:after="0" w:line="143" w:lineRule="exact"/>
              <w:rPr>
                <w:sz w:val="20"/>
                <w:szCs w:val="20"/>
                <w:color w:val="auto"/>
              </w:rPr>
            </w:pPr>
            <w:r>
              <w:rPr>
                <w:rFonts w:ascii="Arial" w:cs="Arial" w:eastAsia="Arial" w:hAnsi="Arial"/>
                <w:sz w:val="14"/>
                <w:szCs w:val="14"/>
                <w:b w:val="1"/>
                <w:bCs w:val="1"/>
                <w:color w:val="auto"/>
              </w:rPr>
              <w:t>as of April 24,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Executive Officers and Directors:</w:t>
            </w:r>
          </w:p>
        </w:tc>
        <w:tc>
          <w:tcPr>
            <w:tcW w:w="1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gridSpan w:val="2"/>
          </w:tcPr>
          <w:p>
            <w:pPr>
              <w:spacing w:after="0"/>
              <w:rPr>
                <w:sz w:val="20"/>
                <w:szCs w:val="20"/>
                <w:color w:val="auto"/>
              </w:rPr>
            </w:pPr>
            <w:r>
              <w:rPr>
                <w:rFonts w:ascii="Arial" w:cs="Arial" w:eastAsia="Arial" w:hAnsi="Arial"/>
                <w:sz w:val="17"/>
                <w:szCs w:val="17"/>
                <w:color w:val="auto"/>
              </w:rPr>
              <w:t>Denise Scots-Knight, Ph.D.(2)</w:t>
            </w:r>
          </w:p>
        </w:tc>
        <w:tc>
          <w:tcPr>
            <w:tcW w:w="1620" w:type="dxa"/>
            <w:vAlign w:val="bottom"/>
          </w:tcPr>
          <w:p>
            <w:pPr>
              <w:jc w:val="right"/>
              <w:ind w:right="338"/>
              <w:spacing w:after="0"/>
              <w:rPr>
                <w:sz w:val="20"/>
                <w:szCs w:val="20"/>
                <w:color w:val="auto"/>
              </w:rPr>
            </w:pPr>
            <w:r>
              <w:rPr>
                <w:rFonts w:ascii="Arial" w:cs="Arial" w:eastAsia="Arial" w:hAnsi="Arial"/>
                <w:sz w:val="17"/>
                <w:szCs w:val="17"/>
                <w:color w:val="auto"/>
              </w:rPr>
              <w:t>2,292,358</w:t>
            </w:r>
          </w:p>
        </w:tc>
        <w:tc>
          <w:tcPr>
            <w:tcW w:w="178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Richard Jones</w:t>
            </w:r>
          </w:p>
        </w:tc>
        <w:tc>
          <w:tcPr>
            <w:tcW w:w="1620" w:type="dxa"/>
            <w:vAlign w:val="bottom"/>
            <w:shd w:val="clear" w:color="auto" w:fill="CCEEFF"/>
          </w:tcPr>
          <w:p>
            <w:pPr>
              <w:jc w:val="right"/>
              <w:ind w:right="418"/>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500" w:type="dxa"/>
            <w:vAlign w:val="bottom"/>
            <w:gridSpan w:val="2"/>
          </w:tcPr>
          <w:p>
            <w:pPr>
              <w:spacing w:after="0"/>
              <w:rPr>
                <w:sz w:val="20"/>
                <w:szCs w:val="20"/>
                <w:color w:val="auto"/>
              </w:rPr>
            </w:pPr>
            <w:r>
              <w:rPr>
                <w:rFonts w:ascii="Arial" w:cs="Arial" w:eastAsia="Arial" w:hAnsi="Arial"/>
                <w:sz w:val="17"/>
                <w:szCs w:val="17"/>
                <w:color w:val="auto"/>
              </w:rPr>
              <w:t>Alastair MacKinnon, MBBS(3)</w:t>
            </w:r>
          </w:p>
        </w:tc>
        <w:tc>
          <w:tcPr>
            <w:tcW w:w="1620" w:type="dxa"/>
            <w:vAlign w:val="bottom"/>
          </w:tcPr>
          <w:p>
            <w:pPr>
              <w:jc w:val="right"/>
              <w:ind w:right="338"/>
              <w:spacing w:after="0"/>
              <w:rPr>
                <w:sz w:val="20"/>
                <w:szCs w:val="20"/>
                <w:color w:val="auto"/>
              </w:rPr>
            </w:pPr>
            <w:r>
              <w:rPr>
                <w:rFonts w:ascii="Arial" w:cs="Arial" w:eastAsia="Arial" w:hAnsi="Arial"/>
                <w:sz w:val="17"/>
                <w:szCs w:val="17"/>
                <w:color w:val="auto"/>
              </w:rPr>
              <w:t>1,150,083</w:t>
            </w:r>
          </w:p>
        </w:tc>
        <w:tc>
          <w:tcPr>
            <w:tcW w:w="178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Richard(4)</w:t>
            </w:r>
          </w:p>
        </w:tc>
        <w:tc>
          <w:tcPr>
            <w:tcW w:w="1620" w:type="dxa"/>
            <w:vAlign w:val="bottom"/>
            <w:shd w:val="clear" w:color="auto" w:fill="CCEEFF"/>
          </w:tcPr>
          <w:p>
            <w:pPr>
              <w:jc w:val="right"/>
              <w:ind w:right="338"/>
              <w:spacing w:after="0"/>
              <w:rPr>
                <w:sz w:val="20"/>
                <w:szCs w:val="20"/>
                <w:color w:val="auto"/>
              </w:rPr>
            </w:pPr>
            <w:r>
              <w:rPr>
                <w:rFonts w:ascii="Arial" w:cs="Arial" w:eastAsia="Arial" w:hAnsi="Arial"/>
                <w:sz w:val="17"/>
                <w:szCs w:val="17"/>
                <w:color w:val="auto"/>
              </w:rPr>
              <w:t>1,009,191</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gridSpan w:val="2"/>
          </w:tcPr>
          <w:p>
            <w:pPr>
              <w:spacing w:after="0"/>
              <w:rPr>
                <w:sz w:val="20"/>
                <w:szCs w:val="20"/>
                <w:color w:val="auto"/>
              </w:rPr>
            </w:pPr>
            <w:r>
              <w:rPr>
                <w:rFonts w:ascii="Arial" w:cs="Arial" w:eastAsia="Arial" w:hAnsi="Arial"/>
                <w:sz w:val="17"/>
                <w:szCs w:val="17"/>
                <w:color w:val="auto"/>
              </w:rPr>
              <w:t>Charles Sermon(5)</w:t>
            </w:r>
          </w:p>
        </w:tc>
        <w:tc>
          <w:tcPr>
            <w:tcW w:w="1620" w:type="dxa"/>
            <w:vAlign w:val="bottom"/>
          </w:tcPr>
          <w:p>
            <w:pPr>
              <w:jc w:val="right"/>
              <w:ind w:right="338"/>
              <w:spacing w:after="0"/>
              <w:rPr>
                <w:sz w:val="20"/>
                <w:szCs w:val="20"/>
                <w:color w:val="auto"/>
              </w:rPr>
            </w:pPr>
            <w:r>
              <w:rPr>
                <w:rFonts w:ascii="Arial" w:cs="Arial" w:eastAsia="Arial" w:hAnsi="Arial"/>
                <w:sz w:val="17"/>
                <w:szCs w:val="17"/>
                <w:color w:val="auto"/>
              </w:rPr>
              <w:t>1,248,613</w:t>
            </w:r>
          </w:p>
        </w:tc>
        <w:tc>
          <w:tcPr>
            <w:tcW w:w="178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Peter Fellner, Ph.D.(6)</w:t>
            </w:r>
          </w:p>
        </w:tc>
        <w:tc>
          <w:tcPr>
            <w:tcW w:w="1620" w:type="dxa"/>
            <w:vAlign w:val="bottom"/>
            <w:shd w:val="clear" w:color="auto" w:fill="CCEEFF"/>
          </w:tcPr>
          <w:p>
            <w:pPr>
              <w:jc w:val="right"/>
              <w:ind w:right="338"/>
              <w:spacing w:after="0"/>
              <w:rPr>
                <w:sz w:val="20"/>
                <w:szCs w:val="20"/>
                <w:color w:val="auto"/>
              </w:rPr>
            </w:pPr>
            <w:r>
              <w:rPr>
                <w:rFonts w:ascii="Arial" w:cs="Arial" w:eastAsia="Arial" w:hAnsi="Arial"/>
                <w:sz w:val="17"/>
                <w:szCs w:val="17"/>
                <w:color w:val="auto"/>
              </w:rPr>
              <w:t>1,702,673</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gridSpan w:val="2"/>
          </w:tcPr>
          <w:p>
            <w:pPr>
              <w:spacing w:after="0"/>
              <w:rPr>
                <w:sz w:val="20"/>
                <w:szCs w:val="20"/>
                <w:color w:val="auto"/>
              </w:rPr>
            </w:pPr>
            <w:r>
              <w:rPr>
                <w:rFonts w:ascii="Arial" w:cs="Arial" w:eastAsia="Arial" w:hAnsi="Arial"/>
                <w:sz w:val="17"/>
                <w:szCs w:val="17"/>
                <w:color w:val="auto"/>
              </w:rPr>
              <w:t>Peter Bains(7)</w:t>
            </w:r>
          </w:p>
        </w:tc>
        <w:tc>
          <w:tcPr>
            <w:tcW w:w="1620" w:type="dxa"/>
            <w:vAlign w:val="bottom"/>
          </w:tcPr>
          <w:p>
            <w:pPr>
              <w:jc w:val="right"/>
              <w:ind w:right="338"/>
              <w:spacing w:after="0"/>
              <w:rPr>
                <w:sz w:val="20"/>
                <w:szCs w:val="20"/>
                <w:color w:val="auto"/>
              </w:rPr>
            </w:pPr>
            <w:r>
              <w:rPr>
                <w:rFonts w:ascii="Arial" w:cs="Arial" w:eastAsia="Arial" w:hAnsi="Arial"/>
                <w:sz w:val="17"/>
                <w:szCs w:val="17"/>
                <w:color w:val="auto"/>
              </w:rPr>
              <w:t>818,489</w:t>
            </w:r>
          </w:p>
        </w:tc>
        <w:tc>
          <w:tcPr>
            <w:tcW w:w="19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Paul Blackburn(8)</w:t>
            </w:r>
          </w:p>
        </w:tc>
        <w:tc>
          <w:tcPr>
            <w:tcW w:w="1620" w:type="dxa"/>
            <w:vAlign w:val="bottom"/>
            <w:shd w:val="clear" w:color="auto" w:fill="CCEEFF"/>
          </w:tcPr>
          <w:p>
            <w:pPr>
              <w:jc w:val="right"/>
              <w:ind w:right="338"/>
              <w:spacing w:after="0"/>
              <w:rPr>
                <w:sz w:val="20"/>
                <w:szCs w:val="20"/>
                <w:color w:val="auto"/>
              </w:rPr>
            </w:pPr>
            <w:r>
              <w:rPr>
                <w:rFonts w:ascii="Arial" w:cs="Arial" w:eastAsia="Arial" w:hAnsi="Arial"/>
                <w:sz w:val="17"/>
                <w:szCs w:val="17"/>
                <w:color w:val="auto"/>
              </w:rPr>
              <w:t>180,608</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500" w:type="dxa"/>
            <w:vAlign w:val="bottom"/>
            <w:gridSpan w:val="2"/>
          </w:tcPr>
          <w:p>
            <w:pPr>
              <w:spacing w:after="0"/>
              <w:rPr>
                <w:sz w:val="20"/>
                <w:szCs w:val="20"/>
                <w:color w:val="auto"/>
              </w:rPr>
            </w:pPr>
            <w:r>
              <w:rPr>
                <w:rFonts w:ascii="Arial" w:cs="Arial" w:eastAsia="Arial" w:hAnsi="Arial"/>
                <w:sz w:val="17"/>
                <w:szCs w:val="17"/>
                <w:color w:val="auto"/>
              </w:rPr>
              <w:t>Anders Ekblom, M.D., Ph.D.(9)</w:t>
            </w:r>
          </w:p>
        </w:tc>
        <w:tc>
          <w:tcPr>
            <w:tcW w:w="1620" w:type="dxa"/>
            <w:vAlign w:val="bottom"/>
          </w:tcPr>
          <w:p>
            <w:pPr>
              <w:jc w:val="right"/>
              <w:ind w:right="338"/>
              <w:spacing w:after="0"/>
              <w:rPr>
                <w:sz w:val="20"/>
                <w:szCs w:val="20"/>
                <w:color w:val="auto"/>
              </w:rPr>
            </w:pPr>
            <w:r>
              <w:rPr>
                <w:rFonts w:ascii="Arial" w:cs="Arial" w:eastAsia="Arial" w:hAnsi="Arial"/>
                <w:sz w:val="17"/>
                <w:szCs w:val="17"/>
                <w:color w:val="auto"/>
              </w:rPr>
              <w:t>309,266</w:t>
            </w:r>
          </w:p>
        </w:tc>
        <w:tc>
          <w:tcPr>
            <w:tcW w:w="19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Kunal Kashyap(10)</w:t>
            </w:r>
          </w:p>
        </w:tc>
        <w:tc>
          <w:tcPr>
            <w:tcW w:w="1620" w:type="dxa"/>
            <w:vAlign w:val="bottom"/>
            <w:shd w:val="clear" w:color="auto" w:fill="CCEEFF"/>
          </w:tcPr>
          <w:p>
            <w:pPr>
              <w:jc w:val="right"/>
              <w:ind w:right="338"/>
              <w:spacing w:after="0"/>
              <w:rPr>
                <w:sz w:val="20"/>
                <w:szCs w:val="20"/>
                <w:color w:val="auto"/>
              </w:rPr>
            </w:pPr>
            <w:r>
              <w:rPr>
                <w:rFonts w:ascii="Arial" w:cs="Arial" w:eastAsia="Arial" w:hAnsi="Arial"/>
                <w:sz w:val="17"/>
                <w:szCs w:val="17"/>
                <w:color w:val="auto"/>
              </w:rPr>
              <w:t>1,713,999</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gridSpan w:val="2"/>
          </w:tcPr>
          <w:p>
            <w:pPr>
              <w:spacing w:after="0"/>
              <w:rPr>
                <w:sz w:val="20"/>
                <w:szCs w:val="20"/>
                <w:color w:val="auto"/>
              </w:rPr>
            </w:pPr>
            <w:r>
              <w:rPr>
                <w:rFonts w:ascii="Arial" w:cs="Arial" w:eastAsia="Arial" w:hAnsi="Arial"/>
                <w:sz w:val="17"/>
                <w:szCs w:val="17"/>
                <w:color w:val="auto"/>
              </w:rPr>
              <w:t>Alexandra (Wills) Hughes-Wilson</w:t>
            </w:r>
          </w:p>
        </w:tc>
        <w:tc>
          <w:tcPr>
            <w:tcW w:w="1620" w:type="dxa"/>
            <w:vAlign w:val="bottom"/>
          </w:tcPr>
          <w:p>
            <w:pPr>
              <w:jc w:val="right"/>
              <w:ind w:right="418"/>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Deepika R. Pakianathan, Ph.D.</w:t>
            </w:r>
          </w:p>
        </w:tc>
        <w:tc>
          <w:tcPr>
            <w:tcW w:w="1620" w:type="dxa"/>
            <w:vAlign w:val="bottom"/>
            <w:shd w:val="clear" w:color="auto" w:fill="CCEEFF"/>
          </w:tcPr>
          <w:p>
            <w:pPr>
              <w:jc w:val="right"/>
              <w:ind w:right="338"/>
              <w:spacing w:after="0"/>
              <w:rPr>
                <w:sz w:val="20"/>
                <w:szCs w:val="20"/>
                <w:color w:val="auto"/>
              </w:rPr>
            </w:pPr>
            <w:r>
              <w:rPr>
                <w:rFonts w:ascii="Arial" w:cs="Arial" w:eastAsia="Arial" w:hAnsi="Arial"/>
                <w:sz w:val="17"/>
                <w:szCs w:val="17"/>
                <w:color w:val="auto"/>
              </w:rPr>
              <w:t>1,283,670</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00" w:type="dxa"/>
            <w:vAlign w:val="bottom"/>
            <w:gridSpan w:val="2"/>
          </w:tcPr>
          <w:p>
            <w:pPr>
              <w:spacing w:after="0"/>
              <w:rPr>
                <w:sz w:val="20"/>
                <w:szCs w:val="20"/>
                <w:color w:val="auto"/>
              </w:rPr>
            </w:pPr>
            <w:r>
              <w:rPr>
                <w:rFonts w:ascii="Arial" w:cs="Arial" w:eastAsia="Arial" w:hAnsi="Arial"/>
                <w:sz w:val="17"/>
                <w:szCs w:val="17"/>
                <w:color w:val="auto"/>
              </w:rPr>
              <w:t>Michael S. Wyzga</w:t>
            </w:r>
          </w:p>
        </w:tc>
        <w:tc>
          <w:tcPr>
            <w:tcW w:w="1620" w:type="dxa"/>
            <w:vAlign w:val="bottom"/>
          </w:tcPr>
          <w:p>
            <w:pPr>
              <w:jc w:val="right"/>
              <w:ind w:right="418"/>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74295</wp:posOffset>
            </wp:positionV>
            <wp:extent cx="6743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36" w:lineRule="exact"/>
        <w:rPr>
          <w:sz w:val="20"/>
          <w:szCs w:val="20"/>
          <w:color w:val="auto"/>
        </w:rPr>
      </w:pPr>
    </w:p>
    <w:p>
      <w:pPr>
        <w:ind w:left="840" w:hanging="409"/>
        <w:spacing w:after="0"/>
        <w:tabs>
          <w:tab w:leader="none" w:pos="8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Indicates beneficial ownership of less than 1% of the total outstanding Mereo ordinary shares.</w:t>
      </w:r>
    </w:p>
    <w:p>
      <w:pPr>
        <w:spacing w:after="0" w:line="24" w:lineRule="exact"/>
        <w:rPr>
          <w:sz w:val="20"/>
          <w:szCs w:val="20"/>
          <w:color w:val="auto"/>
        </w:rPr>
      </w:pPr>
    </w:p>
    <w:p>
      <w:pPr>
        <w:ind w:left="840" w:hanging="409"/>
        <w:spacing w:after="0"/>
        <w:tabs>
          <w:tab w:leader="none" w:pos="8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Ordinary shares figures include ordinary shares represented by ADSs.</w:t>
      </w:r>
    </w:p>
    <w:p>
      <w:pPr>
        <w:spacing w:after="0" w:line="11" w:lineRule="exact"/>
        <w:rPr>
          <w:rFonts w:ascii="Arial" w:cs="Arial" w:eastAsia="Arial" w:hAnsi="Arial"/>
          <w:sz w:val="17"/>
          <w:szCs w:val="17"/>
          <w:color w:val="auto"/>
        </w:rPr>
      </w:pPr>
    </w:p>
    <w:p>
      <w:pPr>
        <w:ind w:left="840" w:right="280" w:hanging="409"/>
        <w:spacing w:after="0" w:line="254" w:lineRule="auto"/>
        <w:tabs>
          <w:tab w:leader="none" w:pos="8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Includes 6,300 Mereo ordinary shares held by Dr. Scots-Knight’s husband and options to purchase 2,063,807 Mereo ordinary shares that are or will be immediately exercisable within 60 days of April 24, 2019.</w:t>
      </w:r>
    </w:p>
    <w:p>
      <w:pPr>
        <w:ind w:left="840" w:hanging="409"/>
        <w:spacing w:after="0"/>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options to purchase 1,046,248 Mereo ordinary shares that are or will be immediately exercisable within 60 days of April 24, 2019.</w:t>
      </w:r>
    </w:p>
    <w:p>
      <w:pPr>
        <w:spacing w:after="0" w:line="23" w:lineRule="exact"/>
        <w:rPr>
          <w:rFonts w:ascii="Arial" w:cs="Arial" w:eastAsia="Arial" w:hAnsi="Arial"/>
          <w:sz w:val="16"/>
          <w:szCs w:val="16"/>
          <w:color w:val="auto"/>
        </w:rPr>
      </w:pPr>
    </w:p>
    <w:p>
      <w:pPr>
        <w:ind w:left="840" w:hanging="409"/>
        <w:spacing w:after="0"/>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options to purchase 822,371 Mereo ordinary shares that are or will be immediately exercisable within 60 days of April 24, 2019.</w:t>
      </w:r>
    </w:p>
    <w:p>
      <w:pPr>
        <w:spacing w:after="0" w:line="23" w:lineRule="exact"/>
        <w:rPr>
          <w:rFonts w:ascii="Arial" w:cs="Arial" w:eastAsia="Arial" w:hAnsi="Arial"/>
          <w:sz w:val="16"/>
          <w:szCs w:val="16"/>
          <w:color w:val="auto"/>
        </w:rPr>
      </w:pPr>
    </w:p>
    <w:p>
      <w:pPr>
        <w:ind w:left="840" w:hanging="409"/>
        <w:spacing w:after="0"/>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options to purchase 1,085,867 Mereo ordinary shares that are or will be immediately exercisable within 60 days of April 24, 2019.</w:t>
      </w:r>
    </w:p>
    <w:p>
      <w:pPr>
        <w:spacing w:after="0" w:line="23" w:lineRule="exact"/>
        <w:rPr>
          <w:rFonts w:ascii="Arial" w:cs="Arial" w:eastAsia="Arial" w:hAnsi="Arial"/>
          <w:sz w:val="16"/>
          <w:szCs w:val="16"/>
          <w:color w:val="auto"/>
        </w:rPr>
      </w:pPr>
    </w:p>
    <w:p>
      <w:pPr>
        <w:ind w:left="840" w:hanging="409"/>
        <w:spacing w:after="0"/>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options to purchase 1,692,673 Mereo ordinary shares that are or will be immediately exercisable within 60 days of April 24, 2019.</w:t>
      </w:r>
    </w:p>
    <w:p>
      <w:pPr>
        <w:spacing w:after="0" w:line="23" w:lineRule="exact"/>
        <w:rPr>
          <w:rFonts w:ascii="Arial" w:cs="Arial" w:eastAsia="Arial" w:hAnsi="Arial"/>
          <w:sz w:val="16"/>
          <w:szCs w:val="16"/>
          <w:color w:val="auto"/>
        </w:rPr>
      </w:pPr>
    </w:p>
    <w:p>
      <w:pPr>
        <w:ind w:left="840" w:hanging="409"/>
        <w:spacing w:after="0"/>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options to purchase 710,583 Mereo ordinary shares that are or will be immediately exercisable within 60 days of April 24, 2019.</w:t>
      </w:r>
    </w:p>
    <w:p>
      <w:pPr>
        <w:spacing w:after="0" w:line="23" w:lineRule="exact"/>
        <w:rPr>
          <w:rFonts w:ascii="Arial" w:cs="Arial" w:eastAsia="Arial" w:hAnsi="Arial"/>
          <w:sz w:val="16"/>
          <w:szCs w:val="16"/>
          <w:color w:val="auto"/>
        </w:rPr>
      </w:pPr>
    </w:p>
    <w:p>
      <w:pPr>
        <w:ind w:left="840" w:hanging="409"/>
        <w:spacing w:after="0"/>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options to purchase 157,984 Mereo ordinary shares that are or will be immediately exercisable within 60 days of April 24, 2019.</w:t>
      </w:r>
    </w:p>
    <w:p>
      <w:pPr>
        <w:spacing w:after="0" w:line="23" w:lineRule="exact"/>
        <w:rPr>
          <w:rFonts w:ascii="Arial" w:cs="Arial" w:eastAsia="Arial" w:hAnsi="Arial"/>
          <w:sz w:val="16"/>
          <w:szCs w:val="16"/>
          <w:color w:val="auto"/>
        </w:rPr>
      </w:pPr>
    </w:p>
    <w:p>
      <w:pPr>
        <w:ind w:left="840" w:hanging="409"/>
        <w:spacing w:after="0"/>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options to purchase 216,264 Mereo ordinary shares that are or will be immediately exercisable within 60 days of April 24, 2019.</w:t>
      </w:r>
    </w:p>
    <w:p>
      <w:pPr>
        <w:spacing w:after="0" w:line="23" w:lineRule="exact"/>
        <w:rPr>
          <w:rFonts w:ascii="Arial" w:cs="Arial" w:eastAsia="Arial" w:hAnsi="Arial"/>
          <w:sz w:val="16"/>
          <w:szCs w:val="16"/>
          <w:color w:val="auto"/>
        </w:rPr>
      </w:pPr>
    </w:p>
    <w:p>
      <w:pPr>
        <w:ind w:left="840" w:hanging="409"/>
        <w:spacing w:after="0"/>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options to purchase 216,264 Mereo ordinary shares that are or will be immediately exercisable within 60 days of April 24, 2019.</w:t>
      </w:r>
    </w:p>
    <w:p>
      <w:pPr>
        <w:spacing w:after="0" w:line="218"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7"/>
          <w:szCs w:val="17"/>
          <w:color w:val="auto"/>
        </w:rPr>
        <w:t>To Mereo’s knowledge, and other than changes in percentage ownership as a result of the shares issued in connection with Mereo’s initial public offering in the United Kingdom, there has been no significant change in the percentage ownership held by the major shareholders listed above in the last three years, except as discussed in “Item 7. Major Shareholders and Related Party Transactions—B. Related Party Transactions—Subscription Agreement.”</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Equity Compensation Arrangements</w:t>
      </w:r>
    </w:p>
    <w:p>
      <w:pPr>
        <w:spacing w:after="0" w:line="121"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Mereo has granted or may grant or intend to grant share options and awards under the following five equity award plans (the “Mereo Share Plans”): (i) the 2015 Plan; (ii) the Share Option Plan; (iii) the LTIP; (iv) the 2016 DBSP; (v) the Mereo 2019 DBP; (vi) the Mereo 2019 Equity Incentive Plan (the 2019 Plan), (vii) the 2019 NED Equity Incentive Plan (the 2019 NED plan) (each as defined below).</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2015 Plan</w:t>
      </w:r>
    </w:p>
    <w:p>
      <w:pPr>
        <w:spacing w:after="0" w:line="115" w:lineRule="exact"/>
        <w:rPr>
          <w:sz w:val="20"/>
          <w:szCs w:val="20"/>
          <w:color w:val="auto"/>
        </w:rPr>
      </w:pPr>
    </w:p>
    <w:p>
      <w:pPr>
        <w:ind w:left="440" w:right="100" w:firstLine="423"/>
        <w:spacing w:after="0" w:line="284" w:lineRule="auto"/>
        <w:rPr>
          <w:sz w:val="20"/>
          <w:szCs w:val="20"/>
          <w:color w:val="auto"/>
        </w:rPr>
      </w:pPr>
      <w:r>
        <w:rPr>
          <w:rFonts w:ascii="Arial" w:cs="Arial" w:eastAsia="Arial" w:hAnsi="Arial"/>
          <w:sz w:val="17"/>
          <w:szCs w:val="17"/>
          <w:color w:val="auto"/>
        </w:rPr>
        <w:t>Prior to the admission of Mereo ordinary shares to trading on AIM (“Admission”), Mereo granted options under the 2015 Plan. No further grants have been made under the 2015 Plan since Admission.</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980"/>
          </w:cols>
          <w:pgMar w:left="240" w:top="445" w:right="67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Eligibility, Awards and Administration</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2015 Plan provides for the grant of options to executive directors, non-executive directors, employees and consultants.</w:t>
      </w:r>
    </w:p>
    <w:p>
      <w:pPr>
        <w:spacing w:after="0" w:line="219" w:lineRule="exact"/>
        <w:rPr>
          <w:sz w:val="20"/>
          <w:szCs w:val="20"/>
          <w:color w:val="auto"/>
        </w:rPr>
      </w:pPr>
    </w:p>
    <w:p>
      <w:pPr>
        <w:ind w:left="440" w:right="160" w:firstLine="423"/>
        <w:spacing w:after="0" w:line="321" w:lineRule="auto"/>
        <w:rPr>
          <w:sz w:val="20"/>
          <w:szCs w:val="20"/>
          <w:color w:val="auto"/>
        </w:rPr>
      </w:pPr>
      <w:r>
        <w:rPr>
          <w:rFonts w:ascii="Arial" w:cs="Arial" w:eastAsia="Arial" w:hAnsi="Arial"/>
          <w:sz w:val="15"/>
          <w:szCs w:val="15"/>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137" w:lineRule="exact"/>
        <w:rPr>
          <w:sz w:val="20"/>
          <w:szCs w:val="20"/>
          <w:color w:val="auto"/>
        </w:rPr>
      </w:pPr>
    </w:p>
    <w:p>
      <w:pPr>
        <w:ind w:left="440" w:right="100" w:firstLine="423"/>
        <w:spacing w:after="0" w:line="316" w:lineRule="auto"/>
        <w:rPr>
          <w:sz w:val="20"/>
          <w:szCs w:val="20"/>
          <w:color w:val="auto"/>
        </w:rPr>
      </w:pPr>
      <w:r>
        <w:rPr>
          <w:rFonts w:ascii="Arial" w:cs="Arial" w:eastAsia="Arial" w:hAnsi="Arial"/>
          <w:sz w:val="16"/>
          <w:szCs w:val="16"/>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137" w:lineRule="exact"/>
        <w:rPr>
          <w:sz w:val="20"/>
          <w:szCs w:val="20"/>
          <w:color w:val="auto"/>
        </w:rPr>
      </w:pPr>
    </w:p>
    <w:p>
      <w:pPr>
        <w:ind w:left="440" w:right="380" w:firstLine="423"/>
        <w:spacing w:after="0" w:line="284" w:lineRule="auto"/>
        <w:rPr>
          <w:sz w:val="20"/>
          <w:szCs w:val="20"/>
          <w:color w:val="auto"/>
        </w:rPr>
      </w:pPr>
      <w:r>
        <w:rPr>
          <w:rFonts w:ascii="Arial" w:cs="Arial" w:eastAsia="Arial" w:hAnsi="Arial"/>
          <w:sz w:val="17"/>
          <w:szCs w:val="17"/>
          <w:color w:val="auto"/>
        </w:rPr>
        <w:t>Options are not automatically exercisable on vesting, but upon Admission became exercisable to the extent vested. Options may generally be exercised until the day immediately preceding the tenth anniversary of the date of grant.</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Options have been granted under the 2015 Plan with an exercise price ranging from £1.29 per Mereo ordinary share to £2.21 per Mereo ordinary</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share.</w:t>
      </w:r>
    </w:p>
    <w:p>
      <w:pPr>
        <w:spacing w:after="0" w:line="310"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Plan Leavers</w:t>
      </w:r>
    </w:p>
    <w:p>
      <w:pPr>
        <w:spacing w:after="0" w:line="115" w:lineRule="exact"/>
        <w:rPr>
          <w:sz w:val="20"/>
          <w:szCs w:val="20"/>
          <w:color w:val="auto"/>
        </w:rPr>
      </w:pPr>
    </w:p>
    <w:p>
      <w:pPr>
        <w:ind w:left="440" w:right="80" w:firstLine="423"/>
        <w:spacing w:after="0" w:line="264" w:lineRule="auto"/>
        <w:rPr>
          <w:sz w:val="20"/>
          <w:szCs w:val="20"/>
          <w:color w:val="auto"/>
        </w:rPr>
      </w:pPr>
      <w:r>
        <w:rPr>
          <w:rFonts w:ascii="Arial" w:cs="Arial" w:eastAsia="Arial" w:hAnsi="Arial"/>
          <w:sz w:val="17"/>
          <w:szCs w:val="17"/>
          <w:color w:val="auto"/>
        </w:rPr>
        <w:t>Options held by option holders who leave their office or employment will lapse immediately, unless the option holder is a Good Leaver (as defined in the plan rules). If the option holder is a Good Leaver, the option may be exercised to the extent vested at the date of cessation of services and for such period as the Mereo Board determines and communicates to the option holder at that time (except upon death, in which case, options may be exercised for a period of one year), after which time they will lapse.</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Certain Transactions</w:t>
      </w:r>
    </w:p>
    <w:p>
      <w:pPr>
        <w:spacing w:after="0" w:line="115" w:lineRule="exact"/>
        <w:rPr>
          <w:sz w:val="20"/>
          <w:szCs w:val="20"/>
          <w:color w:val="auto"/>
        </w:rPr>
      </w:pPr>
    </w:p>
    <w:p>
      <w:pPr>
        <w:ind w:left="440" w:right="280" w:firstLine="423"/>
        <w:spacing w:after="0" w:line="354" w:lineRule="auto"/>
        <w:rPr>
          <w:sz w:val="20"/>
          <w:szCs w:val="20"/>
          <w:color w:val="auto"/>
        </w:rPr>
      </w:pPr>
      <w:r>
        <w:rPr>
          <w:rFonts w:ascii="Arial" w:cs="Arial" w:eastAsia="Arial" w:hAnsi="Arial"/>
          <w:sz w:val="15"/>
          <w:szCs w:val="15"/>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Adjustments</w:t>
      </w:r>
    </w:p>
    <w:p>
      <w:pPr>
        <w:spacing w:after="0" w:line="115" w:lineRule="exact"/>
        <w:rPr>
          <w:sz w:val="20"/>
          <w:szCs w:val="20"/>
          <w:color w:val="auto"/>
        </w:rPr>
      </w:pPr>
    </w:p>
    <w:p>
      <w:pPr>
        <w:ind w:left="440" w:right="60" w:firstLine="423"/>
        <w:spacing w:after="0" w:line="269" w:lineRule="auto"/>
        <w:rPr>
          <w:sz w:val="20"/>
          <w:szCs w:val="20"/>
          <w:color w:val="auto"/>
        </w:rPr>
      </w:pPr>
      <w:r>
        <w:rPr>
          <w:rFonts w:ascii="Arial" w:cs="Arial" w:eastAsia="Arial" w:hAnsi="Arial"/>
          <w:sz w:val="17"/>
          <w:szCs w:val="17"/>
          <w:color w:val="auto"/>
        </w:rPr>
        <w:t>In the event of any capitalization, rights issue, consolidation, subdivision, reduction or any other variation of Mereo’s share capital, the number of Mereo ordinary shares subject to an option and the exercise price applying to an option may be varied in such manner as the Mereo Board may determine.</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Amendment and Termination</w:t>
      </w:r>
    </w:p>
    <w:p>
      <w:pPr>
        <w:spacing w:after="0" w:line="115" w:lineRule="exact"/>
        <w:rPr>
          <w:sz w:val="20"/>
          <w:szCs w:val="20"/>
          <w:color w:val="auto"/>
        </w:rPr>
      </w:pPr>
    </w:p>
    <w:p>
      <w:pPr>
        <w:ind w:left="440" w:right="60" w:firstLine="423"/>
        <w:spacing w:after="0" w:line="304" w:lineRule="auto"/>
        <w:rPr>
          <w:sz w:val="20"/>
          <w:szCs w:val="20"/>
          <w:color w:val="auto"/>
        </w:rPr>
      </w:pPr>
      <w:r>
        <w:rPr>
          <w:rFonts w:ascii="Arial" w:cs="Arial" w:eastAsia="Arial" w:hAnsi="Arial"/>
          <w:sz w:val="15"/>
          <w:szCs w:val="15"/>
          <w:color w:val="auto"/>
        </w:rPr>
        <w:t>The Mereo Board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Mereo ordinary shares subject to options). However, any amendment to benefit the administration of the 2015 Plan, to take account of legislative changes, a Takeover or a Trade Sale (as defined in the plan rules) or to obtain or maintain favorable tax treatment or regulatory treatment may be made by the Mereo Board without the consent of option holders.</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Mereo Share Option Plan (the “Share Option Plan”)</w:t>
      </w:r>
    </w:p>
    <w:p>
      <w:pPr>
        <w:spacing w:after="0" w:line="115" w:lineRule="exact"/>
        <w:rPr>
          <w:sz w:val="20"/>
          <w:szCs w:val="20"/>
          <w:color w:val="auto"/>
        </w:rPr>
      </w:pPr>
    </w:p>
    <w:p>
      <w:pPr>
        <w:ind w:left="440" w:firstLine="423"/>
        <w:spacing w:after="0" w:line="354" w:lineRule="auto"/>
        <w:rPr>
          <w:sz w:val="20"/>
          <w:szCs w:val="20"/>
          <w:color w:val="auto"/>
        </w:rPr>
      </w:pPr>
      <w:r>
        <w:rPr>
          <w:rFonts w:ascii="Arial" w:cs="Arial" w:eastAsia="Arial" w:hAnsi="Arial"/>
          <w:sz w:val="15"/>
          <w:szCs w:val="15"/>
          <w:color w:val="auto"/>
        </w:rPr>
        <w:t>The Mereo Board adopted the Share Option Plan on June 9, 2016, and has subsequently amended it. Except where the context indicates otherwise, references to Mereo ordinary shares shall be deemed to include a number of our ADSs representing the right to receive our ordinary shares.</w:t>
      </w:r>
    </w:p>
    <w:p>
      <w:pPr>
        <w:spacing w:after="0" w:line="4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980"/>
          </w:cols>
          <w:pgMar w:left="240" w:top="445" w:right="67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Eligibility, Awards and Administration</w:t>
      </w:r>
    </w:p>
    <w:p>
      <w:pPr>
        <w:spacing w:after="0" w:line="115" w:lineRule="exact"/>
        <w:rPr>
          <w:sz w:val="20"/>
          <w:szCs w:val="20"/>
          <w:color w:val="auto"/>
        </w:rPr>
      </w:pPr>
    </w:p>
    <w:p>
      <w:pPr>
        <w:ind w:left="440" w:right="180" w:firstLine="423"/>
        <w:spacing w:after="0" w:line="285" w:lineRule="auto"/>
        <w:rPr>
          <w:sz w:val="20"/>
          <w:szCs w:val="20"/>
          <w:color w:val="auto"/>
        </w:rPr>
      </w:pPr>
      <w:r>
        <w:rPr>
          <w:rFonts w:ascii="Arial" w:cs="Arial" w:eastAsia="Arial" w:hAnsi="Arial"/>
          <w:sz w:val="16"/>
          <w:szCs w:val="16"/>
          <w:color w:val="auto"/>
        </w:rPr>
        <w:t>The Share Option Plan provides for the grant of options to acquire Mereo ordinary shares to employees and executive directors. Options may be granted to all eligible employees on commencement of employment and may be granted on a periodic basis after that. The Share Option Plan is administered by the Mereo Board who also set the terms and conditions of all options granted under the Share Option Plan, including any vesting and vesting acceleration conditions. Options are granted under the Share Option Plan at the discretion of the Mereo Board.</w:t>
      </w:r>
    </w:p>
    <w:p>
      <w:pPr>
        <w:spacing w:after="0" w:line="266"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Vesting and Exercise</w:t>
      </w:r>
    </w:p>
    <w:p>
      <w:pPr>
        <w:spacing w:after="0" w:line="115" w:lineRule="exact"/>
        <w:rPr>
          <w:sz w:val="20"/>
          <w:szCs w:val="20"/>
          <w:color w:val="auto"/>
        </w:rPr>
      </w:pPr>
    </w:p>
    <w:p>
      <w:pPr>
        <w:ind w:left="440" w:right="40" w:firstLine="423"/>
        <w:spacing w:after="0" w:line="260" w:lineRule="auto"/>
        <w:rPr>
          <w:sz w:val="20"/>
          <w:szCs w:val="20"/>
          <w:color w:val="auto"/>
        </w:rPr>
      </w:pPr>
      <w:r>
        <w:rPr>
          <w:rFonts w:ascii="Arial" w:cs="Arial" w:eastAsia="Arial" w:hAnsi="Arial"/>
          <w:sz w:val="17"/>
          <w:szCs w:val="17"/>
          <w:color w:val="auto"/>
        </w:rPr>
        <w:t>Under the Share Option Plan, the Mereo Board may determine the vesting schedule of an option and whether the vesting of an option will be subject to the satisfaction of a performance condition, although options are not currently granted subject to performance conditions other than continued service with Mereo.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The Mereo Board may determine that an option be settled in cash or by “net exercise” of the option.</w:t>
      </w:r>
    </w:p>
    <w:p>
      <w:pPr>
        <w:spacing w:after="0" w:line="28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Limitation on Awards</w:t>
      </w:r>
    </w:p>
    <w:p>
      <w:pPr>
        <w:spacing w:after="0" w:line="115" w:lineRule="exact"/>
        <w:rPr>
          <w:sz w:val="20"/>
          <w:szCs w:val="20"/>
          <w:color w:val="auto"/>
        </w:rPr>
      </w:pPr>
    </w:p>
    <w:p>
      <w:pPr>
        <w:ind w:left="440" w:right="400" w:firstLine="423"/>
        <w:spacing w:after="0" w:line="284" w:lineRule="auto"/>
        <w:rPr>
          <w:sz w:val="20"/>
          <w:szCs w:val="20"/>
          <w:color w:val="auto"/>
        </w:rPr>
      </w:pPr>
      <w:r>
        <w:rPr>
          <w:rFonts w:ascii="Arial" w:cs="Arial" w:eastAsia="Arial" w:hAnsi="Arial"/>
          <w:sz w:val="17"/>
          <w:szCs w:val="17"/>
          <w:color w:val="auto"/>
        </w:rPr>
        <w:t>No eligible employee may be granted options that, at the time they are granted, would cause the market value of shares subject to the options granted to the employee in respect of a financial year to exceed 400% of the employee’s salary.</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Plan Leavers</w:t>
      </w:r>
    </w:p>
    <w:p>
      <w:pPr>
        <w:spacing w:after="0" w:line="115" w:lineRule="exact"/>
        <w:rPr>
          <w:sz w:val="20"/>
          <w:szCs w:val="20"/>
          <w:color w:val="auto"/>
        </w:rPr>
      </w:pPr>
    </w:p>
    <w:p>
      <w:pPr>
        <w:ind w:left="440" w:right="300" w:firstLine="423"/>
        <w:spacing w:after="0" w:line="284" w:lineRule="auto"/>
        <w:rPr>
          <w:sz w:val="20"/>
          <w:szCs w:val="20"/>
          <w:color w:val="auto"/>
        </w:rPr>
      </w:pPr>
      <w:r>
        <w:rPr>
          <w:rFonts w:ascii="Arial" w:cs="Arial" w:eastAsia="Arial" w:hAnsi="Arial"/>
          <w:sz w:val="17"/>
          <w:szCs w:val="17"/>
          <w:color w:val="auto"/>
        </w:rPr>
        <w:t>If a participant ceases to hold office or employment with Mereo as a result of dismissal for gross misconduct, any option the participant holds, whether vested or unvested, will lapse.</w:t>
      </w:r>
    </w:p>
    <w:p>
      <w:pPr>
        <w:spacing w:after="0" w:line="159" w:lineRule="exact"/>
        <w:rPr>
          <w:sz w:val="20"/>
          <w:szCs w:val="20"/>
          <w:color w:val="auto"/>
        </w:rPr>
      </w:pPr>
    </w:p>
    <w:p>
      <w:pPr>
        <w:ind w:left="440" w:right="20" w:firstLine="423"/>
        <w:spacing w:after="0" w:line="260" w:lineRule="auto"/>
        <w:rPr>
          <w:sz w:val="20"/>
          <w:szCs w:val="20"/>
          <w:color w:val="auto"/>
        </w:rPr>
      </w:pPr>
      <w:r>
        <w:rPr>
          <w:rFonts w:ascii="Arial" w:cs="Arial" w:eastAsia="Arial" w:hAnsi="Arial"/>
          <w:sz w:val="17"/>
          <w:szCs w:val="17"/>
          <w:color w:val="auto"/>
        </w:rPr>
        <w:t>If a participant ceases to hold office or employment with Mereo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the Mereo Board determines that the option will vest on the date of cessation of services. Where an option vests in these circumstances, any performance condition will be taken into account and, unless the Mereo Board determines otherwise, will be pro-rated for time.</w:t>
      </w:r>
    </w:p>
    <w:p>
      <w:pPr>
        <w:spacing w:after="0" w:line="180" w:lineRule="exact"/>
        <w:rPr>
          <w:sz w:val="20"/>
          <w:szCs w:val="20"/>
          <w:color w:val="auto"/>
        </w:rPr>
      </w:pPr>
    </w:p>
    <w:p>
      <w:pPr>
        <w:ind w:left="440" w:right="60" w:firstLine="423"/>
        <w:spacing w:after="0" w:line="284" w:lineRule="auto"/>
        <w:rPr>
          <w:sz w:val="20"/>
          <w:szCs w:val="20"/>
          <w:color w:val="auto"/>
        </w:rPr>
      </w:pPr>
      <w:r>
        <w:rPr>
          <w:rFonts w:ascii="Arial" w:cs="Arial" w:eastAsia="Arial" w:hAnsi="Arial"/>
          <w:sz w:val="17"/>
          <w:szCs w:val="17"/>
          <w:color w:val="auto"/>
        </w:rPr>
        <w:t>Unless the board determines otherwise, options may not be transferred in any way and will lapse immediately on any attempt to do so, except that options may be transferred to a participant’s personal representative upon death.</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Certain Transactions</w:t>
      </w:r>
    </w:p>
    <w:p>
      <w:pPr>
        <w:spacing w:after="0" w:line="115"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Under the Share Option Plan, if certain changes are made in, or events occur with respect to, Mereo ordinary shares (including any variation of share capital, demerger, delisting, special dividend, rights issue or any other event, which may, in the opinion of the Mereo Board affect the current or future value of Mereo ordinary shares), the number of shares subject to an option or the exercise price of an option may be adjusted as determined by the Mereo Board. In addition, upon such an event, the Mereo Board will determine: (i) whether and to what extent options which have not yet vested will vest; and (ii) the period of time during which any vested option may be exercised.</w:t>
      </w:r>
    </w:p>
    <w:p>
      <w:pPr>
        <w:spacing w:after="0" w:line="180" w:lineRule="exact"/>
        <w:rPr>
          <w:sz w:val="20"/>
          <w:szCs w:val="20"/>
          <w:color w:val="auto"/>
        </w:rPr>
      </w:pPr>
    </w:p>
    <w:p>
      <w:pPr>
        <w:ind w:left="440" w:right="60" w:firstLine="423"/>
        <w:spacing w:after="0" w:line="260" w:lineRule="auto"/>
        <w:rPr>
          <w:sz w:val="20"/>
          <w:szCs w:val="20"/>
          <w:color w:val="auto"/>
        </w:rPr>
      </w:pPr>
      <w:r>
        <w:rPr>
          <w:rFonts w:ascii="Arial" w:cs="Arial" w:eastAsia="Arial" w:hAnsi="Arial"/>
          <w:sz w:val="17"/>
          <w:szCs w:val="17"/>
          <w:color w:val="auto"/>
        </w:rPr>
        <w:t>In the event of certain corporate transactions, including a scheme of arrangement or general offer, the vesting and exercisability of all options will accelerate to the extent determined by the Mereo Board, after which they will be exercisable for one month (or such longer period as determined by the Mereo Board, but not exceeding six months), following which they will lapse. However, if there is an internal reorganization, unless the Mereo Board determines otherwise, an option will generally be exchanged in consideration of the grant of a new option which, as determined by the Mereo Board, is equivalent to the option but relates to shares in a different company (whether the acquiring company or a different company). Any option that does not vest or is not exchanged will lapse immediately.</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980"/>
          </w:cols>
          <w:pgMar w:left="240" w:top="445" w:right="67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Amendment and Termination</w:t>
      </w:r>
    </w:p>
    <w:p>
      <w:pPr>
        <w:spacing w:after="0" w:line="115" w:lineRule="exact"/>
        <w:rPr>
          <w:sz w:val="20"/>
          <w:szCs w:val="20"/>
          <w:color w:val="auto"/>
        </w:rPr>
      </w:pPr>
    </w:p>
    <w:p>
      <w:pPr>
        <w:ind w:left="440" w:firstLine="423"/>
        <w:spacing w:after="0" w:line="281" w:lineRule="auto"/>
        <w:rPr>
          <w:sz w:val="20"/>
          <w:szCs w:val="20"/>
          <w:color w:val="auto"/>
        </w:rPr>
      </w:pPr>
      <w:r>
        <w:rPr>
          <w:rFonts w:ascii="Arial" w:cs="Arial" w:eastAsia="Arial" w:hAnsi="Arial"/>
          <w:sz w:val="16"/>
          <w:szCs w:val="16"/>
          <w:color w:val="auto"/>
        </w:rPr>
        <w:t>The Mereo Board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Share Option Plan from being an employees’ share scheme in accordance with the U.K. Companies Act 2006. No options may be granted pursuant to the Share Option Plan after the tenth anniversary of the date of Mereo’s Admission.</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Mereo Long Term Incentive Plan (the “LTIP”)</w:t>
      </w:r>
    </w:p>
    <w:p>
      <w:pPr>
        <w:spacing w:after="0" w:line="115" w:lineRule="exact"/>
        <w:rPr>
          <w:sz w:val="20"/>
          <w:szCs w:val="20"/>
          <w:color w:val="auto"/>
        </w:rPr>
      </w:pPr>
    </w:p>
    <w:p>
      <w:pPr>
        <w:ind w:left="440" w:right="120" w:firstLine="423"/>
        <w:spacing w:after="0" w:line="284" w:lineRule="auto"/>
        <w:rPr>
          <w:sz w:val="20"/>
          <w:szCs w:val="20"/>
          <w:color w:val="auto"/>
        </w:rPr>
      </w:pPr>
      <w:r>
        <w:rPr>
          <w:rFonts w:ascii="Arial" w:cs="Arial" w:eastAsia="Arial" w:hAnsi="Arial"/>
          <w:sz w:val="17"/>
          <w:szCs w:val="17"/>
          <w:color w:val="auto"/>
        </w:rPr>
        <w:t>In order to further incentivize Mereo’s employees and align their interests with shareholders, the Mereo Board adopted the LTIP on June 9, 2016 and has subsequently amended it.</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Eligibility, Awards and Administration</w:t>
      </w:r>
    </w:p>
    <w:p>
      <w:pPr>
        <w:spacing w:after="0" w:line="115" w:lineRule="exact"/>
        <w:rPr>
          <w:sz w:val="20"/>
          <w:szCs w:val="20"/>
          <w:color w:val="auto"/>
        </w:rPr>
      </w:pPr>
    </w:p>
    <w:p>
      <w:pPr>
        <w:jc w:val="both"/>
        <w:ind w:left="440" w:right="20" w:firstLine="423"/>
        <w:spacing w:after="0" w:line="269" w:lineRule="auto"/>
        <w:rPr>
          <w:sz w:val="20"/>
          <w:szCs w:val="20"/>
          <w:color w:val="auto"/>
        </w:rPr>
      </w:pPr>
      <w:r>
        <w:rPr>
          <w:rFonts w:ascii="Arial" w:cs="Arial" w:eastAsia="Arial" w:hAnsi="Arial"/>
          <w:sz w:val="17"/>
          <w:szCs w:val="17"/>
          <w:color w:val="auto"/>
        </w:rPr>
        <w:t>The LTIP provides for the grant of nil-cost options, conditional awards, cash conditional awards or cash options (the “LTIP Awards”), to Mereo’s employees. The shares used to satisfy the LTIP Awards are currently delivered through the Mereo BioPharma Group plc Employee Benefit Trust, which is based in Jersey.</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Mereo Board may determine that the LTIP Awards are settled in cash.</w:t>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Vesting and Exercise</w:t>
      </w:r>
    </w:p>
    <w:p>
      <w:pPr>
        <w:spacing w:after="0" w:line="115" w:lineRule="exact"/>
        <w:rPr>
          <w:sz w:val="20"/>
          <w:szCs w:val="20"/>
          <w:color w:val="auto"/>
        </w:rPr>
      </w:pPr>
    </w:p>
    <w:p>
      <w:pPr>
        <w:jc w:val="both"/>
        <w:ind w:left="440" w:firstLine="423"/>
        <w:spacing w:after="0" w:line="264" w:lineRule="auto"/>
        <w:rPr>
          <w:sz w:val="20"/>
          <w:szCs w:val="20"/>
          <w:color w:val="auto"/>
        </w:rPr>
      </w:pPr>
      <w:r>
        <w:rPr>
          <w:rFonts w:ascii="Arial" w:cs="Arial" w:eastAsia="Arial" w:hAnsi="Arial"/>
          <w:sz w:val="17"/>
          <w:szCs w:val="17"/>
          <w:color w:val="auto"/>
        </w:rPr>
        <w:t>The LTIP Awards are subject to a vesting schedule as determined by the Mereo Board. LTIP Awards granted to key executive directors and senior management are subject to: (i) a share price performance condition; and (ii) the achievement of strategic operational targets. If on the date a LTIP Award is due to vest or be exercisable a restriction on share dealing (as may be imposed by Mereo’s share dealing code or the AIM rules) applies to the award, then the award will vest on the date on which such dealing restriction lifts.</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Limitation on Awards</w:t>
      </w:r>
    </w:p>
    <w:p>
      <w:pPr>
        <w:spacing w:after="0" w:line="115" w:lineRule="exact"/>
        <w:rPr>
          <w:sz w:val="20"/>
          <w:szCs w:val="20"/>
          <w:color w:val="auto"/>
        </w:rPr>
      </w:pPr>
    </w:p>
    <w:p>
      <w:pPr>
        <w:ind w:left="440" w:right="140" w:firstLine="423"/>
        <w:spacing w:after="0" w:line="284" w:lineRule="auto"/>
        <w:rPr>
          <w:sz w:val="20"/>
          <w:szCs w:val="20"/>
          <w:color w:val="auto"/>
        </w:rPr>
      </w:pPr>
      <w:r>
        <w:rPr>
          <w:rFonts w:ascii="Arial" w:cs="Arial" w:eastAsia="Arial" w:hAnsi="Arial"/>
          <w:sz w:val="17"/>
          <w:szCs w:val="17"/>
          <w:color w:val="auto"/>
        </w:rPr>
        <w:t>No eligible employee may be granted LTIP Awards that, at the time they are granted, would cause the market value of shares subject to the LTIP Awards granted to the employee in respect of a financial year to exceed 300% of the employee’s salary.</w:t>
      </w:r>
    </w:p>
    <w:p>
      <w:pPr>
        <w:spacing w:after="0" w:line="159" w:lineRule="exact"/>
        <w:rPr>
          <w:sz w:val="20"/>
          <w:szCs w:val="20"/>
          <w:color w:val="auto"/>
        </w:rPr>
      </w:pPr>
    </w:p>
    <w:p>
      <w:pPr>
        <w:ind w:left="440" w:right="40" w:firstLine="423"/>
        <w:spacing w:after="0" w:line="285" w:lineRule="auto"/>
        <w:rPr>
          <w:sz w:val="20"/>
          <w:szCs w:val="20"/>
          <w:color w:val="auto"/>
        </w:rPr>
      </w:pPr>
      <w:r>
        <w:rPr>
          <w:rFonts w:ascii="Arial" w:cs="Arial" w:eastAsia="Arial" w:hAnsi="Arial"/>
          <w:sz w:val="16"/>
          <w:szCs w:val="16"/>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Mereo’s accounts, an error in assessing a performance condition such that the LTIP Award vests to a greater extent than it would have vested, or fraudulent or material misconduct on the part of the participant.</w:t>
      </w:r>
    </w:p>
    <w:p>
      <w:pPr>
        <w:spacing w:after="0" w:line="266"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Scheme Leavers</w:t>
      </w:r>
    </w:p>
    <w:p>
      <w:pPr>
        <w:spacing w:after="0" w:line="115" w:lineRule="exact"/>
        <w:rPr>
          <w:sz w:val="20"/>
          <w:szCs w:val="20"/>
          <w:color w:val="auto"/>
        </w:rPr>
      </w:pPr>
    </w:p>
    <w:p>
      <w:pPr>
        <w:ind w:left="440" w:right="100" w:firstLine="423"/>
        <w:spacing w:after="0" w:line="264" w:lineRule="auto"/>
        <w:rPr>
          <w:sz w:val="20"/>
          <w:szCs w:val="20"/>
          <w:color w:val="auto"/>
        </w:rPr>
      </w:pPr>
      <w:r>
        <w:rPr>
          <w:rFonts w:ascii="Arial" w:cs="Arial" w:eastAsia="Arial" w:hAnsi="Arial"/>
          <w:sz w:val="17"/>
          <w:szCs w:val="17"/>
          <w:color w:val="auto"/>
        </w:rPr>
        <w:t>The LTIP Awards will usually lapse on the participant’s cessation of employment or office, unless the cessation is because of death, ill health, injury or disability, or where the participant is no longer employed by Mereo, or for any other reason at the Mereo Board’s discretion, except where the participant is summarily dismissed, in which case any unvested LTIP Awards will usually continue until the normal vesting date, unless the Mereo Board determines otherwise.</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Certain Transactions</w:t>
      </w:r>
    </w:p>
    <w:p>
      <w:pPr>
        <w:spacing w:after="0" w:line="115" w:lineRule="exact"/>
        <w:rPr>
          <w:sz w:val="20"/>
          <w:szCs w:val="20"/>
          <w:color w:val="auto"/>
        </w:rPr>
      </w:pPr>
    </w:p>
    <w:p>
      <w:pPr>
        <w:ind w:left="440" w:right="20" w:firstLine="423"/>
        <w:spacing w:after="0" w:line="261" w:lineRule="auto"/>
        <w:rPr>
          <w:sz w:val="20"/>
          <w:szCs w:val="20"/>
          <w:color w:val="auto"/>
        </w:rPr>
      </w:pPr>
      <w:r>
        <w:rPr>
          <w:rFonts w:ascii="Arial" w:cs="Arial" w:eastAsia="Arial" w:hAnsi="Arial"/>
          <w:sz w:val="17"/>
          <w:szCs w:val="17"/>
          <w:color w:val="auto"/>
        </w:rPr>
        <w:t>Under the LTIP, if certain changes are made in or events occur with respect to Mereo ordinary shares (including any variation of share capital, any demerger, delisting, special dividend, rights issue or other event which may, in the opinion of the Mereo Board, affect the current or future value of Mereo ordinary shares), the number of shares subject to a LTIP Award, or any performance condition, may be adjusted as determined by the Mereo Board. In addition, upon such an event, the Mereo Board will determine: (i) whether and to what extent awards which have not yet vested will vest; and (ii) the period of time during which any vested option may be exercised.</w:t>
      </w:r>
    </w:p>
    <w:p>
      <w:pPr>
        <w:spacing w:after="0" w:line="1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960"/>
          </w:cols>
          <w:pgMar w:left="240" w:top="445" w:right="69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In the event of certain corporate transactions, including a general offer or a scheme of arrangement, the vesting and exercisability of all LTIP Awards will accelerate to the extent determined by the Mereo Board (taking into account the extent to which any performance conditions have been satisfied and usually the period of time from the date of grant to the date of the corporate transaction), and any nil-cost options will remain exercisable for one month (or such other period as determined by the Mereo Board), following which they will lapse. However, if there is an internal reorganization, a LTIP Award will be exchanged in consideration of the grant of a new award which, as determined by the Mereo Board, is equivalent to the LTIP Award but relates to shares in a different company (whether the acquiring company or a different company). Any LTIP Award that does not vest or is not exchanged will lapse immediately.</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Amendment and Termination</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Mereo Board may, at any time, amend the rules of the LTIP or the terms of any LTIP Award, except that no amendment may be made:</w:t>
      </w:r>
    </w:p>
    <w:p>
      <w:pPr>
        <w:spacing w:after="0" w:line="36" w:lineRule="exact"/>
        <w:rPr>
          <w:sz w:val="20"/>
          <w:szCs w:val="20"/>
          <w:color w:val="auto"/>
        </w:rPr>
      </w:pPr>
    </w:p>
    <w:p>
      <w:pPr>
        <w:ind w:left="440" w:right="80" w:hanging="9"/>
        <w:spacing w:after="0" w:line="259" w:lineRule="auto"/>
        <w:tabs>
          <w:tab w:leader="none" w:pos="646" w:val="left"/>
        </w:tabs>
        <w:numPr>
          <w:ilvl w:val="0"/>
          <w:numId w:val="91"/>
        </w:numPr>
        <w:rPr>
          <w:rFonts w:ascii="Arial" w:cs="Arial" w:eastAsia="Arial" w:hAnsi="Arial"/>
          <w:sz w:val="17"/>
          <w:szCs w:val="17"/>
          <w:color w:val="auto"/>
        </w:rPr>
      </w:pPr>
      <w:r>
        <w:rPr>
          <w:rFonts w:ascii="Arial" w:cs="Arial" w:eastAsia="Arial" w:hAnsi="Arial"/>
          <w:sz w:val="17"/>
          <w:szCs w:val="17"/>
          <w:color w:val="auto"/>
        </w:rPr>
        <w:t>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U.K. Companies Act 2006. No LTIP Awards may be granted pursuant to the LTIP after the tenth anniversary of the date of Admission.</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Mereo Deferred Bonus Share Plan (the “2016 DBSP”)</w:t>
      </w:r>
    </w:p>
    <w:p>
      <w:pPr>
        <w:spacing w:after="0" w:line="115" w:lineRule="exact"/>
        <w:rPr>
          <w:sz w:val="20"/>
          <w:szCs w:val="20"/>
          <w:color w:val="auto"/>
        </w:rPr>
      </w:pPr>
    </w:p>
    <w:p>
      <w:pPr>
        <w:ind w:left="440" w:right="80" w:firstLine="423"/>
        <w:spacing w:after="0" w:line="284" w:lineRule="auto"/>
        <w:rPr>
          <w:sz w:val="20"/>
          <w:szCs w:val="20"/>
          <w:color w:val="auto"/>
        </w:rPr>
      </w:pPr>
      <w:r>
        <w:rPr>
          <w:rFonts w:ascii="Arial" w:cs="Arial" w:eastAsia="Arial" w:hAnsi="Arial"/>
          <w:sz w:val="17"/>
          <w:szCs w:val="17"/>
          <w:color w:val="auto"/>
        </w:rPr>
        <w:t>The Mereo Board adopted the 2016 DBSP on June 9, 2016 and has subsequently amended it. Following the adoption of the 2019 DBP in January 2019, no further grants are expected to be made under the 2016 DBSP.</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Eligibility, Awards and Administration</w:t>
      </w:r>
    </w:p>
    <w:p>
      <w:pPr>
        <w:spacing w:after="0" w:line="115" w:lineRule="exact"/>
        <w:rPr>
          <w:sz w:val="20"/>
          <w:szCs w:val="20"/>
          <w:color w:val="auto"/>
        </w:rPr>
      </w:pPr>
    </w:p>
    <w:p>
      <w:pPr>
        <w:ind w:left="440" w:right="200" w:firstLine="423"/>
        <w:spacing w:after="0" w:line="284" w:lineRule="auto"/>
        <w:rPr>
          <w:sz w:val="20"/>
          <w:szCs w:val="20"/>
          <w:color w:val="auto"/>
        </w:rPr>
      </w:pPr>
      <w:r>
        <w:rPr>
          <w:rFonts w:ascii="Arial" w:cs="Arial" w:eastAsia="Arial" w:hAnsi="Arial"/>
          <w:sz w:val="17"/>
          <w:szCs w:val="17"/>
          <w:color w:val="auto"/>
        </w:rPr>
        <w:t>The 2016 DBSP provides for the deferral of a percentage (currently 30%) of the annual bonuses awarded to Mereo’s employees into the right to acquire shares equal in value to the amount deferred, free of charge.</w:t>
      </w:r>
    </w:p>
    <w:p>
      <w:pPr>
        <w:spacing w:after="0" w:line="159" w:lineRule="exact"/>
        <w:rPr>
          <w:sz w:val="20"/>
          <w:szCs w:val="20"/>
          <w:color w:val="auto"/>
        </w:rPr>
      </w:pPr>
    </w:p>
    <w:p>
      <w:pPr>
        <w:ind w:left="440" w:right="140" w:firstLine="423"/>
        <w:spacing w:after="0" w:line="285" w:lineRule="auto"/>
        <w:rPr>
          <w:sz w:val="20"/>
          <w:szCs w:val="20"/>
          <w:color w:val="auto"/>
        </w:rPr>
      </w:pPr>
      <w:r>
        <w:rPr>
          <w:rFonts w:ascii="Arial" w:cs="Arial" w:eastAsia="Arial" w:hAnsi="Arial"/>
          <w:sz w:val="16"/>
          <w:szCs w:val="16"/>
          <w:color w:val="auto"/>
        </w:rPr>
        <w:t>Under the 2016 DBSP, conditional awards or nil-cost options (the “2016 DBSP Awards”) may only be granted to participants who have earned a bonus, pursuant to Mereo’s annual bonus plan, for the financial year immediately preceding the financial year in which the grant date occurs. A 2016 DBSP Award will be granted over such number of shares as have at the grant date a market value, as determined by the Mereo Board, equal to the deferred bonus (the amount of bonus which is to be delivered in the form of a conditional award or a nil-cost option).</w:t>
      </w:r>
    </w:p>
    <w:p>
      <w:pPr>
        <w:spacing w:after="0" w:line="266"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Vesting and Exercise</w:t>
      </w:r>
    </w:p>
    <w:p>
      <w:pPr>
        <w:spacing w:after="0" w:line="115" w:lineRule="exact"/>
        <w:rPr>
          <w:sz w:val="20"/>
          <w:szCs w:val="20"/>
          <w:color w:val="auto"/>
        </w:rPr>
      </w:pPr>
    </w:p>
    <w:p>
      <w:pPr>
        <w:ind w:left="440" w:right="80" w:firstLine="423"/>
        <w:spacing w:after="0" w:line="269" w:lineRule="auto"/>
        <w:rPr>
          <w:sz w:val="20"/>
          <w:szCs w:val="20"/>
          <w:color w:val="auto"/>
        </w:rPr>
      </w:pPr>
      <w:r>
        <w:rPr>
          <w:rFonts w:ascii="Arial" w:cs="Arial" w:eastAsia="Arial" w:hAnsi="Arial"/>
          <w:sz w:val="17"/>
          <w:szCs w:val="17"/>
          <w:color w:val="auto"/>
        </w:rPr>
        <w:t>The 2016 DBSP Awards will generally vest three years after the date of grant and have no performance conditions or service condition. The 2016 DBSP Awards may be settled in cash if determined by the Mereo Board. The shares used to satisfy the 2016 DBSP Awards are currently delivered through the Mereo BioPharma Group plc Employee Benefit Trust, which is based in Jersey.</w:t>
      </w:r>
    </w:p>
    <w:p>
      <w:pPr>
        <w:spacing w:after="0" w:line="171" w:lineRule="exact"/>
        <w:rPr>
          <w:sz w:val="20"/>
          <w:szCs w:val="20"/>
          <w:color w:val="auto"/>
        </w:rPr>
      </w:pPr>
    </w:p>
    <w:p>
      <w:pPr>
        <w:ind w:left="440" w:right="340" w:firstLine="423"/>
        <w:spacing w:after="0" w:line="284" w:lineRule="auto"/>
        <w:rPr>
          <w:sz w:val="20"/>
          <w:szCs w:val="20"/>
          <w:color w:val="auto"/>
        </w:rPr>
      </w:pPr>
      <w:r>
        <w:rPr>
          <w:rFonts w:ascii="Arial" w:cs="Arial" w:eastAsia="Arial" w:hAnsi="Arial"/>
          <w:sz w:val="17"/>
          <w:szCs w:val="17"/>
          <w:color w:val="auto"/>
        </w:rPr>
        <w:t>If on the date a 2016 DBSP Award is due to vest or be exercisable a restriction on share dealing (as may be imposed by Mereo’s share dealing code or the AIM rules) applies to the award, then the award will vest on the date on which such dealing restriction lifts.</w:t>
      </w:r>
    </w:p>
    <w:p>
      <w:pPr>
        <w:spacing w:after="0" w:line="159" w:lineRule="exact"/>
        <w:rPr>
          <w:sz w:val="20"/>
          <w:szCs w:val="20"/>
          <w:color w:val="auto"/>
        </w:rPr>
      </w:pPr>
    </w:p>
    <w:p>
      <w:pPr>
        <w:ind w:left="440" w:right="420" w:firstLine="423"/>
        <w:spacing w:after="0" w:line="284" w:lineRule="auto"/>
        <w:rPr>
          <w:sz w:val="20"/>
          <w:szCs w:val="20"/>
          <w:color w:val="auto"/>
        </w:rPr>
      </w:pPr>
      <w:r>
        <w:rPr>
          <w:rFonts w:ascii="Arial" w:cs="Arial" w:eastAsia="Arial" w:hAnsi="Arial"/>
          <w:sz w:val="17"/>
          <w:szCs w:val="17"/>
          <w:color w:val="auto"/>
        </w:rPr>
        <w:t>Once a nil-cost option has vested, it may be exercised during the period ending on the first anniversary of the date on which it vested in such manner as the Mereo Board determines, after which time it will lapse.</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Limitation on Awards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No eligible employee may be granted 2016 DBSP Awards that, at the time they are granted, would cause the market value of shares subject to the</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2016 DBSP Awards granted to the employee in respect of a financial year to exceed 100% of the employee’s salary.</w:t>
      </w:r>
    </w:p>
    <w:p>
      <w:pPr>
        <w:spacing w:after="0" w:line="206" w:lineRule="exact"/>
        <w:rPr>
          <w:sz w:val="20"/>
          <w:szCs w:val="20"/>
          <w:color w:val="auto"/>
        </w:rPr>
      </w:pPr>
    </w:p>
    <w:p>
      <w:pPr>
        <w:ind w:left="440" w:right="100" w:firstLine="423"/>
        <w:spacing w:after="0" w:line="264" w:lineRule="auto"/>
        <w:rPr>
          <w:sz w:val="20"/>
          <w:szCs w:val="20"/>
          <w:color w:val="auto"/>
        </w:rPr>
      </w:pPr>
      <w:r>
        <w:rPr>
          <w:rFonts w:ascii="Arial" w:cs="Arial" w:eastAsia="Arial" w:hAnsi="Arial"/>
          <w:sz w:val="17"/>
          <w:szCs w:val="17"/>
          <w:color w:val="auto"/>
        </w:rPr>
        <w:t>The 2016 DBSP Awards may, prior to the third anniversary of the grant date, be: (i) reduced; or (ii) where the underlying shares or cash have already been transferred to the participant following vesting or exercise of the 2016 DBSP Award (as applicable), clawed back, where there has been a material misstatement of Mereo’s accounts, an error in assessing the information on which the bonus was determined such that the bonus was overpaid, or fraudulent or material misconduct on the part of the participant.</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980"/>
          </w:cols>
          <w:pgMar w:left="240" w:top="445" w:right="67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Certain Transactions</w:t>
      </w:r>
    </w:p>
    <w:p>
      <w:pPr>
        <w:spacing w:after="0" w:line="115"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7"/>
          <w:szCs w:val="17"/>
          <w:color w:val="auto"/>
        </w:rPr>
        <w:t>Under the 2016 DBSP, if certain changes are made in or events occur with respect to Mereo ordinary shares (including any variation of share capital, any demerger, delisting, special dividend, rights issue or other event which may in the opinion of the Mereo Board, affect the current or future value of Mereo ordinary shares), the number of shares subject to a 2016 DBSP Award may be adjusted as determined by the Mereo Board. In addition, upon such an event, the Mereo Board will determine: (i) whether and to what extent 2016 DBSP Awards which have not yet vested will vest; and (ii) the period of time during which any vested option may be exercised.</w:t>
      </w:r>
    </w:p>
    <w:p>
      <w:pPr>
        <w:spacing w:after="0" w:line="180" w:lineRule="exact"/>
        <w:rPr>
          <w:sz w:val="20"/>
          <w:szCs w:val="20"/>
          <w:color w:val="auto"/>
        </w:rPr>
      </w:pPr>
    </w:p>
    <w:p>
      <w:pPr>
        <w:ind w:left="440" w:right="20" w:firstLine="423"/>
        <w:spacing w:after="0" w:line="281" w:lineRule="auto"/>
        <w:rPr>
          <w:sz w:val="20"/>
          <w:szCs w:val="20"/>
          <w:color w:val="auto"/>
        </w:rPr>
      </w:pPr>
      <w:r>
        <w:rPr>
          <w:rFonts w:ascii="Arial" w:cs="Arial" w:eastAsia="Arial" w:hAnsi="Arial"/>
          <w:sz w:val="16"/>
          <w:szCs w:val="16"/>
          <w:color w:val="auto"/>
        </w:rPr>
        <w:t>In the event of certain corporate transactions, including a general offer or a scheme of arrangement, the vesting and exercisability of all 2016 DBSP Awards will accelerate to the extent determined by the Mereo Board, after which, the 2016 DBSP Awards will be exercisable for one month (or such other period as or determined by the Mereo Board), following which they will lapse. However, if there is an internal reorganization, a 2016 DBSP Award will be exchanged in consideration of the grant of a new award which, as determined by the Mereo Board, is equivalent to the 2016 DBSP Award but relates to shares in a different company (whether the acquiring company or a different company).</w:t>
      </w:r>
    </w:p>
    <w:p>
      <w:pPr>
        <w:spacing w:after="0" w:line="270"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Scheme Leavers</w:t>
      </w:r>
    </w:p>
    <w:p>
      <w:pPr>
        <w:spacing w:after="0" w:line="115"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Except for where a participant is summarily dismissed (in which case the awards will be forfeited), the 2016 DBSP Awards usually will continue upon cessation of office or employment with Mereo and vest in full on the normal vesting date as described above. Options will remain exercisable for a period of 12 months from the date of vesting.</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Amendment and Termination</w:t>
      </w:r>
    </w:p>
    <w:p>
      <w:pPr>
        <w:spacing w:after="0" w:line="115"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The Mereo Board may, at any time, amend the rules of the 2016 DBSP,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2016 DBSP from being an employees’ share scheme in accordance with the U.K. Companies Act 2006.</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 2016 DBSP Awards may be granted pursuant to the 2016 DBSP after the tenth anniversary of the date of Admission.</w:t>
      </w:r>
    </w:p>
    <w:p>
      <w:pPr>
        <w:spacing w:after="0" w:line="219"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Mereo’s Remuneration Committee has approved awards under the 2016 DBSP in respect of bonuses awarded to certain of Mereo’s executive officers for 2017. These awards are in the form of nil-cost option grants under the 2016 DBSP in the following amounts: Dr. Scots-Knight: 32,205 shares subject to the option; Mr. Jones: 22,058 shares subject to the option; Dr. MacKinnon: 22,588 shares subject to the option; and Mr. Sermon: 23,966 shares subject to the option. The options are scheduled to vest on the third anniversary of the date of grant.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Mereo New Deferred Bonus Plan (the “2019 DBP”)</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Mereo Board adopted Mereo’s the 2019 DBP on January 15, 2019.</w:t>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Holding of Deferred Shares</w:t>
      </w:r>
    </w:p>
    <w:p>
      <w:pPr>
        <w:spacing w:after="0" w:line="115" w:lineRule="exact"/>
        <w:rPr>
          <w:sz w:val="20"/>
          <w:szCs w:val="20"/>
          <w:color w:val="auto"/>
        </w:rPr>
      </w:pPr>
    </w:p>
    <w:p>
      <w:pPr>
        <w:ind w:left="440" w:right="120" w:firstLine="423"/>
        <w:spacing w:after="0" w:line="284" w:lineRule="auto"/>
        <w:rPr>
          <w:sz w:val="20"/>
          <w:szCs w:val="20"/>
          <w:color w:val="auto"/>
        </w:rPr>
      </w:pPr>
      <w:r>
        <w:rPr>
          <w:rFonts w:ascii="Arial" w:cs="Arial" w:eastAsia="Arial" w:hAnsi="Arial"/>
          <w:sz w:val="17"/>
          <w:szCs w:val="17"/>
          <w:color w:val="auto"/>
        </w:rPr>
        <w:t>Under the 2019 DBP, Mereo ordinary shares may be purchased by participants using an after-tax bonus amount paid to them pursuant to Mereo’s annual bonus plan (“Deferred Shares”).</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Restrictions on Deferred Shares</w:t>
      </w:r>
    </w:p>
    <w:p>
      <w:pPr>
        <w:spacing w:after="0" w:line="115" w:lineRule="exact"/>
        <w:rPr>
          <w:sz w:val="20"/>
          <w:szCs w:val="20"/>
          <w:color w:val="auto"/>
        </w:rPr>
      </w:pPr>
    </w:p>
    <w:p>
      <w:pPr>
        <w:ind w:left="440" w:right="140" w:firstLine="423"/>
        <w:spacing w:after="0" w:line="261" w:lineRule="auto"/>
        <w:rPr>
          <w:sz w:val="20"/>
          <w:szCs w:val="20"/>
          <w:color w:val="auto"/>
        </w:rPr>
      </w:pPr>
      <w:r>
        <w:rPr>
          <w:rFonts w:ascii="Arial" w:cs="Arial" w:eastAsia="Arial" w:hAnsi="Arial"/>
          <w:sz w:val="17"/>
          <w:szCs w:val="17"/>
          <w:color w:val="auto"/>
        </w:rPr>
        <w:t>The participants must hold the Deferred Shares for two years (or such other period as the Mereo Board may determine in advance) beginning on the date or dates on which a participant purchases those shares with the bonus. Participants must not transfer, assign, charge, sell or dispose of or encumber any Deferred Shares during this period except as permitted under the 2019 DBP or by the Mereo Board. The 2019 DBP permits participants to transfer Deferred Shares to an immediate family member or nominee to hold for them or as a beneficiary, or to a personal representative in the event of the participant’s death.</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000"/>
          </w:cols>
          <w:pgMar w:left="240" w:top="445" w:right="65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Cessation of Employment</w:t>
      </w:r>
    </w:p>
    <w:p>
      <w:pPr>
        <w:spacing w:after="0" w:line="115" w:lineRule="exact"/>
        <w:rPr>
          <w:sz w:val="20"/>
          <w:szCs w:val="20"/>
          <w:color w:val="auto"/>
        </w:rPr>
      </w:pPr>
    </w:p>
    <w:p>
      <w:pPr>
        <w:ind w:left="440" w:right="80" w:firstLine="423"/>
        <w:spacing w:after="0" w:line="264" w:lineRule="auto"/>
        <w:rPr>
          <w:sz w:val="20"/>
          <w:szCs w:val="20"/>
          <w:color w:val="auto"/>
        </w:rPr>
      </w:pPr>
      <w:r>
        <w:rPr>
          <w:rFonts w:ascii="Arial" w:cs="Arial" w:eastAsia="Arial" w:hAnsi="Arial"/>
          <w:sz w:val="17"/>
          <w:szCs w:val="17"/>
          <w:color w:val="auto"/>
        </w:rPr>
        <w:t>If a participant ceases employment with Mereo, he or she must continue to hold the Deferred Shares in accordance with the restrictions under the 2019 DBP unless the Mereo Board disapply some or all of the restrictions in respect of some or all of that participant’s Deferred Shares. The Mereo Board will not have discretion to disapply any of the restrictions in the case of a participant who has been dismissed lawfully without notice or could have been so dismissed if he or she had not resigned.</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Certain Transactions</w:t>
      </w:r>
    </w:p>
    <w:p>
      <w:pPr>
        <w:spacing w:after="0" w:line="115" w:lineRule="exact"/>
        <w:rPr>
          <w:sz w:val="20"/>
          <w:szCs w:val="20"/>
          <w:color w:val="auto"/>
        </w:rPr>
      </w:pPr>
    </w:p>
    <w:p>
      <w:pPr>
        <w:ind w:left="440" w:right="20" w:firstLine="423"/>
        <w:spacing w:after="0" w:line="293" w:lineRule="auto"/>
        <w:rPr>
          <w:sz w:val="20"/>
          <w:szCs w:val="20"/>
          <w:color w:val="auto"/>
        </w:rPr>
      </w:pPr>
      <w:r>
        <w:rPr>
          <w:rFonts w:ascii="Arial" w:cs="Arial" w:eastAsia="Arial" w:hAnsi="Arial"/>
          <w:sz w:val="16"/>
          <w:szCs w:val="16"/>
          <w:color w:val="auto"/>
        </w:rPr>
        <w:t>Under the 2019 DBP, if any person obtains control of Mereo (by means of holding shares, the possession of voting power, or as a result of any powers conferred by Mereo’s Articles or other document relating to Mereo), the restrictions on Deferred Shares under the 2019 DBP will cease to apply from that date unless the Mereo Board determines otherwise. The Mereo Board may not extend the restrictions under the 2019 DBP.</w:t>
      </w:r>
    </w:p>
    <w:p>
      <w:pPr>
        <w:spacing w:after="0" w:line="155" w:lineRule="exact"/>
        <w:rPr>
          <w:sz w:val="20"/>
          <w:szCs w:val="20"/>
          <w:color w:val="auto"/>
        </w:rPr>
      </w:pPr>
    </w:p>
    <w:p>
      <w:pPr>
        <w:ind w:left="440" w:right="60" w:firstLine="423"/>
        <w:spacing w:after="0" w:line="321" w:lineRule="auto"/>
        <w:rPr>
          <w:sz w:val="20"/>
          <w:szCs w:val="20"/>
          <w:color w:val="auto"/>
        </w:rPr>
      </w:pPr>
      <w:r>
        <w:rPr>
          <w:rFonts w:ascii="Arial" w:cs="Arial" w:eastAsia="Arial" w:hAnsi="Arial"/>
          <w:sz w:val="15"/>
          <w:szCs w:val="15"/>
          <w:color w:val="auto"/>
        </w:rPr>
        <w:t>If an internal reorganization occurs (whereby immediately after a change of control of Mereo, all or substantially all of the issued share capital of the acquiring company is owned directly or indirectly by the persons who were shareholders in Mereo before the change of control) and the Deferred Shares are exchanged for shares in another company, the rules of the 2019 DBP will apply to those shares as if they were Deferred Shares.</w:t>
      </w:r>
    </w:p>
    <w:p>
      <w:pPr>
        <w:spacing w:after="0" w:line="240"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Regulatory Issues</w:t>
      </w:r>
    </w:p>
    <w:p>
      <w:pPr>
        <w:spacing w:after="0" w:line="115" w:lineRule="exact"/>
        <w:rPr>
          <w:sz w:val="20"/>
          <w:szCs w:val="20"/>
          <w:color w:val="auto"/>
        </w:rPr>
      </w:pPr>
    </w:p>
    <w:p>
      <w:pPr>
        <w:ind w:left="440" w:right="160" w:firstLine="423"/>
        <w:spacing w:after="0" w:line="269" w:lineRule="auto"/>
        <w:rPr>
          <w:sz w:val="20"/>
          <w:szCs w:val="20"/>
          <w:color w:val="auto"/>
        </w:rPr>
      </w:pPr>
      <w:r>
        <w:rPr>
          <w:rFonts w:ascii="Arial" w:cs="Arial" w:eastAsia="Arial" w:hAnsi="Arial"/>
          <w:sz w:val="17"/>
          <w:szCs w:val="17"/>
          <w:color w:val="auto"/>
        </w:rPr>
        <w:t>The purchase or transfer of Mereo ordinary shares under the 2019 DBP will be subject to obtaining any approval or consent required by AIM or Nasdaq (or any other relevant authority) and any restrictions imposed by Mereo’s share dealing code, the AIM rules, or any applicable laws or regulations which impose restrictions on share dealing.</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Amendment and Termination</w:t>
      </w:r>
    </w:p>
    <w:p>
      <w:pPr>
        <w:spacing w:after="0" w:line="115" w:lineRule="exact"/>
        <w:rPr>
          <w:sz w:val="20"/>
          <w:szCs w:val="20"/>
          <w:color w:val="auto"/>
        </w:rPr>
      </w:pPr>
    </w:p>
    <w:p>
      <w:pPr>
        <w:ind w:left="440" w:right="360" w:firstLine="423"/>
        <w:spacing w:after="0" w:line="310" w:lineRule="auto"/>
        <w:rPr>
          <w:sz w:val="20"/>
          <w:szCs w:val="20"/>
          <w:color w:val="auto"/>
        </w:rPr>
      </w:pPr>
      <w:r>
        <w:rPr>
          <w:rFonts w:ascii="Arial" w:cs="Arial" w:eastAsia="Arial" w:hAnsi="Arial"/>
          <w:sz w:val="15"/>
          <w:szCs w:val="15"/>
          <w:color w:val="auto"/>
        </w:rPr>
        <w:t>The Mereo Board may, at any time, amend the rules of the 2019 DBP or the terms of the Deferred Shares,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2019 DBP from being an employees’ share scheme in accordance with the U.K. Companies Act 2006.</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2019 DBP will terminate on the tenth anniversary of its adoption by the Mereo Board or at any earlier time by resolution of the Mereo Board.</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Termination of the 2019 DBP will be without prejudice to the existing rights of participants.</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Mereo 2019 Equity Incentive Plan (the “2019 Plan”)</w:t>
      </w:r>
    </w:p>
    <w:p>
      <w:pPr>
        <w:spacing w:after="0" w:line="115"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On April 4, 2019 we established The Mereo 2019 Equity Incentive Plan. Under the 2019 Plan it is anticipated that market value options will be granted to executives and other employees with a four-year vesting period and no performance conditions. No grants have been made under the 2019 Plan as at the date of this annual report. The 2019 Plan provides a framework for the grant of market value options and/or restricted stock unit awards to officers of Mereo (or of any subsidiary).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Mereo 2019 NED Equity Incentive Plan (the “2019 NED Plan”)</w:t>
      </w:r>
    </w:p>
    <w:p>
      <w:pPr>
        <w:spacing w:after="0" w:line="115" w:lineRule="exact"/>
        <w:rPr>
          <w:sz w:val="20"/>
          <w:szCs w:val="20"/>
          <w:color w:val="auto"/>
        </w:rPr>
      </w:pPr>
    </w:p>
    <w:p>
      <w:pPr>
        <w:ind w:left="440" w:right="20" w:firstLine="423"/>
        <w:spacing w:after="0" w:line="281" w:lineRule="auto"/>
        <w:rPr>
          <w:sz w:val="20"/>
          <w:szCs w:val="20"/>
          <w:color w:val="auto"/>
        </w:rPr>
      </w:pPr>
      <w:r>
        <w:rPr>
          <w:rFonts w:ascii="Arial" w:cs="Arial" w:eastAsia="Arial" w:hAnsi="Arial"/>
          <w:sz w:val="16"/>
          <w:szCs w:val="16"/>
          <w:color w:val="auto"/>
        </w:rPr>
        <w:t>On April 4, 2019 we established The Mereo 2019 NED Equity Incentive Plan. Under the 2019 NED Plan it is anticipated that market value options will be granted to non-executive directors with no performance conditions. Options to existing non-executive directors will be granted with a one-year vesting period and options to newly appointed non-executive directors will be granted with a three-year vesting period. No grants have been made under the 2019 NED Plan as at the date of this annual report. The plan provides a framework for a range of different types of share related awards (including market value options, share appreciation rights, restricted stock and restricted stock units).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940"/>
          </w:cols>
          <w:pgMar w:left="240" w:top="445" w:right="71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Major Shareholders And Related Party Transactions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7.A. Major Shareholders</w:t>
      </w:r>
    </w:p>
    <w:p>
      <w:pPr>
        <w:spacing w:after="0" w:line="121" w:lineRule="exact"/>
        <w:rPr>
          <w:sz w:val="20"/>
          <w:szCs w:val="20"/>
          <w:color w:val="auto"/>
        </w:rPr>
      </w:pPr>
    </w:p>
    <w:p>
      <w:pPr>
        <w:ind w:left="440" w:right="220" w:firstLine="423"/>
        <w:spacing w:after="0" w:line="284" w:lineRule="auto"/>
        <w:rPr>
          <w:sz w:val="20"/>
          <w:szCs w:val="20"/>
          <w:color w:val="auto"/>
        </w:rPr>
      </w:pPr>
      <w:r>
        <w:rPr>
          <w:rFonts w:ascii="Arial" w:cs="Arial" w:eastAsia="Arial" w:hAnsi="Arial"/>
          <w:sz w:val="17"/>
          <w:szCs w:val="17"/>
          <w:color w:val="auto"/>
        </w:rPr>
        <w:t>The following table sets forth information relating to the beneficial ownership of Mereo ordinary shares as of April 24, 2019 by each person, or group of affiliated persons, known by Mereo to own beneficially 3% or more of the outstanding Mereo ordinary shares.</w:t>
      </w:r>
    </w:p>
    <w:p>
      <w:pPr>
        <w:spacing w:after="0" w:line="159"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The number of Mereo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24, 2019 through the exercise of any option, warrant or other right. Except as otherwise indicated, and subject to applicable community property laws, the persons named in the table have sole voting and investment power with respect to all Mereo ordinary shares held by that person.</w:t>
      </w:r>
    </w:p>
    <w:p>
      <w:pPr>
        <w:spacing w:after="0" w:line="180" w:lineRule="exact"/>
        <w:rPr>
          <w:sz w:val="20"/>
          <w:szCs w:val="20"/>
          <w:color w:val="auto"/>
        </w:rPr>
      </w:pPr>
    </w:p>
    <w:p>
      <w:pPr>
        <w:ind w:left="440" w:right="20" w:firstLine="423"/>
        <w:spacing w:after="0" w:line="301" w:lineRule="auto"/>
        <w:rPr>
          <w:sz w:val="20"/>
          <w:szCs w:val="20"/>
          <w:color w:val="auto"/>
        </w:rPr>
      </w:pPr>
      <w:r>
        <w:rPr>
          <w:rFonts w:ascii="Arial" w:cs="Arial" w:eastAsia="Arial" w:hAnsi="Arial"/>
          <w:sz w:val="15"/>
          <w:szCs w:val="15"/>
          <w:color w:val="auto"/>
        </w:rPr>
        <w:t>The percentage of Mereo ordinary shares beneficially owned as of April 24, 2019 is computed on the basis of 96,023,592 Mereo ordinary shares outstanding as of April 24, 2019. As of the date of this annual report, Mereo’s share capital (fully subscribed and paid up) is 96,023,592 Mereo ordinary shares. Mereo ordinary shares that a person has the right to acquire within 60 days of April 24, 2019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4</w:t>
      </w:r>
      <w:r>
        <w:rPr>
          <w:rFonts w:ascii="Arial" w:cs="Arial" w:eastAsia="Arial" w:hAnsi="Arial"/>
          <w:sz w:val="12"/>
          <w:szCs w:val="12"/>
          <w:color w:val="auto"/>
        </w:rPr>
        <w:t>th</w:t>
      </w:r>
      <w:r>
        <w:rPr>
          <w:rFonts w:ascii="Arial" w:cs="Arial" w:eastAsia="Arial" w:hAnsi="Arial"/>
          <w:sz w:val="15"/>
          <w:szCs w:val="15"/>
          <w:color w:val="auto"/>
        </w:rPr>
        <w:t xml:space="preserve"> Floor, One Cavendish Place, London W1G 0QF, United Kingdom.</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80" w:type="dxa"/>
            <w:vAlign w:val="bottom"/>
          </w:tcPr>
          <w:p>
            <w:pPr>
              <w:jc w:val="center"/>
              <w:ind w:right="302"/>
              <w:spacing w:after="0"/>
              <w:rPr>
                <w:sz w:val="20"/>
                <w:szCs w:val="20"/>
                <w:color w:val="auto"/>
              </w:rPr>
            </w:pPr>
            <w:r>
              <w:rPr>
                <w:rFonts w:ascii="Arial" w:cs="Arial" w:eastAsia="Arial" w:hAnsi="Arial"/>
                <w:sz w:val="14"/>
                <w:szCs w:val="14"/>
                <w:b w:val="1"/>
                <w:bCs w:val="1"/>
                <w:color w:val="auto"/>
                <w:w w:val="92"/>
              </w:rPr>
              <w:t>Number of ordinary</w:t>
            </w:r>
          </w:p>
        </w:tc>
        <w:tc>
          <w:tcPr>
            <w:tcW w:w="180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9"/>
              </w:rPr>
              <w:t>Percentage of ordinary</w:t>
            </w:r>
          </w:p>
        </w:tc>
        <w:tc>
          <w:tcPr>
            <w:tcW w:w="0" w:type="dxa"/>
            <w:vAlign w:val="bottom"/>
          </w:tcPr>
          <w:p>
            <w:pPr>
              <w:spacing w:after="0"/>
              <w:rPr>
                <w:sz w:val="1"/>
                <w:szCs w:val="1"/>
                <w:color w:val="auto"/>
              </w:rPr>
            </w:pPr>
          </w:p>
        </w:tc>
      </w:tr>
      <w:tr>
        <w:trPr>
          <w:trHeight w:val="142"/>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580" w:type="dxa"/>
            <w:vAlign w:val="bottom"/>
          </w:tcPr>
          <w:p>
            <w:pPr>
              <w:jc w:val="center"/>
              <w:ind w:right="322"/>
              <w:spacing w:after="0" w:line="143" w:lineRule="exact"/>
              <w:rPr>
                <w:sz w:val="20"/>
                <w:szCs w:val="20"/>
                <w:color w:val="auto"/>
              </w:rPr>
            </w:pPr>
            <w:r>
              <w:rPr>
                <w:rFonts w:ascii="Arial" w:cs="Arial" w:eastAsia="Arial" w:hAnsi="Arial"/>
                <w:sz w:val="14"/>
                <w:szCs w:val="14"/>
                <w:b w:val="1"/>
                <w:bCs w:val="1"/>
                <w:color w:val="auto"/>
                <w:w w:val="86"/>
              </w:rPr>
              <w:t>shares Beneficially</w:t>
            </w:r>
          </w:p>
        </w:tc>
        <w:tc>
          <w:tcPr>
            <w:tcW w:w="1800" w:type="dxa"/>
            <w:vAlign w:val="bottom"/>
            <w:gridSpan w:val="2"/>
          </w:tcPr>
          <w:p>
            <w:pPr>
              <w:jc w:val="center"/>
              <w:ind w:left="261"/>
              <w:spacing w:after="0" w:line="143" w:lineRule="exact"/>
              <w:rPr>
                <w:sz w:val="20"/>
                <w:szCs w:val="20"/>
                <w:color w:val="auto"/>
              </w:rPr>
            </w:pPr>
            <w:r>
              <w:rPr>
                <w:rFonts w:ascii="Arial" w:cs="Arial" w:eastAsia="Arial" w:hAnsi="Arial"/>
                <w:sz w:val="14"/>
                <w:szCs w:val="14"/>
                <w:b w:val="1"/>
                <w:bCs w:val="1"/>
                <w:color w:val="auto"/>
                <w:w w:val="86"/>
              </w:rPr>
              <w:t>shares Beneficially</w:t>
            </w:r>
          </w:p>
        </w:tc>
        <w:tc>
          <w:tcPr>
            <w:tcW w:w="0" w:type="dxa"/>
            <w:vAlign w:val="bottom"/>
          </w:tcPr>
          <w:p>
            <w:pPr>
              <w:spacing w:after="0"/>
              <w:rPr>
                <w:sz w:val="1"/>
                <w:szCs w:val="1"/>
                <w:color w:val="auto"/>
              </w:rPr>
            </w:pPr>
          </w:p>
        </w:tc>
      </w:tr>
      <w:tr>
        <w:trPr>
          <w:trHeight w:val="158"/>
        </w:trPr>
        <w:tc>
          <w:tcPr>
            <w:tcW w:w="4640" w:type="dxa"/>
            <w:vAlign w:val="bottom"/>
            <w:gridSpan w:val="2"/>
            <w:vMerge w:val="continue"/>
          </w:tcPr>
          <w:p>
            <w:pPr>
              <w:spacing w:after="0"/>
              <w:rPr>
                <w:sz w:val="13"/>
                <w:szCs w:val="13"/>
                <w:color w:val="auto"/>
              </w:rPr>
            </w:pPr>
          </w:p>
        </w:tc>
        <w:tc>
          <w:tcPr>
            <w:tcW w:w="1580" w:type="dxa"/>
            <w:vAlign w:val="bottom"/>
          </w:tcPr>
          <w:p>
            <w:pPr>
              <w:jc w:val="center"/>
              <w:ind w:right="322"/>
              <w:spacing w:after="0" w:line="152" w:lineRule="exact"/>
              <w:rPr>
                <w:sz w:val="20"/>
                <w:szCs w:val="20"/>
                <w:color w:val="auto"/>
              </w:rPr>
            </w:pPr>
            <w:r>
              <w:rPr>
                <w:rFonts w:ascii="Arial" w:cs="Arial" w:eastAsia="Arial" w:hAnsi="Arial"/>
                <w:sz w:val="14"/>
                <w:szCs w:val="14"/>
                <w:b w:val="1"/>
                <w:bCs w:val="1"/>
                <w:color w:val="auto"/>
                <w:w w:val="90"/>
              </w:rPr>
              <w:t>Owned(1)</w:t>
            </w:r>
          </w:p>
        </w:tc>
        <w:tc>
          <w:tcPr>
            <w:tcW w:w="1800" w:type="dxa"/>
            <w:vAlign w:val="bottom"/>
            <w:gridSpan w:val="2"/>
          </w:tcPr>
          <w:p>
            <w:pPr>
              <w:jc w:val="center"/>
              <w:ind w:left="261"/>
              <w:spacing w:after="0" w:line="152" w:lineRule="exact"/>
              <w:rPr>
                <w:sz w:val="20"/>
                <w:szCs w:val="20"/>
                <w:color w:val="auto"/>
              </w:rPr>
            </w:pPr>
            <w:r>
              <w:rPr>
                <w:rFonts w:ascii="Arial" w:cs="Arial" w:eastAsia="Arial" w:hAnsi="Arial"/>
                <w:sz w:val="14"/>
                <w:szCs w:val="14"/>
                <w:b w:val="1"/>
                <w:bCs w:val="1"/>
                <w:color w:val="auto"/>
                <w:w w:val="90"/>
              </w:rPr>
              <w:t>Owned(1)</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3340" w:type="dxa"/>
            <w:vAlign w:val="bottom"/>
            <w:tcBorders>
              <w:top w:val="single" w:sz="8" w:color="auto"/>
            </w:tcBorders>
            <w:gridSpan w:val="2"/>
          </w:tcPr>
          <w:p>
            <w:pPr>
              <w:jc w:val="right"/>
              <w:ind w:right="1021"/>
              <w:spacing w:after="0" w:line="143" w:lineRule="exact"/>
              <w:rPr>
                <w:sz w:val="20"/>
                <w:szCs w:val="20"/>
                <w:color w:val="auto"/>
              </w:rPr>
            </w:pPr>
            <w:r>
              <w:rPr>
                <w:rFonts w:ascii="Arial" w:cs="Arial" w:eastAsia="Arial" w:hAnsi="Arial"/>
                <w:sz w:val="14"/>
                <w:szCs w:val="14"/>
                <w:b w:val="1"/>
                <w:bCs w:val="1"/>
                <w:color w:val="auto"/>
              </w:rPr>
              <w:t>as of April 24,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3% or Greater Shareholders:</w:t>
            </w:r>
          </w:p>
        </w:tc>
        <w:tc>
          <w:tcPr>
            <w:tcW w:w="15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40" w:type="dxa"/>
            <w:vAlign w:val="bottom"/>
            <w:gridSpan w:val="2"/>
          </w:tcPr>
          <w:p>
            <w:pPr>
              <w:spacing w:after="0"/>
              <w:rPr>
                <w:sz w:val="20"/>
                <w:szCs w:val="20"/>
                <w:color w:val="auto"/>
              </w:rPr>
            </w:pPr>
            <w:r>
              <w:rPr>
                <w:rFonts w:ascii="Arial" w:cs="Arial" w:eastAsia="Arial" w:hAnsi="Arial"/>
                <w:sz w:val="17"/>
                <w:szCs w:val="17"/>
                <w:color w:val="auto"/>
              </w:rPr>
              <w:t>Woodford Investment Management(2)</w:t>
            </w:r>
          </w:p>
        </w:tc>
        <w:tc>
          <w:tcPr>
            <w:tcW w:w="1580" w:type="dxa"/>
            <w:vAlign w:val="bottom"/>
          </w:tcPr>
          <w:p>
            <w:pPr>
              <w:jc w:val="right"/>
              <w:ind w:right="302"/>
              <w:spacing w:after="0"/>
              <w:rPr>
                <w:sz w:val="20"/>
                <w:szCs w:val="20"/>
                <w:color w:val="auto"/>
              </w:rPr>
            </w:pPr>
            <w:r>
              <w:rPr>
                <w:rFonts w:ascii="Arial" w:cs="Arial" w:eastAsia="Arial" w:hAnsi="Arial"/>
                <w:sz w:val="17"/>
                <w:szCs w:val="17"/>
                <w:color w:val="auto"/>
              </w:rPr>
              <w:t>29,843,946</w:t>
            </w:r>
          </w:p>
        </w:tc>
        <w:tc>
          <w:tcPr>
            <w:tcW w:w="1800" w:type="dxa"/>
            <w:vAlign w:val="bottom"/>
            <w:gridSpan w:val="2"/>
          </w:tcPr>
          <w:p>
            <w:pPr>
              <w:jc w:val="right"/>
              <w:ind w:right="40"/>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7"/>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Invesco Asset Management(3)</w:t>
            </w:r>
          </w:p>
        </w:tc>
        <w:tc>
          <w:tcPr>
            <w:tcW w:w="1580" w:type="dxa"/>
            <w:vAlign w:val="bottom"/>
            <w:shd w:val="clear" w:color="auto" w:fill="CCEEFF"/>
          </w:tcPr>
          <w:p>
            <w:pPr>
              <w:jc w:val="right"/>
              <w:ind w:right="302"/>
              <w:spacing w:after="0"/>
              <w:rPr>
                <w:sz w:val="20"/>
                <w:szCs w:val="20"/>
                <w:color w:val="auto"/>
              </w:rPr>
            </w:pPr>
            <w:r>
              <w:rPr>
                <w:rFonts w:ascii="Arial" w:cs="Arial" w:eastAsia="Arial" w:hAnsi="Arial"/>
                <w:sz w:val="17"/>
                <w:szCs w:val="17"/>
                <w:color w:val="auto"/>
              </w:rPr>
              <w:t>19,149,176</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07"/>
        </w:trPr>
        <w:tc>
          <w:tcPr>
            <w:tcW w:w="4640" w:type="dxa"/>
            <w:vAlign w:val="bottom"/>
            <w:gridSpan w:val="2"/>
          </w:tcPr>
          <w:p>
            <w:pPr>
              <w:spacing w:after="0"/>
              <w:rPr>
                <w:sz w:val="20"/>
                <w:szCs w:val="20"/>
                <w:color w:val="auto"/>
              </w:rPr>
            </w:pPr>
            <w:r>
              <w:rPr>
                <w:rFonts w:ascii="Arial" w:cs="Arial" w:eastAsia="Arial" w:hAnsi="Arial"/>
                <w:sz w:val="17"/>
                <w:szCs w:val="17"/>
                <w:color w:val="auto"/>
              </w:rPr>
              <w:t>Novartis Pharma AG(4)</w:t>
            </w:r>
          </w:p>
        </w:tc>
        <w:tc>
          <w:tcPr>
            <w:tcW w:w="1580" w:type="dxa"/>
            <w:vAlign w:val="bottom"/>
          </w:tcPr>
          <w:p>
            <w:pPr>
              <w:jc w:val="right"/>
              <w:ind w:right="302"/>
              <w:spacing w:after="0"/>
              <w:rPr>
                <w:sz w:val="20"/>
                <w:szCs w:val="20"/>
                <w:color w:val="auto"/>
              </w:rPr>
            </w:pPr>
            <w:r>
              <w:rPr>
                <w:rFonts w:ascii="Arial" w:cs="Arial" w:eastAsia="Arial" w:hAnsi="Arial"/>
                <w:sz w:val="17"/>
                <w:szCs w:val="17"/>
                <w:color w:val="auto"/>
              </w:rPr>
              <w:t>15,698,649</w:t>
            </w:r>
          </w:p>
        </w:tc>
        <w:tc>
          <w:tcPr>
            <w:tcW w:w="1800" w:type="dxa"/>
            <w:vAlign w:val="bottom"/>
            <w:gridSpan w:val="2"/>
          </w:tcPr>
          <w:p>
            <w:pPr>
              <w:jc w:val="right"/>
              <w:ind w:right="4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7"/>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Canaccord Genuity Wealth Management(5)</w:t>
            </w:r>
          </w:p>
        </w:tc>
        <w:tc>
          <w:tcPr>
            <w:tcW w:w="1580" w:type="dxa"/>
            <w:vAlign w:val="bottom"/>
            <w:shd w:val="clear" w:color="auto" w:fill="CCEEFF"/>
          </w:tcPr>
          <w:p>
            <w:pPr>
              <w:jc w:val="right"/>
              <w:ind w:right="302"/>
              <w:spacing w:after="0"/>
              <w:rPr>
                <w:sz w:val="20"/>
                <w:szCs w:val="20"/>
                <w:color w:val="auto"/>
              </w:rPr>
            </w:pPr>
            <w:r>
              <w:rPr>
                <w:rFonts w:ascii="Arial" w:cs="Arial" w:eastAsia="Arial" w:hAnsi="Arial"/>
                <w:sz w:val="17"/>
                <w:szCs w:val="17"/>
                <w:color w:val="auto"/>
              </w:rPr>
              <w:t>2,870,000</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81915</wp:posOffset>
            </wp:positionV>
            <wp:extent cx="6743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49" w:lineRule="exact"/>
        <w:rPr>
          <w:sz w:val="20"/>
          <w:szCs w:val="20"/>
          <w:color w:val="auto"/>
        </w:rPr>
      </w:pPr>
    </w:p>
    <w:p>
      <w:pPr>
        <w:ind w:left="840" w:hanging="409"/>
        <w:spacing w:after="0"/>
        <w:tabs>
          <w:tab w:leader="none" w:pos="8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Ordinary shares figures include ordinary shares represented by ADSs.</w:t>
      </w:r>
    </w:p>
    <w:p>
      <w:pPr>
        <w:spacing w:after="0" w:line="24" w:lineRule="exact"/>
        <w:rPr>
          <w:rFonts w:ascii="Arial" w:cs="Arial" w:eastAsia="Arial" w:hAnsi="Arial"/>
          <w:sz w:val="17"/>
          <w:szCs w:val="17"/>
          <w:color w:val="auto"/>
        </w:rPr>
      </w:pPr>
    </w:p>
    <w:p>
      <w:pPr>
        <w:ind w:left="840" w:right="60" w:hanging="409"/>
        <w:spacing w:after="0" w:line="288" w:lineRule="auto"/>
        <w:tabs>
          <w:tab w:leader="none" w:pos="8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Consists of (i) 16,853,667 Mereo ordinary shares held CF Woodford Equity Income Fund, a sub fund of CF Woodford Investment Fund (“WEIF”), (ii) 2,023,636 Mereo ordinary shares held by Omnis Income &amp; Growth Fund, a sub fund of Omnis Portfolio Investments ICVC (“OIGF”), (iii) 1,070,770 Mereo ordinary shares held by Old Mutual Woodford Equity Income Fund (“OMWEIF”), and (iv) 9,895,873 Mereo ordinary shares held by Woodford Patient Capital Trust, Plc (“WPCT”). Woodford Investment Management Limited acts as agent for and on behalf of WEIF, OIGF, OMWEIF, and WPCT, each as a discretionary managed client. Woodford Investment Management Limited has the power to direct the vote and disposition of the common stock held by WEIF, OIGF, OMWEIF and WPCT. Accordingly, Woodford Investment Management Limited may be deemed to be the beneficial owner of these Mereo ordinary shares. Neil Woodford is Head of Investments for Woodford Investment Management Limited and may be deemed to share beneficial ownership of these Mereo ordinary shares with Woodford Investment Management Limited. Mr. Woodford expressly disclaims beneficial ownership of these Mereo ordinary shares, except to the extent of any pecuniary interest therein. Beneficial ownership information is based on information known to Mereo and a Form TR 1 provided to Mereo on November 6, 2017. The address of Woodford Investment Management Limited is 9400 Garsington Road, Oxford, OX4 2HN, United Kingdom.</w:t>
      </w:r>
    </w:p>
    <w:p>
      <w:pPr>
        <w:spacing w:after="0" w:line="2" w:lineRule="exact"/>
        <w:rPr>
          <w:rFonts w:ascii="Arial" w:cs="Arial" w:eastAsia="Arial" w:hAnsi="Arial"/>
          <w:sz w:val="15"/>
          <w:szCs w:val="15"/>
          <w:color w:val="auto"/>
        </w:rPr>
      </w:pPr>
    </w:p>
    <w:p>
      <w:pPr>
        <w:ind w:left="840" w:right="120" w:hanging="409"/>
        <w:spacing w:after="0" w:line="259" w:lineRule="auto"/>
        <w:tabs>
          <w:tab w:leader="none" w:pos="8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share holdings of Invesco Asset Management consist of (i) 13,891,853 Mereo ordinary shares beneficially owned by Invesco Perpetual High Income Fund and (ii) 5,257,323 Mereo ordinary shares beneficially owned by Invesco Perpetual Income Fund. Beneficial ownership information is based on information known to Mereo and a Form TR 1 provided to Mereo on April 28, 2017. The address of Invesco Asset Management Limited is 30 Finsbury Square, London EC2A 1AG, United Kingdom.</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980"/>
          </w:cols>
          <w:pgMar w:left="240" w:top="445" w:right="67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40" w:right="20" w:hanging="409"/>
        <w:spacing w:after="0" w:line="272" w:lineRule="auto"/>
        <w:tabs>
          <w:tab w:leader="none" w:pos="8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Consists of 13,767,841 Mereo ordinary shares held by Novartis and 1,930,808 Mereo ordinary shares that Novartis is able to acquire pursuant to the Novartis Notes within 60 days of April 24, 2019. Under the terms of the Novartis Notes, Novartis may only convert its notes into Mereo ordinary shares if, following such conversion, it owns no more than 19.5% of the aggregate voting power of Mereo. As a result, after giving effect to the Merger, Novartis is able to acquire up to an additional 1,930,808 Mereo ordinary shares pursuant to the Novartis Notes within 60 days of April 24, 2019. Novartis AG is the publicly owned parent company of Novartis and may be deemed to beneficially own the Mereo ordinary shares held by Novartis. Beneficial ownership information is based on information known to Mereo and a Form TR 1 provided to Mereo on April 28, 2017. The address of Novartis AG is Lichtstrasse 35, 4056 Basel, Switzerland.</w:t>
      </w:r>
    </w:p>
    <w:p>
      <w:pPr>
        <w:spacing w:after="0" w:line="3" w:lineRule="exact"/>
        <w:rPr>
          <w:rFonts w:ascii="Arial" w:cs="Arial" w:eastAsia="Arial" w:hAnsi="Arial"/>
          <w:sz w:val="16"/>
          <w:szCs w:val="16"/>
          <w:color w:val="auto"/>
        </w:rPr>
      </w:pPr>
    </w:p>
    <w:p>
      <w:pPr>
        <w:ind w:left="840" w:right="60" w:hanging="409"/>
        <w:spacing w:after="0" w:line="261" w:lineRule="auto"/>
        <w:tabs>
          <w:tab w:leader="none" w:pos="8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Consists of 1,250,000 Mereo ordinary shares held by Marlborough Special Situations Fund and 1,620,000 Mereo ordinary shares held by Marlborough UK Micro Cap Growth Fund, for which Canaccord Genuity Wealth Management acts as manager. Beneficial ownership information is based on information known to us.</w:t>
      </w:r>
    </w:p>
    <w:p>
      <w:pPr>
        <w:spacing w:after="0" w:line="178"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To Mereo’s knowledge, and other than changes in percentage ownership as a result of the shares issued in connection with Mereo’s initial public offering in the United Kingdom, there has been no significant change in the percentage ownership held by the major shareholders listed above in the last three years, except as discussed in “—B. Related Party Transactions”.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7.B. Related Party Transactions</w:t>
      </w:r>
    </w:p>
    <w:p>
      <w:pPr>
        <w:spacing w:after="0" w:line="121" w:lineRule="exact"/>
        <w:rPr>
          <w:sz w:val="20"/>
          <w:szCs w:val="20"/>
          <w:color w:val="auto"/>
        </w:rPr>
      </w:pPr>
    </w:p>
    <w:p>
      <w:pPr>
        <w:ind w:left="440" w:firstLine="423"/>
        <w:spacing w:after="0" w:line="316" w:lineRule="auto"/>
        <w:rPr>
          <w:sz w:val="20"/>
          <w:szCs w:val="20"/>
          <w:color w:val="auto"/>
        </w:rPr>
      </w:pPr>
      <w:r>
        <w:rPr>
          <w:rFonts w:ascii="Arial" w:cs="Arial" w:eastAsia="Arial" w:hAnsi="Arial"/>
          <w:sz w:val="16"/>
          <w:szCs w:val="16"/>
          <w:color w:val="auto"/>
        </w:rPr>
        <w:t>The following is a description of related party transactions Mereo has entered into with the beneficial owners of 3% or more of the Mereo ordinary shares, which are Mereo’s only voting securities, and senior management and members of the Mereo Board, since Mereo’s incorporation.</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Subscription Agreement</w:t>
      </w:r>
    </w:p>
    <w:p>
      <w:pPr>
        <w:spacing w:after="0" w:line="121" w:lineRule="exact"/>
        <w:rPr>
          <w:sz w:val="20"/>
          <w:szCs w:val="20"/>
          <w:color w:val="auto"/>
        </w:rPr>
      </w:pPr>
    </w:p>
    <w:p>
      <w:pPr>
        <w:ind w:left="440" w:right="20" w:firstLine="423"/>
        <w:spacing w:after="0" w:line="261" w:lineRule="auto"/>
        <w:rPr>
          <w:sz w:val="20"/>
          <w:szCs w:val="20"/>
          <w:color w:val="auto"/>
        </w:rPr>
      </w:pPr>
      <w:r>
        <w:rPr>
          <w:rFonts w:ascii="Arial" w:cs="Arial" w:eastAsia="Arial" w:hAnsi="Arial"/>
          <w:sz w:val="17"/>
          <w:szCs w:val="17"/>
          <w:color w:val="auto"/>
        </w:rPr>
        <w:t>On July 28, 2015, Mereo entered into a subscription agreement for Mereo ordinary shares (the “Subscription Agreement”) with Invesco Perpetual High Income Fund, Woodford Patient Capital Trust plc and LF Woodford Equity Income Fund (collectively, the “Existing Investors”) and Novartis. Under the Subscription Agreement, Mereo initially issued 10,869,566 Mereo ordinary shares to the Existing Investors at a price per Mereo ordinary share of £1.84 for total aggregate cash proceeds of £20.0 million, and 3,849,000 Mereo ordinary shares to Novartis in connection with the asset purchase agreements described under “—Other Transactions with Novartis.”</w:t>
      </w:r>
    </w:p>
    <w:p>
      <w:pPr>
        <w:spacing w:after="0" w:line="180" w:lineRule="exact"/>
        <w:rPr>
          <w:sz w:val="20"/>
          <w:szCs w:val="20"/>
          <w:color w:val="auto"/>
        </w:rPr>
      </w:pPr>
    </w:p>
    <w:p>
      <w:pPr>
        <w:ind w:left="440" w:right="100" w:firstLine="423"/>
        <w:spacing w:after="0" w:line="275" w:lineRule="auto"/>
        <w:rPr>
          <w:sz w:val="20"/>
          <w:szCs w:val="20"/>
          <w:color w:val="auto"/>
        </w:rPr>
      </w:pPr>
      <w:r>
        <w:rPr>
          <w:rFonts w:ascii="Arial" w:cs="Arial" w:eastAsia="Arial" w:hAnsi="Arial"/>
          <w:sz w:val="16"/>
          <w:szCs w:val="16"/>
          <w:color w:val="auto"/>
        </w:rPr>
        <w:t>The Subscription Agreement provided for Mereo to draw down additional investments from the Existing Investors. The Subscription Agreement also obligated Mereo, upon the issuance of additional Mereo ordinary shares, to issue to Novartis the number of Mereo ordinary shares required to maintain Novartis’ percentage ownership of Mereo at 19.5%, with the maximum aggregate number of Mereo ordinary shares that may be issued to Novartis under the Subscription Agreement set at 14,000,000. On June 9, 2016, Mereo issued an additional 30,727,361 Mereo ordinary shares to the Existing Investors pursuant to the drawdown and 8,697,480 Mereo ordinary shares to Novartis to maintain its percentage ownership following the drawdown and an additional private placement of Mereo ordinary shares, for aggregate cash proceeds to Mereo of £72.6 million. In accordance with its terms, the Subscription Agreement was terminated upon the admission of Mereo ordinary shares to trading on AIM on June 9, 2016. In lieu of the remaining Mereo ordinary shares that Mereo was obligated to issue to Novartis under the Subscription Agreement, Novartis is entitled to receive additional shares upon conversion of the convertible notes issued to Novartis on June 3, 2016. See “Item 5. Operating and Financial Review and Prospects—B. Liquidity and Capital Resources—Indebtedness—Novartis Notes.”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Other Transactions with Novartis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On July 28, 2015, Mereo entered into asset purchase agreements with Novartis to purchase each of BPS-804, BCT-197, and BGS-649. See “Item</w:t>
      </w:r>
    </w:p>
    <w:p>
      <w:pPr>
        <w:spacing w:after="0" w:line="47" w:lineRule="exact"/>
        <w:rPr>
          <w:sz w:val="20"/>
          <w:szCs w:val="20"/>
          <w:color w:val="auto"/>
        </w:rPr>
      </w:pPr>
    </w:p>
    <w:p>
      <w:pPr>
        <w:ind w:left="440" w:right="300" w:hanging="9"/>
        <w:spacing w:after="0" w:line="268" w:lineRule="auto"/>
        <w:tabs>
          <w:tab w:leader="none" w:pos="613"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Information On the Company—B. Business Overview—Material Agreements—Novartis Agreements.” As consideration, Mereo issued 3,849,000 Mereo ordinary shares to Novartis.</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Novartis Notes</w:t>
      </w:r>
    </w:p>
    <w:p>
      <w:pPr>
        <w:spacing w:after="0" w:line="121" w:lineRule="exact"/>
        <w:rPr>
          <w:sz w:val="20"/>
          <w:szCs w:val="20"/>
          <w:color w:val="auto"/>
        </w:rPr>
      </w:pPr>
    </w:p>
    <w:p>
      <w:pPr>
        <w:ind w:left="440" w:right="200" w:firstLine="423"/>
        <w:spacing w:after="0" w:line="264" w:lineRule="auto"/>
        <w:rPr>
          <w:sz w:val="20"/>
          <w:szCs w:val="20"/>
          <w:color w:val="auto"/>
        </w:rPr>
      </w:pPr>
      <w:r>
        <w:rPr>
          <w:rFonts w:ascii="Arial" w:cs="Arial" w:eastAsia="Arial" w:hAnsi="Arial"/>
          <w:sz w:val="17"/>
          <w:szCs w:val="17"/>
          <w:color w:val="auto"/>
        </w:rPr>
        <w:t>On June 3, 2016, Mereo issued 3,463,563 Novartis Notes to Novartis, for aggregate proceeds to Mereo of £3.5 million. The Novartis Notes bear interest at 4% per annum and accruing daily. Novartis may at any time convert all or some of the Novartis Notes into Mereo ordinary shares at a conversion price of £2.21 per Mereo ordinary share as long as, following such conversion, Novartis holds no more than 19.5% of the aggregate voting rights of Mereo. In</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000"/>
          </w:cols>
          <w:pgMar w:left="240" w:top="445" w:right="65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00"/>
        <w:spacing w:after="0" w:line="264" w:lineRule="auto"/>
        <w:rPr>
          <w:sz w:val="20"/>
          <w:szCs w:val="20"/>
          <w:color w:val="auto"/>
        </w:rPr>
      </w:pPr>
      <w:r>
        <w:rPr>
          <w:rFonts w:ascii="Arial" w:cs="Arial" w:eastAsia="Arial" w:hAnsi="Arial"/>
          <w:sz w:val="17"/>
          <w:szCs w:val="17"/>
          <w:color w:val="auto"/>
        </w:rPr>
        <w:t>addition, upon the conversion of any Novartis Notes, Novartis is entitled to receive a number of Bonus Shares equal to the number of shares into which such Novartis Notes are converted multiplied by 0.93, up to 1,453,520 Bonus Shares in aggregate. To the extent any of the Novartis Notes remain outstanding on March 2, 2021, Mereo is obligated to pay Novartis the principal amount of such outstanding Novartis Notes together with any accrued interest.</w:t>
      </w:r>
    </w:p>
    <w:p>
      <w:pPr>
        <w:spacing w:after="0" w:line="176" w:lineRule="exact"/>
        <w:rPr>
          <w:sz w:val="20"/>
          <w:szCs w:val="20"/>
          <w:color w:val="auto"/>
        </w:rPr>
      </w:pPr>
    </w:p>
    <w:p>
      <w:pPr>
        <w:ind w:left="440" w:right="220" w:firstLine="423"/>
        <w:spacing w:after="0" w:line="293" w:lineRule="auto"/>
        <w:rPr>
          <w:sz w:val="20"/>
          <w:szCs w:val="20"/>
          <w:color w:val="auto"/>
        </w:rPr>
      </w:pPr>
      <w:r>
        <w:rPr>
          <w:rFonts w:ascii="Arial" w:cs="Arial" w:eastAsia="Arial" w:hAnsi="Arial"/>
          <w:sz w:val="16"/>
          <w:szCs w:val="16"/>
          <w:color w:val="auto"/>
        </w:rPr>
        <w:t>On April 6, 2017, Novartis delivered to Mereo a notice of conversion with respect to £1,398,552 aggregate principal amount of Novartis Notes. Pursuant to such notice, on April 26, 2017, £1,398,552 aggregate principal amount of Novartis Notes was converted into 632,829 fully paid Mereo ordinary shares. Additionally, in connection with such conversion, Mereo issued 588,532 Bonus Shares to Novartis.</w:t>
      </w:r>
    </w:p>
    <w:p>
      <w:pPr>
        <w:spacing w:after="0" w:line="15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As of the date of this annual report, the outstanding principal and accrued interest of the Novartis Notes is £2.4 million.</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Supply Payments</w:t>
      </w:r>
    </w:p>
    <w:p>
      <w:pPr>
        <w:spacing w:after="0" w:line="115" w:lineRule="exact"/>
        <w:rPr>
          <w:sz w:val="20"/>
          <w:szCs w:val="20"/>
          <w:color w:val="auto"/>
        </w:rPr>
      </w:pPr>
    </w:p>
    <w:p>
      <w:pPr>
        <w:ind w:left="440" w:right="180" w:firstLine="423"/>
        <w:spacing w:after="0" w:line="284" w:lineRule="auto"/>
        <w:rPr>
          <w:sz w:val="20"/>
          <w:szCs w:val="20"/>
          <w:color w:val="auto"/>
        </w:rPr>
      </w:pPr>
      <w:r>
        <w:rPr>
          <w:rFonts w:ascii="Arial" w:cs="Arial" w:eastAsia="Arial" w:hAnsi="Arial"/>
          <w:sz w:val="17"/>
          <w:szCs w:val="17"/>
          <w:color w:val="auto"/>
        </w:rPr>
        <w:t>In 2016, Mereo paid Novartis a total of £968,219. In 2017, Mereo paid Novartis a total of £4,610,106 for the manufacture and supply of clinical trial material. No payments were made from Mereo to Novartis in 2018.</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Novartis Board Observer Rights</w:t>
      </w:r>
    </w:p>
    <w:p>
      <w:pPr>
        <w:spacing w:after="0" w:line="121" w:lineRule="exact"/>
        <w:rPr>
          <w:sz w:val="20"/>
          <w:szCs w:val="20"/>
          <w:color w:val="auto"/>
        </w:rPr>
      </w:pPr>
    </w:p>
    <w:p>
      <w:pPr>
        <w:ind w:left="440" w:right="280" w:firstLine="423"/>
        <w:spacing w:after="0" w:line="284" w:lineRule="auto"/>
        <w:rPr>
          <w:sz w:val="20"/>
          <w:szCs w:val="20"/>
          <w:color w:val="auto"/>
        </w:rPr>
      </w:pPr>
      <w:r>
        <w:rPr>
          <w:rFonts w:ascii="Arial" w:cs="Arial" w:eastAsia="Arial" w:hAnsi="Arial"/>
          <w:sz w:val="17"/>
          <w:szCs w:val="17"/>
          <w:color w:val="auto"/>
        </w:rPr>
        <w:t>Pursuant to Mereo’s Articles, for as long as Novartis holds not less than one percent of Mereo’s issued share capital, Novartis may appoint one observer who may attend, but not participate or vote in, any meeting of the Mereo Board.</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Transactions with Mereo’s Executive Officers and Directors</w:t>
      </w:r>
    </w:p>
    <w:p>
      <w:pPr>
        <w:spacing w:after="0" w:line="121" w:lineRule="exact"/>
        <w:rPr>
          <w:sz w:val="20"/>
          <w:szCs w:val="20"/>
          <w:color w:val="auto"/>
        </w:rPr>
      </w:pPr>
    </w:p>
    <w:p>
      <w:pPr>
        <w:ind w:left="440" w:right="220" w:firstLine="423"/>
        <w:spacing w:after="0" w:line="284" w:lineRule="auto"/>
        <w:rPr>
          <w:sz w:val="20"/>
          <w:szCs w:val="20"/>
          <w:color w:val="auto"/>
        </w:rPr>
      </w:pPr>
      <w:r>
        <w:rPr>
          <w:rFonts w:ascii="Arial" w:cs="Arial" w:eastAsia="Arial" w:hAnsi="Arial"/>
          <w:sz w:val="17"/>
          <w:szCs w:val="17"/>
          <w:color w:val="auto"/>
        </w:rPr>
        <w:t>Mereo has entered into employment agreements or consultancy agreements with certain of its executive officers. See “Item 6. Directors, Senior Management and Employees—B. Compensation—Executive Officer Employment and Consultancy Agreement.”</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Indemnity Agreements</w:t>
      </w:r>
    </w:p>
    <w:p>
      <w:pPr>
        <w:spacing w:after="0" w:line="121" w:lineRule="exact"/>
        <w:rPr>
          <w:sz w:val="20"/>
          <w:szCs w:val="20"/>
          <w:color w:val="auto"/>
        </w:rPr>
      </w:pPr>
    </w:p>
    <w:p>
      <w:pPr>
        <w:ind w:left="440" w:right="420" w:firstLine="423"/>
        <w:spacing w:after="0" w:line="284" w:lineRule="auto"/>
        <w:rPr>
          <w:sz w:val="20"/>
          <w:szCs w:val="20"/>
          <w:color w:val="auto"/>
        </w:rPr>
      </w:pPr>
      <w:r>
        <w:rPr>
          <w:rFonts w:ascii="Arial" w:cs="Arial" w:eastAsia="Arial" w:hAnsi="Arial"/>
          <w:sz w:val="17"/>
          <w:szCs w:val="17"/>
          <w:color w:val="auto"/>
        </w:rPr>
        <w:t>Mereo has entered into deeds of indemnity with each of its directors. See “Item 6. Directors, Senior Management and Employees—C. Board practices—Composition of the Mereo Board—Insurance and Indemnification.”</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Related Person Transaction Policy</w:t>
      </w:r>
    </w:p>
    <w:p>
      <w:pPr>
        <w:spacing w:after="0" w:line="121" w:lineRule="exact"/>
        <w:rPr>
          <w:sz w:val="20"/>
          <w:szCs w:val="20"/>
          <w:color w:val="auto"/>
        </w:rPr>
      </w:pPr>
    </w:p>
    <w:p>
      <w:pPr>
        <w:ind w:left="440" w:firstLine="423"/>
        <w:spacing w:after="0" w:line="278" w:lineRule="auto"/>
        <w:rPr>
          <w:sz w:val="20"/>
          <w:szCs w:val="20"/>
          <w:color w:val="auto"/>
        </w:rPr>
      </w:pPr>
      <w:r>
        <w:rPr>
          <w:rFonts w:ascii="Arial" w:cs="Arial" w:eastAsia="Arial" w:hAnsi="Arial"/>
          <w:sz w:val="16"/>
          <w:szCs w:val="16"/>
          <w:color w:val="auto"/>
        </w:rPr>
        <w:t>The Mereo Board has a written related person transaction policy, which sets forth the policies and procedures for the review and approval or ratification of related person transactions. This policy covers any transaction or proposed transaction between Mereo and a related person that is material to Mereo or the related person, including without limitation, purchases of goods or services by or from the related person or entities in which the related person has a material interest, indebtedness, guarantees of indebtedness and employment by Mereo of a related person. In reviewing and approving any such transactions, Mereo’s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7.C. Interests of Experts and Counsel</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55"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8.A. Consolidated Statements and Other Financial Information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See “Item 18. Financial Statements.”</w:t>
      </w:r>
    </w:p>
    <w:p>
      <w:pPr>
        <w:spacing w:after="0" w:line="1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980"/>
          </w:cols>
          <w:pgMar w:left="240" w:top="445" w:right="67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There are no governmental, legal or arbitration proceedings (including any such proceedings which are pending or threatened of which Mereo is aware) that may have, or have had in the recent past (covering the 12 months immediately preceding the date of this annual report), significant effects on Mereo’s financial position or profitability.</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Dividend Policy</w:t>
      </w:r>
    </w:p>
    <w:p>
      <w:pPr>
        <w:spacing w:after="0" w:line="121" w:lineRule="exact"/>
        <w:rPr>
          <w:sz w:val="20"/>
          <w:szCs w:val="20"/>
          <w:color w:val="auto"/>
        </w:rPr>
      </w:pPr>
    </w:p>
    <w:p>
      <w:pPr>
        <w:ind w:left="440" w:firstLine="423"/>
        <w:spacing w:after="0" w:line="281" w:lineRule="auto"/>
        <w:rPr>
          <w:sz w:val="20"/>
          <w:szCs w:val="20"/>
          <w:color w:val="auto"/>
        </w:rPr>
      </w:pPr>
      <w:r>
        <w:rPr>
          <w:rFonts w:ascii="Arial" w:cs="Arial" w:eastAsia="Arial" w:hAnsi="Arial"/>
          <w:sz w:val="16"/>
          <w:szCs w:val="16"/>
          <w:color w:val="auto"/>
        </w:rPr>
        <w:t>Mereo has never paid or declared any cash dividends on its ordinary shares, and does not anticipate 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less its accumulated realized losses, so far as such losses have not been previously written off in a reduction or reorganization of capital.</w:t>
      </w:r>
    </w:p>
    <w:p>
      <w:pPr>
        <w:spacing w:after="0" w:line="166" w:lineRule="exact"/>
        <w:rPr>
          <w:sz w:val="20"/>
          <w:szCs w:val="20"/>
          <w:color w:val="auto"/>
        </w:rPr>
      </w:pPr>
    </w:p>
    <w:p>
      <w:pPr>
        <w:ind w:left="440" w:right="40" w:firstLine="423"/>
        <w:spacing w:after="0" w:line="284" w:lineRule="auto"/>
        <w:rPr>
          <w:sz w:val="20"/>
          <w:szCs w:val="20"/>
          <w:color w:val="auto"/>
        </w:rPr>
      </w:pPr>
      <w:r>
        <w:rPr>
          <w:rFonts w:ascii="Arial" w:cs="Arial" w:eastAsia="Arial" w:hAnsi="Arial"/>
          <w:sz w:val="17"/>
          <w:szCs w:val="17"/>
          <w:color w:val="auto"/>
        </w:rPr>
        <w:t>In addition, the terms of Mereo’s existing loan agreement with Silicon Valley Bank and Kreos Capital V (UK) Limited (“Kreos”), preclude Mereo from paying cash dividends without Kreos’s consent.</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8.B. Significant changes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Except as disclosed elsewhere in this annual report, there have been no other significant changes since December 31, 2018.</w:t>
      </w:r>
    </w:p>
    <w:p>
      <w:pPr>
        <w:spacing w:after="0" w:line="355"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9.A.4 Offer and Listing Details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ADSs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Our ADSs, each representing five ordinary shares of ours, with a £0.003 per share nominal value each, have been listed on Nasdaq since April 24,</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2019. Our ADSs trade under the symbol “MREO.” Prior to that date, there was no public trading market for our ADSs.</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Ordinary shares</w:t>
      </w:r>
    </w:p>
    <w:p>
      <w:pPr>
        <w:spacing w:after="0" w:line="115" w:lineRule="exact"/>
        <w:rPr>
          <w:sz w:val="20"/>
          <w:szCs w:val="20"/>
          <w:color w:val="auto"/>
        </w:rPr>
      </w:pPr>
    </w:p>
    <w:p>
      <w:pPr>
        <w:ind w:left="440" w:right="120" w:firstLine="423"/>
        <w:spacing w:after="0" w:line="284" w:lineRule="auto"/>
        <w:rPr>
          <w:sz w:val="20"/>
          <w:szCs w:val="20"/>
          <w:color w:val="auto"/>
        </w:rPr>
      </w:pPr>
      <w:r>
        <w:rPr>
          <w:rFonts w:ascii="Arial" w:cs="Arial" w:eastAsia="Arial" w:hAnsi="Arial"/>
          <w:sz w:val="17"/>
          <w:szCs w:val="17"/>
          <w:color w:val="auto"/>
        </w:rPr>
        <w:t>Our ordinary shares have traded on AIM under the symbol “MPH” since June 9, 2016. No trading market currently exists for our ordinary shares in the United States.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9.B. Plan of Distribution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9.C. Markets</w:t>
      </w:r>
    </w:p>
    <w:p>
      <w:pPr>
        <w:spacing w:after="0" w:line="121" w:lineRule="exact"/>
        <w:rPr>
          <w:sz w:val="20"/>
          <w:szCs w:val="20"/>
          <w:color w:val="auto"/>
        </w:rPr>
      </w:pPr>
    </w:p>
    <w:p>
      <w:pPr>
        <w:ind w:left="440" w:right="260" w:firstLine="423"/>
        <w:spacing w:after="0" w:line="284" w:lineRule="auto"/>
        <w:rPr>
          <w:sz w:val="20"/>
          <w:szCs w:val="20"/>
          <w:color w:val="auto"/>
        </w:rPr>
      </w:pPr>
      <w:r>
        <w:rPr>
          <w:rFonts w:ascii="Arial" w:cs="Arial" w:eastAsia="Arial" w:hAnsi="Arial"/>
          <w:sz w:val="17"/>
          <w:szCs w:val="17"/>
          <w:color w:val="auto"/>
        </w:rPr>
        <w:t>For a description of our publicly-traded ADSs, see “— A. Offer and Listing Details—ADSs.” For a description of our publicly-traded ordinary shares, see “— A. Offer and Listing Details—Ordinary Shares.”</w:t>
      </w:r>
    </w:p>
    <w:p>
      <w:pPr>
        <w:spacing w:after="0" w:line="257" w:lineRule="exact"/>
        <w:rPr>
          <w:sz w:val="20"/>
          <w:szCs w:val="20"/>
          <w:color w:val="auto"/>
        </w:rPr>
      </w:pPr>
    </w:p>
    <w:p>
      <w:pPr>
        <w:jc w:val="center"/>
        <w:ind w:right="8260"/>
        <w:spacing w:after="0"/>
        <w:rPr>
          <w:sz w:val="20"/>
          <w:szCs w:val="20"/>
          <w:color w:val="auto"/>
        </w:rPr>
      </w:pPr>
      <w:r>
        <w:rPr>
          <w:rFonts w:ascii="Arial" w:cs="Arial" w:eastAsia="Arial" w:hAnsi="Arial"/>
          <w:sz w:val="17"/>
          <w:szCs w:val="17"/>
          <w:b w:val="1"/>
          <w:bCs w:val="1"/>
          <w:color w:val="auto"/>
        </w:rPr>
        <w:t>9.D. Selling Shareholders</w:t>
      </w:r>
    </w:p>
    <w:p>
      <w:pPr>
        <w:spacing w:after="0" w:line="121" w:lineRule="exact"/>
        <w:rPr>
          <w:sz w:val="20"/>
          <w:szCs w:val="20"/>
          <w:color w:val="auto"/>
        </w:rPr>
      </w:pPr>
    </w:p>
    <w:p>
      <w:pPr>
        <w:jc w:val="center"/>
        <w:ind w:right="8220"/>
        <w:spacing w:after="0"/>
        <w:rPr>
          <w:sz w:val="20"/>
          <w:szCs w:val="20"/>
          <w:color w:val="auto"/>
        </w:rPr>
      </w:pPr>
      <w:r>
        <w:rPr>
          <w:rFonts w:ascii="Arial" w:cs="Arial" w:eastAsia="Arial" w:hAnsi="Arial"/>
          <w:sz w:val="17"/>
          <w:szCs w:val="17"/>
          <w:color w:val="auto"/>
        </w:rPr>
        <w:t>Not applicable.</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9.E. Dilution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16" w:lineRule="exact"/>
        <w:rPr>
          <w:sz w:val="20"/>
          <w:szCs w:val="20"/>
          <w:color w:val="auto"/>
        </w:rPr>
      </w:pPr>
    </w:p>
    <w:p>
      <w:pPr>
        <w:jc w:val="center"/>
        <w:ind w:right="8260"/>
        <w:spacing w:after="0"/>
        <w:rPr>
          <w:sz w:val="20"/>
          <w:szCs w:val="20"/>
          <w:color w:val="auto"/>
        </w:rPr>
      </w:pPr>
      <w:r>
        <w:rPr>
          <w:rFonts w:ascii="Arial" w:cs="Arial" w:eastAsia="Arial" w:hAnsi="Arial"/>
          <w:sz w:val="17"/>
          <w:szCs w:val="17"/>
          <w:b w:val="1"/>
          <w:bCs w:val="1"/>
          <w:color w:val="auto"/>
        </w:rPr>
        <w:t>9.F. Expenses of the Issue</w:t>
      </w:r>
    </w:p>
    <w:p>
      <w:pPr>
        <w:spacing w:after="0" w:line="121" w:lineRule="exact"/>
        <w:rPr>
          <w:sz w:val="20"/>
          <w:szCs w:val="20"/>
          <w:color w:val="auto"/>
        </w:rPr>
      </w:pPr>
    </w:p>
    <w:p>
      <w:pPr>
        <w:jc w:val="center"/>
        <w:ind w:right="8220"/>
        <w:spacing w:after="0"/>
        <w:rPr>
          <w:sz w:val="20"/>
          <w:szCs w:val="20"/>
          <w:color w:val="auto"/>
        </w:rPr>
      </w:pPr>
      <w:r>
        <w:rPr>
          <w:rFonts w:ascii="Arial" w:cs="Arial" w:eastAsia="Arial" w:hAnsi="Arial"/>
          <w:sz w:val="17"/>
          <w:szCs w:val="17"/>
          <w:color w:val="auto"/>
        </w:rPr>
        <w:t>Not applicable.</w:t>
      </w:r>
    </w:p>
    <w:p>
      <w:pPr>
        <w:spacing w:after="0" w:line="1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980"/>
          </w:cols>
          <w:pgMar w:left="240" w:top="445" w:right="67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1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7"/>
          <w:szCs w:val="17"/>
          <w:b w:val="1"/>
          <w:bCs w:val="1"/>
          <w:color w:val="auto"/>
        </w:rPr>
        <w:t>10.A.</w:t>
      </w:r>
      <w:r>
        <w:rPr>
          <w:sz w:val="20"/>
          <w:szCs w:val="20"/>
          <w:color w:val="auto"/>
        </w:rPr>
        <w:tab/>
      </w:r>
      <w:r>
        <w:rPr>
          <w:rFonts w:ascii="Arial" w:cs="Arial" w:eastAsia="Arial" w:hAnsi="Arial"/>
          <w:sz w:val="15"/>
          <w:szCs w:val="15"/>
          <w:b w:val="1"/>
          <w:bCs w:val="1"/>
          <w:color w:val="auto"/>
        </w:rPr>
        <w:t>Share Capital</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Ordinary shares</w:t>
      </w:r>
    </w:p>
    <w:p>
      <w:pPr>
        <w:spacing w:after="0" w:line="121"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As of December 31, 2018, Mereo’s issued share capital was £213,721. As of December 31, 2018, the issued and outstanding share capital of Mereo was 71,240,272 ordinary shares, with a £0.003 nominal value each. Following the Merger as of April 24, 2019, the issued and outstanding share capital of Mereo was 96,023,592 ordinary shares. Each issued Mereo ordinary share is fully paid.</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Options</w:t>
      </w:r>
    </w:p>
    <w:p>
      <w:pPr>
        <w:spacing w:after="0" w:line="121" w:lineRule="exact"/>
        <w:rPr>
          <w:sz w:val="20"/>
          <w:szCs w:val="20"/>
          <w:color w:val="auto"/>
        </w:rPr>
      </w:pPr>
    </w:p>
    <w:p>
      <w:pPr>
        <w:jc w:val="both"/>
        <w:ind w:left="440" w:right="160" w:firstLine="423"/>
        <w:spacing w:after="0" w:line="264" w:lineRule="auto"/>
        <w:rPr>
          <w:sz w:val="20"/>
          <w:szCs w:val="20"/>
          <w:color w:val="auto"/>
        </w:rPr>
      </w:pPr>
      <w:r>
        <w:rPr>
          <w:rFonts w:ascii="Arial" w:cs="Arial" w:eastAsia="Arial" w:hAnsi="Arial"/>
          <w:sz w:val="17"/>
          <w:szCs w:val="17"/>
          <w:color w:val="auto"/>
        </w:rPr>
        <w:t>As of December 31, 2018, there were options to purchase 12,179,131 Mereo ordinary shares outstanding under Mereo’s equity incentive plans with a weighted average exercise price of £1.47 per Mereo ordinary share. The options generally lapse after 10 years from the date of the grant. As of December 31, 2018, there were nil-cost options to purchase 162,997 Mereo ordinary shares outstanding under the 2016 DBSP, which generally lapse one year after vesting.</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Novartis Notes</w:t>
      </w:r>
    </w:p>
    <w:p>
      <w:pPr>
        <w:spacing w:after="0" w:line="121" w:lineRule="exact"/>
        <w:rPr>
          <w:sz w:val="20"/>
          <w:szCs w:val="20"/>
          <w:color w:val="auto"/>
        </w:rPr>
      </w:pPr>
    </w:p>
    <w:p>
      <w:pPr>
        <w:ind w:left="440" w:firstLine="423"/>
        <w:spacing w:after="0" w:line="304" w:lineRule="auto"/>
        <w:rPr>
          <w:sz w:val="20"/>
          <w:szCs w:val="20"/>
          <w:color w:val="auto"/>
        </w:rPr>
      </w:pPr>
      <w:r>
        <w:rPr>
          <w:rFonts w:ascii="Arial" w:cs="Arial" w:eastAsia="Arial" w:hAnsi="Arial"/>
          <w:sz w:val="15"/>
          <w:szCs w:val="15"/>
          <w:color w:val="auto"/>
        </w:rPr>
        <w:t>On June 3, 2016, Mereo issued 3,463,563 Novartis Notes to Novartis. As of the date of this annual report, the outstanding principal and accrued interest on the Novartis Notes was £2,355,462 which may be converted into 1,065,820 Mereo ordinary shares at a conversion price of £2.21 per Mereo ordinary share at any time until they mature. In connection with any such conversion, Mereo is also obligated to issue a number of Bonus Shares equal to the number of shares into which the Novartis Notes are converted multiplied by 0.93, up to a maximum of 864,988 Bonus Shares The Novartis Notes mature on March 2, 2021, at which time Mereo will be obligated to pay any outstanding principal together with any accrued interest.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Warrants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Warrants issued in connection with to the Loan Agreement</w:t>
      </w:r>
    </w:p>
    <w:p>
      <w:pPr>
        <w:spacing w:after="0" w:line="115" w:lineRule="exact"/>
        <w:rPr>
          <w:sz w:val="20"/>
          <w:szCs w:val="20"/>
          <w:color w:val="auto"/>
        </w:rPr>
      </w:pPr>
    </w:p>
    <w:p>
      <w:pPr>
        <w:jc w:val="both"/>
        <w:ind w:left="440" w:right="40" w:firstLine="423"/>
        <w:spacing w:after="0" w:line="269" w:lineRule="auto"/>
        <w:rPr>
          <w:sz w:val="20"/>
          <w:szCs w:val="20"/>
          <w:color w:val="auto"/>
        </w:rPr>
      </w:pPr>
      <w:r>
        <w:rPr>
          <w:rFonts w:ascii="Arial" w:cs="Arial" w:eastAsia="Arial" w:hAnsi="Arial"/>
          <w:sz w:val="17"/>
          <w:szCs w:val="17"/>
          <w:color w:val="auto"/>
        </w:rPr>
        <w:t>In connection with the New Loan Agreement with Silicon Valley Bank and Kreos Capital V (UK) Limited, Mereo has issued warrants giving the lenders the right to subscribe for 225,974 Mereo ordinary shares at an exercise price of £2.31 per Mereo ordinary share. These warrants will be capable of exercise until October 1, 2028.</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On April 23, 2019 Mereo entered into a further revision to the New Loan Agreement, which extended the interest only period to December 31,</w:t>
      </w:r>
    </w:p>
    <w:p>
      <w:pPr>
        <w:spacing w:after="0" w:line="36" w:lineRule="exact"/>
        <w:rPr>
          <w:sz w:val="20"/>
          <w:szCs w:val="20"/>
          <w:color w:val="auto"/>
        </w:rPr>
      </w:pPr>
    </w:p>
    <w:p>
      <w:pPr>
        <w:jc w:val="both"/>
        <w:ind w:left="440" w:right="100"/>
        <w:spacing w:after="0" w:line="261" w:lineRule="auto"/>
        <w:rPr>
          <w:sz w:val="20"/>
          <w:szCs w:val="20"/>
          <w:color w:val="auto"/>
        </w:rPr>
      </w:pPr>
      <w:r>
        <w:rPr>
          <w:rFonts w:ascii="Arial" w:cs="Arial" w:eastAsia="Arial" w:hAnsi="Arial"/>
          <w:sz w:val="17"/>
          <w:szCs w:val="17"/>
          <w:color w:val="auto"/>
        </w:rPr>
        <w:t>2019. In connection with the New Loan Agreement and following completion of the Merger with OncoMed on April 23, 2019, Mereo expects to issue additional warrants giving the lenders the right to subscribe for approximately 321,444 Mereo ordinary shares at an exercise price of £2.95 per Mereo ordinary share. These warrants, when issued, will be capable of exercise until October 1, 2028.</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Warrants issued for TAP funding</w:t>
      </w:r>
    </w:p>
    <w:p>
      <w:pPr>
        <w:spacing w:after="0" w:line="115" w:lineRule="exact"/>
        <w:rPr>
          <w:sz w:val="20"/>
          <w:szCs w:val="20"/>
          <w:color w:val="auto"/>
        </w:rPr>
      </w:pPr>
    </w:p>
    <w:p>
      <w:pPr>
        <w:ind w:left="440" w:right="40" w:firstLine="423"/>
        <w:spacing w:after="0" w:line="284" w:lineRule="auto"/>
        <w:rPr>
          <w:sz w:val="20"/>
          <w:szCs w:val="20"/>
          <w:color w:val="auto"/>
        </w:rPr>
      </w:pPr>
      <w:r>
        <w:rPr>
          <w:rFonts w:ascii="Arial" w:cs="Arial" w:eastAsia="Arial" w:hAnsi="Arial"/>
          <w:sz w:val="17"/>
          <w:szCs w:val="17"/>
          <w:color w:val="auto"/>
        </w:rPr>
        <w:t>On November 1, 2018, in connection with the funding agreement with TAP, Mereo issued 41,286 warrants to subscribe for our ordinary shares at an exercise price of £0.003 per share.</w:t>
      </w:r>
    </w:p>
    <w:p>
      <w:pPr>
        <w:spacing w:after="0" w:line="257"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7"/>
          <w:szCs w:val="17"/>
          <w:b w:val="1"/>
          <w:bCs w:val="1"/>
          <w:color w:val="auto"/>
        </w:rPr>
        <w:t>10.B.</w:t>
      </w:r>
      <w:r>
        <w:rPr>
          <w:sz w:val="20"/>
          <w:szCs w:val="20"/>
          <w:color w:val="auto"/>
        </w:rPr>
        <w:tab/>
      </w:r>
      <w:r>
        <w:rPr>
          <w:rFonts w:ascii="Arial" w:cs="Arial" w:eastAsia="Arial" w:hAnsi="Arial"/>
          <w:sz w:val="15"/>
          <w:szCs w:val="15"/>
          <w:b w:val="1"/>
          <w:bCs w:val="1"/>
          <w:color w:val="auto"/>
        </w:rPr>
        <w:t>Memorandum and Articles of Association</w:t>
      </w:r>
    </w:p>
    <w:p>
      <w:pPr>
        <w:spacing w:after="0" w:line="121" w:lineRule="exact"/>
        <w:rPr>
          <w:sz w:val="20"/>
          <w:szCs w:val="20"/>
          <w:color w:val="auto"/>
        </w:rPr>
      </w:pPr>
    </w:p>
    <w:p>
      <w:pPr>
        <w:ind w:left="440" w:right="300" w:firstLine="423"/>
        <w:spacing w:after="0" w:line="354" w:lineRule="auto"/>
        <w:rPr>
          <w:sz w:val="20"/>
          <w:szCs w:val="20"/>
          <w:color w:val="auto"/>
        </w:rPr>
      </w:pPr>
      <w:r>
        <w:rPr>
          <w:rFonts w:ascii="Arial" w:cs="Arial" w:eastAsia="Arial" w:hAnsi="Arial"/>
          <w:sz w:val="15"/>
          <w:szCs w:val="15"/>
          <w:i w:val="1"/>
          <w:iCs w:val="1"/>
          <w:color w:val="auto"/>
        </w:rPr>
        <w:t>The following is a summary of some of the terms of our ordinary shares, based on our Articles. The following summary is not complete and is subject to, and is qualified in its entirety by reference to, the provisions of our Articles, and applicable U.K. law, including U.K. corporate law.</w:t>
      </w:r>
    </w:p>
    <w:p>
      <w:pPr>
        <w:spacing w:after="0" w:line="4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920"/>
          </w:cols>
          <w:pgMar w:left="240" w:top="445" w:right="73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General</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Our company was incorporated on March 10, 2015, and was registered as a public limited company under the laws of England and Wales.</w:t>
      </w:r>
    </w:p>
    <w:p>
      <w:pPr>
        <w:spacing w:after="0" w:line="33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Objects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corporate objects of Mereo BioPharma Group plc are unrestricted.</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Registered Shares</w:t>
      </w:r>
    </w:p>
    <w:p>
      <w:pPr>
        <w:spacing w:after="0" w:line="115" w:lineRule="exact"/>
        <w:rPr>
          <w:sz w:val="20"/>
          <w:szCs w:val="20"/>
          <w:color w:val="auto"/>
        </w:rPr>
      </w:pPr>
    </w:p>
    <w:p>
      <w:pPr>
        <w:ind w:left="440" w:right="20" w:firstLine="423"/>
        <w:spacing w:after="0" w:line="285" w:lineRule="auto"/>
        <w:rPr>
          <w:sz w:val="20"/>
          <w:szCs w:val="20"/>
          <w:color w:val="auto"/>
        </w:rPr>
      </w:pPr>
      <w:r>
        <w:rPr>
          <w:rFonts w:ascii="Arial" w:cs="Arial" w:eastAsia="Arial" w:hAnsi="Arial"/>
          <w:sz w:val="16"/>
          <w:szCs w:val="16"/>
          <w:color w:val="auto"/>
        </w:rPr>
        <w:t>Mereo is required by the U.K. Companies Act 2006 to keep a register of its shareholders. Under English law, our ordinary shares are deemed to be issued when the name of the shareholder is entered in Mereo’s share register. The share register therefore is prima facie evidence of the identity of Mereo’s shareholders, and the shares that they hold. The share register generally provides limited, or no, information regarding the ultimate beneficial owners of our ordinary shares. Mereo’s share register is maintained by its registrar, Link Asset Services.</w:t>
      </w:r>
    </w:p>
    <w:p>
      <w:pPr>
        <w:spacing w:after="0" w:line="162"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Holders of our ADSs are not treated as shareholders and their names are therefore not be entered in Mereo’s share register. The depositary, the custodian or their nominees are the holders of our ordinary shares underlying our ADSs. Holders of our ADSs have a right to receive our ordinary shares underlying their ADSs.</w:t>
      </w:r>
    </w:p>
    <w:p>
      <w:pPr>
        <w:spacing w:after="0" w:line="171"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7"/>
          <w:szCs w:val="17"/>
          <w:color w:val="auto"/>
        </w:rPr>
        <w:t>Under the U.K. Companies Act 2006, Mereo must enter an allotment of its ordinary shares in its share register as soon as practicable and in any event within two months of the allotment. Mereo has updated its share register to reflect the number of ordinary shares issued to the depositary in connection with the Merger. Mereo is also required by the U.K. Companies Act 2006 to register a transfer of its ordinary shares (or give the transferee notice of and reasons for refusal as the transferee may reasonably request) as soon as practicable and in any event within two months of receiving notice of the transfer.</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Mereo, any of Mereo’s shareholders or any other affected person may apply to the court for rectification of the share register if:</w:t>
      </w:r>
    </w:p>
    <w:p>
      <w:pPr>
        <w:spacing w:after="0" w:line="128" w:lineRule="exact"/>
        <w:rPr>
          <w:sz w:val="20"/>
          <w:szCs w:val="20"/>
          <w:color w:val="auto"/>
        </w:rPr>
      </w:pPr>
    </w:p>
    <w:p>
      <w:pPr>
        <w:ind w:left="1260" w:hanging="415"/>
        <w:spacing w:after="0"/>
        <w:tabs>
          <w:tab w:leader="none" w:pos="1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name of any person, without sufficient cause, is entered in or omitted from Mereo’s register of members; or</w:t>
      </w:r>
    </w:p>
    <w:p>
      <w:pPr>
        <w:spacing w:after="0" w:line="128" w:lineRule="exact"/>
        <w:rPr>
          <w:rFonts w:ascii="Arial" w:cs="Arial" w:eastAsia="Arial" w:hAnsi="Arial"/>
          <w:sz w:val="17"/>
          <w:szCs w:val="17"/>
          <w:color w:val="auto"/>
        </w:rPr>
      </w:pPr>
    </w:p>
    <w:p>
      <w:pPr>
        <w:ind w:left="1260" w:right="360" w:hanging="415"/>
        <w:spacing w:after="0" w:line="354" w:lineRule="auto"/>
        <w:tabs>
          <w:tab w:leader="none" w:pos="12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 default is made or unnecessary delay takes place in entering on the register the fact of any person having ceased to be a member or on which Mereo has a lien, provided that such refusal does not prevent dealings in the shares taking place on an open and proper basis.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Shares and Rights Attaching to Them</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summarizes the rights of holders of Mereo ordinary shares:</w:t>
      </w:r>
    </w:p>
    <w:p>
      <w:pPr>
        <w:spacing w:after="0" w:line="128" w:lineRule="exact"/>
        <w:rPr>
          <w:sz w:val="20"/>
          <w:szCs w:val="20"/>
          <w:color w:val="auto"/>
        </w:rPr>
      </w:pPr>
    </w:p>
    <w:p>
      <w:pPr>
        <w:ind w:left="1260" w:right="100" w:hanging="415"/>
        <w:spacing w:after="0" w:line="264" w:lineRule="auto"/>
        <w:tabs>
          <w:tab w:leader="none" w:pos="12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each holder of Mereo ordinary shares is entitled to one vote per Mereo ordinary share at a meeting of shareholders (provided that certain shareholders each have its votes on a poll limited to 19.5% of the total voting share capital and any votes which would have otherwise been exercisable by Mereo shall be deemed to be held and exercisable by the other shareholders, other than those and certain other shareholders, on a pro rata basis);</w:t>
      </w:r>
    </w:p>
    <w:p>
      <w:pPr>
        <w:spacing w:after="0" w:line="85" w:lineRule="exact"/>
        <w:rPr>
          <w:rFonts w:ascii="Arial" w:cs="Arial" w:eastAsia="Arial" w:hAnsi="Arial"/>
          <w:sz w:val="17"/>
          <w:szCs w:val="17"/>
          <w:color w:val="auto"/>
        </w:rPr>
      </w:pPr>
    </w:p>
    <w:p>
      <w:pPr>
        <w:ind w:left="1260" w:hanging="415"/>
        <w:spacing w:after="0"/>
        <w:tabs>
          <w:tab w:leader="none" w:pos="12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holders of the Mereo ordinary shares shall be entitled to receive notice of, attend, speak, and vote at Mereo’s general meetings; and</w:t>
      </w:r>
    </w:p>
    <w:p>
      <w:pPr>
        <w:spacing w:after="0" w:line="139" w:lineRule="exact"/>
        <w:rPr>
          <w:rFonts w:ascii="Arial" w:cs="Arial" w:eastAsia="Arial" w:hAnsi="Arial"/>
          <w:sz w:val="16"/>
          <w:szCs w:val="16"/>
          <w:color w:val="auto"/>
        </w:rPr>
      </w:pPr>
    </w:p>
    <w:p>
      <w:pPr>
        <w:ind w:left="1260" w:right="140" w:hanging="415"/>
        <w:spacing w:after="0" w:line="284" w:lineRule="auto"/>
        <w:tabs>
          <w:tab w:leader="none" w:pos="12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holders of Mereo ordinary shares are entitled to receive such dividends as are recommended by Mereo’s directors and declared by Mereo’s shareholders.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Share Rights</w:t>
      </w:r>
    </w:p>
    <w:p>
      <w:pPr>
        <w:spacing w:after="0" w:line="115" w:lineRule="exact"/>
        <w:rPr>
          <w:sz w:val="20"/>
          <w:szCs w:val="20"/>
          <w:color w:val="auto"/>
        </w:rPr>
      </w:pPr>
    </w:p>
    <w:p>
      <w:pPr>
        <w:ind w:left="440" w:right="80" w:firstLine="423"/>
        <w:spacing w:after="0" w:line="316" w:lineRule="auto"/>
        <w:rPr>
          <w:sz w:val="20"/>
          <w:szCs w:val="20"/>
          <w:color w:val="auto"/>
        </w:rPr>
      </w:pPr>
      <w:r>
        <w:rPr>
          <w:rFonts w:ascii="Arial" w:cs="Arial" w:eastAsia="Arial" w:hAnsi="Arial"/>
          <w:sz w:val="16"/>
          <w:szCs w:val="16"/>
          <w:color w:val="auto"/>
        </w:rPr>
        <w:t>Subject to any special rights attaching to shares already in issue, Mereo ordinary shares may be issued with or have attached to them any rights or restrictions as Mereo may resolve by ordinary resolution of the shareholders or failing such determination, as the board may determine.</w:t>
      </w:r>
    </w:p>
    <w:p>
      <w:pPr>
        <w:spacing w:after="0" w:line="7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980"/>
          </w:cols>
          <w:pgMar w:left="240" w:top="445" w:right="67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Voting Rights</w:t>
      </w:r>
    </w:p>
    <w:p>
      <w:pPr>
        <w:spacing w:after="0" w:line="115" w:lineRule="exact"/>
        <w:rPr>
          <w:sz w:val="20"/>
          <w:szCs w:val="20"/>
          <w:color w:val="auto"/>
        </w:rPr>
      </w:pPr>
    </w:p>
    <w:p>
      <w:pPr>
        <w:ind w:left="440" w:right="140" w:firstLine="423"/>
        <w:spacing w:after="0" w:line="284" w:lineRule="auto"/>
        <w:rPr>
          <w:sz w:val="20"/>
          <w:szCs w:val="20"/>
          <w:color w:val="auto"/>
        </w:rPr>
      </w:pPr>
      <w:r>
        <w:rPr>
          <w:rFonts w:ascii="Arial" w:cs="Arial" w:eastAsia="Arial" w:hAnsi="Arial"/>
          <w:sz w:val="17"/>
          <w:szCs w:val="17"/>
          <w:color w:val="auto"/>
        </w:rPr>
        <w:t>Without prejudice to any special rights, privileges or restrictions as to voting rights attached to any shares forming part of Mereo’s share capital from time to time, the voting rights attaching to shares are as follows:</w:t>
      </w:r>
    </w:p>
    <w:p>
      <w:pPr>
        <w:spacing w:after="0" w:line="68" w:lineRule="exact"/>
        <w:rPr>
          <w:sz w:val="20"/>
          <w:szCs w:val="20"/>
          <w:color w:val="auto"/>
        </w:rPr>
      </w:pPr>
    </w:p>
    <w:p>
      <w:pPr>
        <w:ind w:left="1260" w:right="600" w:hanging="415"/>
        <w:spacing w:after="0" w:line="284" w:lineRule="auto"/>
        <w:tabs>
          <w:tab w:leader="none" w:pos="12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on a show of hands, every shareholder who (being an individual) is present in person and (being a corporation) is present by a duly authorized representative shall have one vote;</w:t>
      </w:r>
    </w:p>
    <w:p>
      <w:pPr>
        <w:spacing w:after="0" w:line="68" w:lineRule="exact"/>
        <w:rPr>
          <w:rFonts w:ascii="Arial" w:cs="Arial" w:eastAsia="Arial" w:hAnsi="Arial"/>
          <w:sz w:val="17"/>
          <w:szCs w:val="17"/>
          <w:color w:val="auto"/>
        </w:rPr>
      </w:pPr>
    </w:p>
    <w:p>
      <w:pPr>
        <w:ind w:left="1260" w:hanging="415"/>
        <w:spacing w:after="0" w:line="269" w:lineRule="auto"/>
        <w:tabs>
          <w:tab w:leader="none" w:pos="12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80" w:lineRule="exact"/>
        <w:rPr>
          <w:rFonts w:ascii="Arial" w:cs="Arial" w:eastAsia="Arial" w:hAnsi="Arial"/>
          <w:sz w:val="17"/>
          <w:szCs w:val="17"/>
          <w:color w:val="auto"/>
        </w:rPr>
      </w:pPr>
    </w:p>
    <w:p>
      <w:pPr>
        <w:ind w:left="1260" w:hanging="415"/>
        <w:spacing w:after="0" w:line="260" w:lineRule="auto"/>
        <w:tabs>
          <w:tab w:leader="none" w:pos="12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89" w:lineRule="exact"/>
        <w:rPr>
          <w:rFonts w:ascii="Arial" w:cs="Arial" w:eastAsia="Arial" w:hAnsi="Arial"/>
          <w:sz w:val="17"/>
          <w:szCs w:val="17"/>
          <w:color w:val="auto"/>
        </w:rPr>
      </w:pPr>
    </w:p>
    <w:p>
      <w:pPr>
        <w:ind w:left="1260" w:right="40" w:hanging="415"/>
        <w:spacing w:after="0" w:line="264" w:lineRule="auto"/>
        <w:tabs>
          <w:tab w:leader="none" w:pos="12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on a poll every shareholder who is present in person or by proxy shall have one vote for each share of which he is the holder, provided that certain shareholders have their votes limited to 19.5% of the total voting share capital and any votes which would have otherwise been exercisable by them shall be deemed to be held and exercisable by the other shareholders, other than those shareholders subject to such cap whose voting rights have already been capped, on a pro rata basis.</w:t>
      </w:r>
    </w:p>
    <w:p>
      <w:pPr>
        <w:spacing w:after="0" w:line="176" w:lineRule="exact"/>
        <w:rPr>
          <w:sz w:val="20"/>
          <w:szCs w:val="20"/>
          <w:color w:val="auto"/>
        </w:rPr>
      </w:pPr>
    </w:p>
    <w:p>
      <w:pPr>
        <w:ind w:left="440" w:right="120" w:firstLine="423"/>
        <w:spacing w:after="0" w:line="284" w:lineRule="auto"/>
        <w:rPr>
          <w:sz w:val="20"/>
          <w:szCs w:val="20"/>
          <w:color w:val="auto"/>
        </w:rPr>
      </w:pPr>
      <w:r>
        <w:rPr>
          <w:rFonts w:ascii="Arial" w:cs="Arial" w:eastAsia="Arial" w:hAnsi="Arial"/>
          <w:sz w:val="17"/>
          <w:szCs w:val="17"/>
          <w:color w:val="auto"/>
        </w:rPr>
        <w:t>At any general meeting a resolution put to the vote of the meeting shall be decided on a show of hands unless a poll is demanded. Subject to the provisions of the U.K. Companies Act 2006, a poll may be demanded by:</w:t>
      </w:r>
    </w:p>
    <w:p>
      <w:pPr>
        <w:spacing w:after="0" w:line="68" w:lineRule="exact"/>
        <w:rPr>
          <w:sz w:val="20"/>
          <w:szCs w:val="20"/>
          <w:color w:val="auto"/>
        </w:rPr>
      </w:pPr>
    </w:p>
    <w:p>
      <w:pPr>
        <w:ind w:left="1260" w:hanging="415"/>
        <w:spacing w:after="0"/>
        <w:tabs>
          <w:tab w:leader="none" w:pos="12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chairman of the meeting;</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directors;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two or more persons having the right to vote on the resolution; or</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 person or persons representing not less than 10% of the total voting rights of all shareholders having the right to vote on the resolution.</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Restrictions on Voting</w:t>
      </w:r>
    </w:p>
    <w:p>
      <w:pPr>
        <w:spacing w:after="0" w:line="115" w:lineRule="exact"/>
        <w:rPr>
          <w:sz w:val="20"/>
          <w:szCs w:val="20"/>
          <w:color w:val="auto"/>
        </w:rPr>
      </w:pPr>
    </w:p>
    <w:p>
      <w:pPr>
        <w:ind w:left="440" w:right="120" w:firstLine="423"/>
        <w:spacing w:after="0" w:line="284" w:lineRule="auto"/>
        <w:rPr>
          <w:sz w:val="20"/>
          <w:szCs w:val="20"/>
          <w:color w:val="auto"/>
        </w:rPr>
      </w:pPr>
      <w:r>
        <w:rPr>
          <w:rFonts w:ascii="Arial" w:cs="Arial" w:eastAsia="Arial" w:hAnsi="Arial"/>
          <w:sz w:val="17"/>
          <w:szCs w:val="17"/>
          <w:color w:val="auto"/>
        </w:rPr>
        <w:t>No shareholder shall be entitled to vote at any general meeting in respect of any share held by such shareholder unless all sums payable by such shareholder in respect of that share have been paid.</w:t>
      </w:r>
    </w:p>
    <w:p>
      <w:pPr>
        <w:spacing w:after="0" w:line="159" w:lineRule="exact"/>
        <w:rPr>
          <w:sz w:val="20"/>
          <w:szCs w:val="20"/>
          <w:color w:val="auto"/>
        </w:rPr>
      </w:pPr>
    </w:p>
    <w:p>
      <w:pPr>
        <w:ind w:left="440" w:right="100" w:firstLine="423"/>
        <w:spacing w:after="0" w:line="269" w:lineRule="auto"/>
        <w:rPr>
          <w:sz w:val="20"/>
          <w:szCs w:val="20"/>
          <w:color w:val="auto"/>
        </w:rPr>
      </w:pPr>
      <w:r>
        <w:rPr>
          <w:rFonts w:ascii="Arial" w:cs="Arial" w:eastAsia="Arial" w:hAnsi="Arial"/>
          <w:sz w:val="17"/>
          <w:szCs w:val="17"/>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her or its shares.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Dividends</w:t>
      </w:r>
    </w:p>
    <w:p>
      <w:pPr>
        <w:spacing w:after="0" w:line="115" w:lineRule="exact"/>
        <w:rPr>
          <w:sz w:val="20"/>
          <w:szCs w:val="20"/>
          <w:color w:val="auto"/>
        </w:rPr>
      </w:pPr>
    </w:p>
    <w:p>
      <w:pPr>
        <w:ind w:left="440" w:right="40" w:firstLine="423"/>
        <w:spacing w:after="0" w:line="260" w:lineRule="auto"/>
        <w:rPr>
          <w:sz w:val="20"/>
          <w:szCs w:val="20"/>
          <w:color w:val="auto"/>
        </w:rPr>
      </w:pPr>
      <w:r>
        <w:rPr>
          <w:rFonts w:ascii="Arial" w:cs="Arial" w:eastAsia="Arial" w:hAnsi="Arial"/>
          <w:sz w:val="17"/>
          <w:szCs w:val="17"/>
          <w:color w:val="auto"/>
        </w:rPr>
        <w:t>Mereo may, subject to the provisions of the U.K. Companies Act 2006 and Mereo’s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Mereo’s financial position but, if at any time, Mereo’s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11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900"/>
          </w:cols>
          <w:pgMar w:left="240" w:top="445" w:right="75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80" w:firstLine="423"/>
        <w:spacing w:after="0" w:line="269" w:lineRule="auto"/>
        <w:rPr>
          <w:sz w:val="20"/>
          <w:szCs w:val="20"/>
          <w:color w:val="auto"/>
        </w:rPr>
      </w:pPr>
      <w:r>
        <w:rPr>
          <w:rFonts w:ascii="Arial" w:cs="Arial" w:eastAsia="Arial" w:hAnsi="Arial"/>
          <w:sz w:val="17"/>
          <w:szCs w:val="17"/>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171" w:lineRule="exact"/>
        <w:rPr>
          <w:sz w:val="20"/>
          <w:szCs w:val="20"/>
          <w:color w:val="auto"/>
        </w:rPr>
      </w:pPr>
    </w:p>
    <w:p>
      <w:pPr>
        <w:ind w:left="440" w:right="240" w:firstLine="423"/>
        <w:spacing w:after="0" w:line="269" w:lineRule="auto"/>
        <w:rPr>
          <w:sz w:val="20"/>
          <w:szCs w:val="20"/>
          <w:color w:val="auto"/>
        </w:rPr>
      </w:pPr>
      <w:r>
        <w:rPr>
          <w:rFonts w:ascii="Arial" w:cs="Arial" w:eastAsia="Arial" w:hAnsi="Arial"/>
          <w:sz w:val="17"/>
          <w:szCs w:val="17"/>
          <w:color w:val="auto"/>
        </w:rPr>
        <w:t>No dividend or other moneys payable by Mereo on or in respect of any share shall bear interest against Mereo unless otherwise provided by the rights attached to the share or the provisions of another agreement between the shareholder and Mereo. Any dividend unclaimed after a period of 12 years from the date such dividend became due for payment shall be forfeited and cease to remain owing.</w:t>
      </w:r>
    </w:p>
    <w:p>
      <w:pPr>
        <w:spacing w:after="0" w:line="171" w:lineRule="exact"/>
        <w:rPr>
          <w:sz w:val="20"/>
          <w:szCs w:val="20"/>
          <w:color w:val="auto"/>
        </w:rPr>
      </w:pPr>
    </w:p>
    <w:p>
      <w:pPr>
        <w:ind w:left="440" w:right="460" w:firstLine="423"/>
        <w:spacing w:after="0" w:line="284" w:lineRule="auto"/>
        <w:rPr>
          <w:sz w:val="20"/>
          <w:szCs w:val="20"/>
          <w:color w:val="auto"/>
        </w:rPr>
      </w:pPr>
      <w:r>
        <w:rPr>
          <w:rFonts w:ascii="Arial" w:cs="Arial" w:eastAsia="Arial" w:hAnsi="Arial"/>
          <w:sz w:val="17"/>
          <w:szCs w:val="17"/>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59" w:lineRule="exact"/>
        <w:rPr>
          <w:sz w:val="20"/>
          <w:szCs w:val="20"/>
          <w:color w:val="auto"/>
        </w:rPr>
      </w:pPr>
    </w:p>
    <w:p>
      <w:pPr>
        <w:ind w:left="440" w:right="160" w:firstLine="423"/>
        <w:spacing w:after="0" w:line="269" w:lineRule="auto"/>
        <w:rPr>
          <w:sz w:val="20"/>
          <w:szCs w:val="20"/>
          <w:color w:val="auto"/>
        </w:rPr>
      </w:pPr>
      <w:r>
        <w:rPr>
          <w:rFonts w:ascii="Arial" w:cs="Arial" w:eastAsia="Arial" w:hAnsi="Arial"/>
          <w:sz w:val="17"/>
          <w:szCs w:val="17"/>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171" w:lineRule="exact"/>
        <w:rPr>
          <w:sz w:val="20"/>
          <w:szCs w:val="20"/>
          <w:color w:val="auto"/>
        </w:rPr>
      </w:pPr>
    </w:p>
    <w:p>
      <w:pPr>
        <w:ind w:left="440" w:right="120" w:firstLine="423"/>
        <w:spacing w:after="0" w:line="284" w:lineRule="auto"/>
        <w:rPr>
          <w:sz w:val="20"/>
          <w:szCs w:val="20"/>
          <w:color w:val="auto"/>
        </w:rPr>
      </w:pPr>
      <w:r>
        <w:rPr>
          <w:rFonts w:ascii="Arial" w:cs="Arial" w:eastAsia="Arial" w:hAnsi="Arial"/>
          <w:sz w:val="17"/>
          <w:szCs w:val="17"/>
          <w:color w:val="auto"/>
        </w:rPr>
        <w:t>The directors may, if authorized by an ordinary resolution of shareholders, offer any holders of Mereo ordinary shares the right to elect to receive in lieu of a dividend, or part of a dividend, an allotment of Mereo ordinary shares credited as fully paid up.</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Change of Control</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There is no specific provision in Mereo’s Articles that would have the effect of delaying, deferring, or preventing a change of control.</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Distributions on Winding Up</w:t>
      </w:r>
    </w:p>
    <w:p>
      <w:pPr>
        <w:spacing w:after="0" w:line="115" w:lineRule="exact"/>
        <w:rPr>
          <w:sz w:val="20"/>
          <w:szCs w:val="20"/>
          <w:color w:val="auto"/>
        </w:rPr>
      </w:pPr>
    </w:p>
    <w:p>
      <w:pPr>
        <w:ind w:left="440" w:right="20" w:firstLine="423"/>
        <w:spacing w:after="0" w:line="278" w:lineRule="auto"/>
        <w:rPr>
          <w:sz w:val="20"/>
          <w:szCs w:val="20"/>
          <w:color w:val="auto"/>
        </w:rPr>
      </w:pPr>
      <w:r>
        <w:rPr>
          <w:rFonts w:ascii="Arial" w:cs="Arial" w:eastAsia="Arial" w:hAnsi="Arial"/>
          <w:sz w:val="16"/>
          <w:szCs w:val="16"/>
          <w:color w:val="auto"/>
        </w:rPr>
        <w:t>If Mereo is in liquidation, the liquidator may, if authorized by a special resolution of shareholders and any other authority required at law, divide among shareholders (excluding Mereo to the extent it is a shareholder by virtue only of holding treasury shares) in specie or in kind the whole or any part of Mereo’s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the liquidation of Mereo may be closed and Mereo dissolved), but no shareholder shall be compelled to accept any shares or other assets upon which there is any liability or potential liability.</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Variation of Rights</w:t>
      </w:r>
    </w:p>
    <w:p>
      <w:pPr>
        <w:spacing w:after="0" w:line="115" w:lineRule="exact"/>
        <w:rPr>
          <w:sz w:val="20"/>
          <w:szCs w:val="20"/>
          <w:color w:val="auto"/>
        </w:rPr>
      </w:pPr>
    </w:p>
    <w:p>
      <w:pPr>
        <w:ind w:left="440" w:right="60" w:firstLine="423"/>
        <w:spacing w:after="0" w:line="279" w:lineRule="auto"/>
        <w:rPr>
          <w:sz w:val="20"/>
          <w:szCs w:val="20"/>
          <w:color w:val="auto"/>
        </w:rPr>
      </w:pPr>
      <w:r>
        <w:rPr>
          <w:rFonts w:ascii="Arial" w:cs="Arial" w:eastAsia="Arial" w:hAnsi="Arial"/>
          <w:sz w:val="16"/>
          <w:szCs w:val="16"/>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Alteration to Share Capital</w:t>
      </w:r>
    </w:p>
    <w:p>
      <w:pPr>
        <w:spacing w:after="0" w:line="115"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Mereo may, by ordinary resolution of shareholders, consolidate all or any of its share capital into shares of larger amount than Mereo’s existing shares, or sub-divide Mereo’s shares or any of them into shares of a smaller amount. Mereo may, by special resolution of shareholders, confirmed by the court, reduce Mereo’s share capital or any capital redemption reserve or any share premium account in any manner authorized by the U.K. Companies Act 2006. Mereo may redeem or purchase all or any of the Mereo ordinary shares as described in “—Other U.K. Law Considerations—Purchase of Own Shares.”</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000"/>
          </w:cols>
          <w:pgMar w:left="240" w:top="445" w:right="65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Preemption Rights</w:t>
      </w:r>
    </w:p>
    <w:p>
      <w:pPr>
        <w:spacing w:after="0" w:line="115" w:lineRule="exact"/>
        <w:rPr>
          <w:sz w:val="20"/>
          <w:szCs w:val="20"/>
          <w:color w:val="auto"/>
        </w:rPr>
      </w:pPr>
    </w:p>
    <w:p>
      <w:pPr>
        <w:ind w:left="440" w:firstLine="423"/>
        <w:spacing w:after="0" w:line="276" w:lineRule="auto"/>
        <w:rPr>
          <w:sz w:val="20"/>
          <w:szCs w:val="20"/>
          <w:color w:val="auto"/>
        </w:rPr>
      </w:pPr>
      <w:r>
        <w:rPr>
          <w:rFonts w:ascii="Arial" w:cs="Arial" w:eastAsia="Arial" w:hAnsi="Arial"/>
          <w:sz w:val="16"/>
          <w:szCs w:val="16"/>
          <w:color w:val="auto"/>
        </w:rPr>
        <w:t>In certain circumstances, Mereo’s shareholders may have statutory preemption rights under the U.K. Companies Act 2006 in respect of the allotment of new shares. 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Mereo’s shareholders upon its expiration (i.e., at least every five years). On June 2, 2016, Mereo’s shareholders approved the exclusion of preemptive rights for a period of five years from the date of the approval in respect of the allotment of up to a maximum amount of £350,000 of Mereo ordinary shares of £0.003 each, which exclusion will need to be renewed upon expiration (i.e., at least every five years) to remain effective, but may be sought more frequently for additional five-year terms (or any shorter period).</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Transfer of Shares</w:t>
      </w:r>
    </w:p>
    <w:p>
      <w:pPr>
        <w:spacing w:after="0" w:line="115"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Any shareholder holding shares in certificated form may transfer all or any such shares by an instrument of transfer in any usual form or any other form approved by the board. Any written instrument of transfer shall be signed by or on behalf of the transferor and (in the case of a partly paid share) the transferee.</w:t>
      </w:r>
    </w:p>
    <w:p>
      <w:pPr>
        <w:spacing w:after="0" w:line="171" w:lineRule="exact"/>
        <w:rPr>
          <w:sz w:val="20"/>
          <w:szCs w:val="20"/>
          <w:color w:val="auto"/>
        </w:rPr>
      </w:pPr>
    </w:p>
    <w:p>
      <w:pPr>
        <w:ind w:left="440" w:right="520" w:firstLine="423"/>
        <w:spacing w:after="0" w:line="354" w:lineRule="auto"/>
        <w:rPr>
          <w:sz w:val="20"/>
          <w:szCs w:val="20"/>
          <w:color w:val="auto"/>
        </w:rPr>
      </w:pPr>
      <w:r>
        <w:rPr>
          <w:rFonts w:ascii="Arial" w:cs="Arial" w:eastAsia="Arial" w:hAnsi="Arial"/>
          <w:sz w:val="15"/>
          <w:szCs w:val="15"/>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board may decline to register any transfer of any share:</w:t>
      </w:r>
    </w:p>
    <w:p>
      <w:pPr>
        <w:spacing w:after="0" w:line="128" w:lineRule="exact"/>
        <w:rPr>
          <w:sz w:val="20"/>
          <w:szCs w:val="20"/>
          <w:color w:val="auto"/>
        </w:rPr>
      </w:pPr>
    </w:p>
    <w:p>
      <w:pPr>
        <w:ind w:left="1260" w:hanging="415"/>
        <w:spacing w:after="0"/>
        <w:tabs>
          <w:tab w:leader="none" w:pos="12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which is not a fully paid share;</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where the transfer is not lodged at Mereo’s registered office or such other place as the directors have appointed;</w:t>
      </w:r>
    </w:p>
    <w:p>
      <w:pPr>
        <w:spacing w:after="0" w:line="128" w:lineRule="exact"/>
        <w:rPr>
          <w:rFonts w:ascii="Arial" w:cs="Arial" w:eastAsia="Arial" w:hAnsi="Arial"/>
          <w:sz w:val="17"/>
          <w:szCs w:val="17"/>
          <w:color w:val="auto"/>
        </w:rPr>
      </w:pPr>
    </w:p>
    <w:p>
      <w:pPr>
        <w:ind w:left="1260" w:right="60" w:hanging="415"/>
        <w:spacing w:after="0" w:line="269" w:lineRule="auto"/>
        <w:tabs>
          <w:tab w:leader="none" w:pos="12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80" w:lineRule="exact"/>
        <w:rPr>
          <w:rFonts w:ascii="Arial" w:cs="Arial" w:eastAsia="Arial" w:hAnsi="Arial"/>
          <w:sz w:val="17"/>
          <w:szCs w:val="17"/>
          <w:color w:val="auto"/>
        </w:rPr>
      </w:pPr>
    </w:p>
    <w:p>
      <w:pPr>
        <w:ind w:left="1260" w:hanging="415"/>
        <w:spacing w:after="0"/>
        <w:tabs>
          <w:tab w:leader="none" w:pos="12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where the transfer is in respect of more than one class of share;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where the number of joint holders to whom the share is to be transferred exceeds four.</w:t>
      </w:r>
    </w:p>
    <w:p>
      <w:pPr>
        <w:spacing w:after="0" w:line="219" w:lineRule="exact"/>
        <w:rPr>
          <w:sz w:val="20"/>
          <w:szCs w:val="20"/>
          <w:color w:val="auto"/>
        </w:rPr>
      </w:pPr>
    </w:p>
    <w:p>
      <w:pPr>
        <w:ind w:left="440" w:right="200" w:firstLine="423"/>
        <w:spacing w:after="0" w:line="284" w:lineRule="auto"/>
        <w:rPr>
          <w:sz w:val="20"/>
          <w:szCs w:val="20"/>
          <w:color w:val="auto"/>
        </w:rPr>
      </w:pPr>
      <w:r>
        <w:rPr>
          <w:rFonts w:ascii="Arial" w:cs="Arial" w:eastAsia="Arial" w:hAnsi="Arial"/>
          <w:sz w:val="17"/>
          <w:szCs w:val="17"/>
          <w:color w:val="auto"/>
        </w:rPr>
        <w:t>If the board declines to register a transfer, it must return to the transferee the instrument of transfer together with notice of the refusal, unless the board suspects that the proposed transfer may be fraudulent.</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CREST</w:t>
      </w:r>
    </w:p>
    <w:p>
      <w:pPr>
        <w:spacing w:after="0" w:line="121" w:lineRule="exact"/>
        <w:rPr>
          <w:sz w:val="20"/>
          <w:szCs w:val="20"/>
          <w:color w:val="auto"/>
        </w:rPr>
      </w:pPr>
    </w:p>
    <w:p>
      <w:pPr>
        <w:jc w:val="both"/>
        <w:ind w:left="440" w:right="160" w:firstLine="423"/>
        <w:spacing w:after="0" w:line="321" w:lineRule="auto"/>
        <w:rPr>
          <w:sz w:val="20"/>
          <w:szCs w:val="20"/>
          <w:color w:val="auto"/>
        </w:rPr>
      </w:pPr>
      <w:r>
        <w:rPr>
          <w:rFonts w:ascii="Arial" w:cs="Arial" w:eastAsia="Arial" w:hAnsi="Arial"/>
          <w:sz w:val="15"/>
          <w:szCs w:val="15"/>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Shareholder Meetings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Annual General Meetings</w:t>
      </w:r>
    </w:p>
    <w:p>
      <w:pPr>
        <w:spacing w:after="0" w:line="115" w:lineRule="exact"/>
        <w:rPr>
          <w:sz w:val="20"/>
          <w:szCs w:val="20"/>
          <w:color w:val="auto"/>
        </w:rPr>
      </w:pPr>
    </w:p>
    <w:p>
      <w:pPr>
        <w:ind w:left="440" w:right="80" w:firstLine="423"/>
        <w:spacing w:after="0" w:line="269" w:lineRule="auto"/>
        <w:rPr>
          <w:sz w:val="20"/>
          <w:szCs w:val="20"/>
          <w:color w:val="auto"/>
        </w:rPr>
      </w:pPr>
      <w:r>
        <w:rPr>
          <w:rFonts w:ascii="Arial" w:cs="Arial" w:eastAsia="Arial" w:hAnsi="Arial"/>
          <w:sz w:val="17"/>
          <w:szCs w:val="17"/>
          <w:color w:val="auto"/>
        </w:rPr>
        <w:t>In accordance with the U.K. Companies Act 2006, Mereo is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000"/>
          </w:cols>
          <w:pgMar w:left="240" w:top="445" w:right="65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Notice of General Meetings</w:t>
      </w:r>
    </w:p>
    <w:p>
      <w:pPr>
        <w:spacing w:after="0" w:line="115"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Under the U.K. Companies Act 2006, 21 clear days’ notice must be given for an annual general meeting and any resolutions to be proposed at that meeting. At least 14 clear days’ notice is required for any other general meeting.</w:t>
      </w:r>
    </w:p>
    <w:p>
      <w:pPr>
        <w:spacing w:after="0" w:line="159" w:lineRule="exact"/>
        <w:rPr>
          <w:sz w:val="20"/>
          <w:szCs w:val="20"/>
          <w:color w:val="auto"/>
        </w:rPr>
      </w:pPr>
    </w:p>
    <w:p>
      <w:pPr>
        <w:jc w:val="both"/>
        <w:ind w:left="440" w:right="120" w:firstLine="423"/>
        <w:spacing w:after="0" w:line="293" w:lineRule="auto"/>
        <w:rPr>
          <w:sz w:val="20"/>
          <w:szCs w:val="20"/>
          <w:color w:val="auto"/>
        </w:rPr>
      </w:pPr>
      <w:r>
        <w:rPr>
          <w:rFonts w:ascii="Arial" w:cs="Arial" w:eastAsia="Arial" w:hAnsi="Arial"/>
          <w:sz w:val="16"/>
          <w:szCs w:val="16"/>
          <w:color w:val="auto"/>
        </w:rPr>
        <w:t>Subject to the notice requirements of the U.K. Companies Act 2006, a general meeting of the shareholders of Mereo may be called by the Mereo Board whenever and at such times and places as it shall determine. A general meeting may also be convened by the Mereo Board on the requisition of Mereo shareholders who hold at least 5% of the paid-up capital of Mereo carrying voting rights at a general meeting.</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Quorum of General Meetings</w:t>
      </w:r>
    </w:p>
    <w:p>
      <w:pPr>
        <w:spacing w:after="0" w:line="115" w:lineRule="exact"/>
        <w:rPr>
          <w:sz w:val="20"/>
          <w:szCs w:val="20"/>
          <w:color w:val="auto"/>
        </w:rPr>
      </w:pPr>
    </w:p>
    <w:p>
      <w:pPr>
        <w:jc w:val="both"/>
        <w:ind w:left="440" w:firstLine="423"/>
        <w:spacing w:after="0" w:line="284" w:lineRule="auto"/>
        <w:rPr>
          <w:sz w:val="20"/>
          <w:szCs w:val="20"/>
          <w:color w:val="auto"/>
        </w:rPr>
      </w:pPr>
      <w:r>
        <w:rPr>
          <w:rFonts w:ascii="Arial" w:cs="Arial" w:eastAsia="Arial" w:hAnsi="Arial"/>
          <w:sz w:val="17"/>
          <w:szCs w:val="17"/>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Class Meetings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provisions in the Articles relating to general meetings apply to every separate general meeting of the holders of a class of shares.</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Number of Directors</w:t>
      </w:r>
    </w:p>
    <w:p>
      <w:pPr>
        <w:spacing w:after="0" w:line="115" w:lineRule="exact"/>
        <w:rPr>
          <w:sz w:val="20"/>
          <w:szCs w:val="20"/>
          <w:color w:val="auto"/>
        </w:rPr>
      </w:pPr>
    </w:p>
    <w:p>
      <w:pPr>
        <w:ind w:left="440" w:right="800" w:firstLine="423"/>
        <w:spacing w:after="0" w:line="284" w:lineRule="auto"/>
        <w:rPr>
          <w:sz w:val="20"/>
          <w:szCs w:val="20"/>
          <w:color w:val="auto"/>
        </w:rPr>
      </w:pPr>
      <w:r>
        <w:rPr>
          <w:rFonts w:ascii="Arial" w:cs="Arial" w:eastAsia="Arial" w:hAnsi="Arial"/>
          <w:sz w:val="17"/>
          <w:szCs w:val="17"/>
          <w:color w:val="auto"/>
        </w:rPr>
        <w:t>Mereo may not have less than two directors on the board of directors and not more than nine. Mereo may, by ordinary resolution of the shareholders, vary the minimum and maximum number of directors from time to time.</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Appointment of Directors</w:t>
      </w:r>
    </w:p>
    <w:p>
      <w:pPr>
        <w:spacing w:after="0" w:line="115" w:lineRule="exact"/>
        <w:rPr>
          <w:sz w:val="20"/>
          <w:szCs w:val="20"/>
          <w:color w:val="auto"/>
        </w:rPr>
      </w:pPr>
    </w:p>
    <w:p>
      <w:pPr>
        <w:jc w:val="both"/>
        <w:ind w:left="440" w:firstLine="423"/>
        <w:spacing w:after="0" w:line="261" w:lineRule="auto"/>
        <w:rPr>
          <w:sz w:val="20"/>
          <w:szCs w:val="20"/>
          <w:color w:val="auto"/>
        </w:rPr>
      </w:pPr>
      <w:r>
        <w:rPr>
          <w:rFonts w:ascii="Arial" w:cs="Arial" w:eastAsia="Arial" w:hAnsi="Arial"/>
          <w:sz w:val="17"/>
          <w:szCs w:val="17"/>
          <w:color w:val="auto"/>
        </w:rPr>
        <w:t>Subject to the provisions of the Articles, Mereo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Mereo their willingness to be elected as a director not later than seven days before the general meeting at which the relevant resolution is proposed.</w:t>
      </w:r>
    </w:p>
    <w:p>
      <w:pPr>
        <w:spacing w:after="0" w:line="180" w:lineRule="exact"/>
        <w:rPr>
          <w:sz w:val="20"/>
          <w:szCs w:val="20"/>
          <w:color w:val="auto"/>
        </w:rPr>
      </w:pPr>
    </w:p>
    <w:p>
      <w:pPr>
        <w:ind w:left="440" w:right="240" w:firstLine="423"/>
        <w:spacing w:after="0" w:line="269" w:lineRule="auto"/>
        <w:rPr>
          <w:sz w:val="20"/>
          <w:szCs w:val="20"/>
          <w:color w:val="auto"/>
        </w:rPr>
      </w:pPr>
      <w:r>
        <w:rPr>
          <w:rFonts w:ascii="Arial" w:cs="Arial" w:eastAsia="Arial" w:hAnsi="Arial"/>
          <w:sz w:val="17"/>
          <w:szCs w:val="17"/>
          <w:color w:val="auto"/>
        </w:rPr>
        <w:t>Any director appointed by the board will hold office only until the next following annual general meeting at which such director must retire. In addition, a director must retire at the third annual general meeting following the annual general meeting at which such director was elected or last re-elected. Such directors are eligible for re-election at the annual general meeting at which they retire.</w:t>
      </w:r>
    </w:p>
    <w:p>
      <w:pPr>
        <w:spacing w:after="0" w:line="171" w:lineRule="exact"/>
        <w:rPr>
          <w:sz w:val="20"/>
          <w:szCs w:val="20"/>
          <w:color w:val="auto"/>
        </w:rPr>
      </w:pPr>
    </w:p>
    <w:p>
      <w:pPr>
        <w:ind w:left="440" w:right="260" w:firstLine="423"/>
        <w:spacing w:after="0" w:line="269" w:lineRule="auto"/>
        <w:rPr>
          <w:sz w:val="20"/>
          <w:szCs w:val="20"/>
          <w:color w:val="auto"/>
        </w:rPr>
      </w:pPr>
      <w:r>
        <w:rPr>
          <w:rFonts w:ascii="Arial" w:cs="Arial" w:eastAsia="Arial" w:hAnsi="Arial"/>
          <w:sz w:val="17"/>
          <w:szCs w:val="17"/>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Directors’ Interests</w:t>
      </w:r>
    </w:p>
    <w:p>
      <w:pPr>
        <w:spacing w:after="0" w:line="115" w:lineRule="exact"/>
        <w:rPr>
          <w:sz w:val="20"/>
          <w:szCs w:val="20"/>
          <w:color w:val="auto"/>
        </w:rPr>
      </w:pPr>
    </w:p>
    <w:p>
      <w:pPr>
        <w:ind w:left="440" w:right="80" w:firstLine="423"/>
        <w:spacing w:after="0" w:line="285" w:lineRule="auto"/>
        <w:rPr>
          <w:sz w:val="20"/>
          <w:szCs w:val="20"/>
          <w:color w:val="auto"/>
        </w:rPr>
      </w:pPr>
      <w:r>
        <w:rPr>
          <w:rFonts w:ascii="Arial" w:cs="Arial" w:eastAsia="Arial" w:hAnsi="Arial"/>
          <w:sz w:val="16"/>
          <w:szCs w:val="16"/>
          <w:color w:val="auto"/>
        </w:rPr>
        <w:t>If a situation arises in which a director has, or can have, a direct or indirect interest that conflicts, or possibly may conflict, with Mereo’s interests (other than a situation that cannot reasonably be regarded as likely to give rise to a conflict of interest or a conflict of interest arising in relation to a transaction or arrangement with Mereo), the board may authorize in accordance with the U.K. Companies Act 2006 the director’s interest and the continuing performance by the relevant director of his or her duties as a director on such terms as the board may determine.</w:t>
      </w:r>
    </w:p>
    <w:p>
      <w:pPr>
        <w:spacing w:after="0" w:line="162" w:lineRule="exact"/>
        <w:rPr>
          <w:sz w:val="20"/>
          <w:szCs w:val="20"/>
          <w:color w:val="auto"/>
        </w:rPr>
      </w:pPr>
    </w:p>
    <w:p>
      <w:pPr>
        <w:ind w:left="440" w:right="300" w:firstLine="423"/>
        <w:spacing w:after="0" w:line="269" w:lineRule="auto"/>
        <w:rPr>
          <w:sz w:val="20"/>
          <w:szCs w:val="20"/>
          <w:color w:val="auto"/>
        </w:rPr>
      </w:pPr>
      <w:r>
        <w:rPr>
          <w:rFonts w:ascii="Arial" w:cs="Arial" w:eastAsia="Arial" w:hAnsi="Arial"/>
          <w:sz w:val="17"/>
          <w:szCs w:val="17"/>
          <w:color w:val="auto"/>
        </w:rPr>
        <w:t>A director shall not be accountable to Mereo for any benefit which he derives from or in connection with a relationship involving a conflict of interest or possible conflict of interest which has been authorized by the directors or by Mereo in a general meeting and any such transaction or arrangement shall not be liable to be avoided on the grounds of any such benefit.</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960"/>
          </w:cols>
          <w:pgMar w:left="240" w:top="445" w:right="69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300" w:firstLine="423"/>
        <w:spacing w:after="0" w:line="284" w:lineRule="auto"/>
        <w:rPr>
          <w:sz w:val="20"/>
          <w:szCs w:val="20"/>
          <w:color w:val="auto"/>
        </w:rPr>
      </w:pPr>
      <w:r>
        <w:rPr>
          <w:rFonts w:ascii="Arial" w:cs="Arial" w:eastAsia="Arial" w:hAnsi="Arial"/>
          <w:sz w:val="17"/>
          <w:szCs w:val="17"/>
          <w:color w:val="auto"/>
        </w:rPr>
        <w:t>Subject to the requirements under sections 175, 177 and 182 of the U.K. Companies Act 2006, a director shall declare the nature and extent of such conflicts.</w:t>
      </w:r>
    </w:p>
    <w:p>
      <w:pPr>
        <w:spacing w:after="0" w:line="159" w:lineRule="exact"/>
        <w:rPr>
          <w:sz w:val="20"/>
          <w:szCs w:val="20"/>
          <w:color w:val="auto"/>
        </w:rPr>
      </w:pPr>
    </w:p>
    <w:p>
      <w:pPr>
        <w:ind w:left="440" w:right="200" w:firstLine="423"/>
        <w:spacing w:after="0" w:line="264" w:lineRule="auto"/>
        <w:rPr>
          <w:sz w:val="20"/>
          <w:szCs w:val="20"/>
          <w:color w:val="auto"/>
        </w:rPr>
      </w:pPr>
      <w:r>
        <w:rPr>
          <w:rFonts w:ascii="Arial" w:cs="Arial" w:eastAsia="Arial" w:hAnsi="Arial"/>
          <w:sz w:val="17"/>
          <w:szCs w:val="17"/>
          <w:color w:val="auto"/>
        </w:rPr>
        <w:t>A director may participate in the decision-making process and count in the quorum and vote on a proposed decision of the board which is concerned with such director’s interests (subject to any restrictions imposed by the other directors when providing such consent) if such director has declared the nature and extent of any interest of his or hers and provided a majority of the other directors consent, or if one of the following situations applies:</w:t>
      </w:r>
    </w:p>
    <w:p>
      <w:pPr>
        <w:spacing w:after="0" w:line="85" w:lineRule="exact"/>
        <w:rPr>
          <w:sz w:val="20"/>
          <w:szCs w:val="20"/>
          <w:color w:val="auto"/>
        </w:rPr>
      </w:pPr>
    </w:p>
    <w:p>
      <w:pPr>
        <w:ind w:left="1260" w:hanging="415"/>
        <w:spacing w:after="0"/>
        <w:tabs>
          <w:tab w:leader="none" w:pos="12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director’s interest arises solely through an interest in shares, debentures or other securities of or otherwise in or through Mereo;</w:t>
      </w:r>
    </w:p>
    <w:p>
      <w:pPr>
        <w:spacing w:after="0" w:line="139" w:lineRule="exact"/>
        <w:rPr>
          <w:rFonts w:ascii="Arial" w:cs="Arial" w:eastAsia="Arial" w:hAnsi="Arial"/>
          <w:sz w:val="16"/>
          <w:szCs w:val="16"/>
          <w:color w:val="auto"/>
        </w:rPr>
      </w:pPr>
    </w:p>
    <w:p>
      <w:pPr>
        <w:ind w:left="1260" w:hanging="415"/>
        <w:spacing w:after="0"/>
        <w:tabs>
          <w:tab w:leader="none" w:pos="12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 ordinary resolution of Mereo permits the director to count in the quorum and vote on the proposed decision;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director’s interest cannot reasonably be regarded as likely to give rise to a material conflict of interest;</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conflict of interest arises from one of the following:</w:t>
      </w:r>
    </w:p>
    <w:p>
      <w:pPr>
        <w:spacing w:after="0" w:line="128" w:lineRule="exact"/>
        <w:rPr>
          <w:rFonts w:ascii="Arial" w:cs="Arial" w:eastAsia="Arial" w:hAnsi="Arial"/>
          <w:sz w:val="17"/>
          <w:szCs w:val="17"/>
          <w:color w:val="auto"/>
        </w:rPr>
      </w:pPr>
    </w:p>
    <w:p>
      <w:pPr>
        <w:ind w:left="1800" w:right="140" w:hanging="527"/>
        <w:spacing w:after="0" w:line="284" w:lineRule="auto"/>
        <w:tabs>
          <w:tab w:leader="none" w:pos="18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 guarantee, security or indemnity given, or to be given, by or to the director in respect of an obligation incurred by or on behalf of Mereo or any of its subsidiaries;</w:t>
      </w:r>
    </w:p>
    <w:p>
      <w:pPr>
        <w:spacing w:after="0" w:line="68" w:lineRule="exact"/>
        <w:rPr>
          <w:rFonts w:ascii="Arial" w:cs="Arial" w:eastAsia="Arial" w:hAnsi="Arial"/>
          <w:sz w:val="17"/>
          <w:szCs w:val="17"/>
          <w:color w:val="auto"/>
        </w:rPr>
      </w:pPr>
    </w:p>
    <w:p>
      <w:pPr>
        <w:ind w:left="1800" w:hanging="527"/>
        <w:spacing w:after="0" w:line="269" w:lineRule="auto"/>
        <w:tabs>
          <w:tab w:leader="none" w:pos="18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 subscription, or agreement to subscribe, for shares or other securities of Mereo or any of its subsidiaries, or to underwrite, sub-underwrite or guarantee an offer of any such shares or securities by Mereo or any of its subsidiaries for subscription, purchase or exchange;</w:t>
      </w:r>
    </w:p>
    <w:p>
      <w:pPr>
        <w:spacing w:after="0" w:line="80" w:lineRule="exact"/>
        <w:rPr>
          <w:rFonts w:ascii="Arial" w:cs="Arial" w:eastAsia="Arial" w:hAnsi="Arial"/>
          <w:sz w:val="17"/>
          <w:szCs w:val="17"/>
          <w:color w:val="auto"/>
        </w:rPr>
      </w:pPr>
    </w:p>
    <w:p>
      <w:pPr>
        <w:ind w:left="1800" w:right="440" w:hanging="527"/>
        <w:spacing w:after="0" w:line="284" w:lineRule="auto"/>
        <w:tabs>
          <w:tab w:leader="none" w:pos="18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arrangements pursuant to which benefits are made available to employees and directors, or former employees and directors, of Mereo or any of its subsidiaries which do not provide special benefits for directors or former directors;</w:t>
      </w:r>
    </w:p>
    <w:p>
      <w:pPr>
        <w:spacing w:after="0" w:line="68" w:lineRule="exact"/>
        <w:rPr>
          <w:rFonts w:ascii="Arial" w:cs="Arial" w:eastAsia="Arial" w:hAnsi="Arial"/>
          <w:sz w:val="17"/>
          <w:szCs w:val="17"/>
          <w:color w:val="auto"/>
        </w:rPr>
      </w:pPr>
    </w:p>
    <w:p>
      <w:pPr>
        <w:ind w:left="1800" w:hanging="527"/>
        <w:spacing w:after="0"/>
        <w:tabs>
          <w:tab w:leader="none" w:pos="18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purchase or maintenance of insurance which Mereo is empowered to purchase or maintain for directors or officers;</w:t>
      </w:r>
    </w:p>
    <w:p>
      <w:pPr>
        <w:spacing w:after="0" w:line="128" w:lineRule="exact"/>
        <w:rPr>
          <w:rFonts w:ascii="Arial" w:cs="Arial" w:eastAsia="Arial" w:hAnsi="Arial"/>
          <w:sz w:val="17"/>
          <w:szCs w:val="17"/>
          <w:color w:val="auto"/>
        </w:rPr>
      </w:pPr>
    </w:p>
    <w:p>
      <w:pPr>
        <w:ind w:left="1800" w:right="120" w:hanging="527"/>
        <w:spacing w:after="0" w:line="284" w:lineRule="auto"/>
        <w:tabs>
          <w:tab w:leader="none" w:pos="18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giving to the director of an indemnity against liabilities incurred or to be incurred by the director in the execution and discharge of his or her duties;</w:t>
      </w:r>
    </w:p>
    <w:p>
      <w:pPr>
        <w:spacing w:after="0" w:line="68" w:lineRule="exact"/>
        <w:rPr>
          <w:rFonts w:ascii="Arial" w:cs="Arial" w:eastAsia="Arial" w:hAnsi="Arial"/>
          <w:sz w:val="17"/>
          <w:szCs w:val="17"/>
          <w:color w:val="auto"/>
        </w:rPr>
      </w:pPr>
    </w:p>
    <w:p>
      <w:pPr>
        <w:ind w:left="1800" w:right="200" w:hanging="527"/>
        <w:spacing w:after="0" w:line="269" w:lineRule="auto"/>
        <w:tabs>
          <w:tab w:leader="none" w:pos="18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provision of funds to the director to meet expenditure incurred or to be incurred by the director in defending criminal or civil proceedings against him or her or in connection with any application under certain provisions of the U.K. Companies Act 2006 or otherwise enabling him or her to avoid incurring that expenditure; or</w:t>
      </w:r>
    </w:p>
    <w:p>
      <w:pPr>
        <w:spacing w:after="0" w:line="80" w:lineRule="exact"/>
        <w:rPr>
          <w:rFonts w:ascii="Arial" w:cs="Arial" w:eastAsia="Arial" w:hAnsi="Arial"/>
          <w:sz w:val="17"/>
          <w:szCs w:val="17"/>
          <w:color w:val="auto"/>
        </w:rPr>
      </w:pPr>
    </w:p>
    <w:p>
      <w:pPr>
        <w:ind w:left="1800" w:right="100" w:hanging="527"/>
        <w:spacing w:after="0" w:line="310" w:lineRule="auto"/>
        <w:tabs>
          <w:tab w:leader="none" w:pos="180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proposals concerning another company in which the director is interested directly or indirectly (whether as officer, shareholder or otherwise), if the director and any other persons connected with him or her do not to his or her knowledge hold an interest in shares representing 1% or more of the issued shares of any class of the equity share capital of that company (or of any third company through which his or her or its interest is derived) or of the voting rights available to shareholders of the relevant company.</w:t>
      </w:r>
    </w:p>
    <w:p>
      <w:pPr>
        <w:spacing w:after="0" w:line="145" w:lineRule="exact"/>
        <w:rPr>
          <w:sz w:val="20"/>
          <w:szCs w:val="20"/>
          <w:color w:val="auto"/>
        </w:rPr>
      </w:pPr>
    </w:p>
    <w:p>
      <w:pPr>
        <w:ind w:left="440" w:right="20" w:firstLine="423"/>
        <w:spacing w:after="0" w:line="284" w:lineRule="auto"/>
        <w:rPr>
          <w:sz w:val="20"/>
          <w:szCs w:val="20"/>
          <w:color w:val="auto"/>
        </w:rPr>
      </w:pPr>
      <w:r>
        <w:rPr>
          <w:rFonts w:ascii="Arial" w:cs="Arial" w:eastAsia="Arial" w:hAnsi="Arial"/>
          <w:sz w:val="17"/>
          <w:szCs w:val="17"/>
          <w:color w:val="auto"/>
        </w:rPr>
        <w:t>A director shall not be counted in the quorum present at a meeting in relation to a resolution on which he or she is not entitled to vote by reason of his or her interest.</w:t>
      </w:r>
    </w:p>
    <w:p>
      <w:pPr>
        <w:spacing w:after="0" w:line="159" w:lineRule="exact"/>
        <w:rPr>
          <w:sz w:val="20"/>
          <w:szCs w:val="20"/>
          <w:color w:val="auto"/>
        </w:rPr>
      </w:pPr>
    </w:p>
    <w:p>
      <w:pPr>
        <w:jc w:val="both"/>
        <w:ind w:left="440" w:right="160" w:firstLine="423"/>
        <w:spacing w:after="0" w:line="269" w:lineRule="auto"/>
        <w:rPr>
          <w:sz w:val="20"/>
          <w:szCs w:val="20"/>
          <w:color w:val="auto"/>
        </w:rPr>
      </w:pPr>
      <w:r>
        <w:rPr>
          <w:rFonts w:ascii="Arial" w:cs="Arial" w:eastAsia="Arial" w:hAnsi="Arial"/>
          <w:sz w:val="17"/>
          <w:szCs w:val="17"/>
          <w:color w:val="auto"/>
        </w:rPr>
        <w:t>If a question arises at a meeting of the board or of a committee of the board as to the right of a director to vote or be counted in the quorum, and such question is not resolved by his or her voluntarily agreeing to abstain from voting, the question shall be determined by a resolution of the board or such committee (with such director being excluded from voting on the resolution).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Directors’ Fees and Remuneration</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Each of the directors is entitled to remuneration as determined by the board for their service as directors and other services undertaken for Mereo.</w:t>
      </w:r>
    </w:p>
    <w:p>
      <w:pPr>
        <w:spacing w:after="0" w:line="17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960"/>
          </w:cols>
          <w:pgMar w:left="240" w:top="445" w:right="69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00" w:firstLine="423"/>
        <w:spacing w:after="0" w:line="269" w:lineRule="auto"/>
        <w:rPr>
          <w:sz w:val="20"/>
          <w:szCs w:val="20"/>
          <w:color w:val="auto"/>
        </w:rPr>
      </w:pPr>
      <w:r>
        <w:rPr>
          <w:rFonts w:ascii="Arial" w:cs="Arial" w:eastAsia="Arial" w:hAnsi="Arial"/>
          <w:sz w:val="17"/>
          <w:szCs w:val="17"/>
          <w:color w:val="auto"/>
        </w:rPr>
        <w:t>Each director may be paid his or her reasonable expenses in connection with such director’s attendance at meetings of the board or committees of the board or general meetings or separate meetings of the holders class of shares or of debentures, or otherwise in connection with the exercise of powers and the discharge of responsibilities in relation to Mereo.</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Indemnity</w:t>
      </w:r>
    </w:p>
    <w:p>
      <w:pPr>
        <w:spacing w:after="0" w:line="115" w:lineRule="exact"/>
        <w:rPr>
          <w:sz w:val="20"/>
          <w:szCs w:val="20"/>
          <w:color w:val="auto"/>
        </w:rPr>
      </w:pPr>
    </w:p>
    <w:p>
      <w:pPr>
        <w:jc w:val="both"/>
        <w:ind w:left="440" w:right="60" w:firstLine="423"/>
        <w:spacing w:after="0" w:line="264" w:lineRule="auto"/>
        <w:rPr>
          <w:sz w:val="20"/>
          <w:szCs w:val="20"/>
          <w:color w:val="auto"/>
        </w:rPr>
      </w:pPr>
      <w:r>
        <w:rPr>
          <w:rFonts w:ascii="Arial" w:cs="Arial" w:eastAsia="Arial" w:hAnsi="Arial"/>
          <w:sz w:val="17"/>
          <w:szCs w:val="17"/>
          <w:color w:val="auto"/>
        </w:rPr>
        <w:t>Every director, officer or former director or officer of Mereo’s group may be indemnified against all costs, charges, losses, expenses and liabilities incurred by him or her in connection with any negligence, default, breach of duty, or breach of trust by him or her in relation to Mereo or in connection with Mereo’s activities as a trustee of an occupational pension scheme, in the actual or purported exercise of his or her powers or duties or otherwise as Mereo’s officer, to the extent permitted under the U.K. Companies Act 2006.</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Novartis Observer</w:t>
      </w:r>
    </w:p>
    <w:p>
      <w:pPr>
        <w:spacing w:after="0" w:line="115" w:lineRule="exact"/>
        <w:rPr>
          <w:sz w:val="20"/>
          <w:szCs w:val="20"/>
          <w:color w:val="auto"/>
        </w:rPr>
      </w:pPr>
    </w:p>
    <w:p>
      <w:pPr>
        <w:ind w:left="440" w:right="240" w:firstLine="423"/>
        <w:spacing w:after="0" w:line="284" w:lineRule="auto"/>
        <w:rPr>
          <w:sz w:val="20"/>
          <w:szCs w:val="20"/>
          <w:color w:val="auto"/>
        </w:rPr>
      </w:pPr>
      <w:r>
        <w:rPr>
          <w:rFonts w:ascii="Arial" w:cs="Arial" w:eastAsia="Arial" w:hAnsi="Arial"/>
          <w:sz w:val="17"/>
          <w:szCs w:val="17"/>
          <w:color w:val="auto"/>
        </w:rPr>
        <w:t>For as long as Novartis holds not less than one percent of Mereo’s issued share capital, Novartis may appoint one observer who may attend, but not participate or vote in, any meeting of the Mereo Board.</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Other U.K. Law Considerations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Notification of Voting Rights</w:t>
      </w:r>
    </w:p>
    <w:p>
      <w:pPr>
        <w:spacing w:after="0" w:line="115" w:lineRule="exact"/>
        <w:rPr>
          <w:sz w:val="20"/>
          <w:szCs w:val="20"/>
          <w:color w:val="auto"/>
        </w:rPr>
      </w:pPr>
    </w:p>
    <w:p>
      <w:pPr>
        <w:ind w:left="440" w:right="180" w:firstLine="423"/>
        <w:spacing w:after="0" w:line="261" w:lineRule="auto"/>
        <w:rPr>
          <w:sz w:val="20"/>
          <w:szCs w:val="20"/>
          <w:color w:val="auto"/>
        </w:rPr>
      </w:pPr>
      <w:r>
        <w:rPr>
          <w:rFonts w:ascii="Arial" w:cs="Arial" w:eastAsia="Arial" w:hAnsi="Arial"/>
          <w:sz w:val="17"/>
          <w:szCs w:val="17"/>
          <w:color w:val="auto"/>
        </w:rPr>
        <w:t>A shareholder in a public company incorporated in the United Kingdom whose shares are admitted to trading on AIM is required pursuant to Chapter 5 of the Disclosure Guidance and Transparency Rules of the U.K. Financial Conduct Authority to notify Mereo of the percentage of his or her voting rights if the percentage of voting rights which he holds as a shareholder or through his or her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Mandatory Purchases and Acquisitions</w:t>
      </w:r>
    </w:p>
    <w:p>
      <w:pPr>
        <w:spacing w:after="0" w:line="115" w:lineRule="exact"/>
        <w:rPr>
          <w:sz w:val="20"/>
          <w:szCs w:val="20"/>
          <w:color w:val="auto"/>
        </w:rPr>
      </w:pPr>
    </w:p>
    <w:p>
      <w:pPr>
        <w:ind w:left="440" w:right="20" w:firstLine="423"/>
        <w:spacing w:after="0" w:line="294" w:lineRule="auto"/>
        <w:rPr>
          <w:sz w:val="20"/>
          <w:szCs w:val="20"/>
          <w:color w:val="auto"/>
        </w:rPr>
      </w:pPr>
      <w:r>
        <w:rPr>
          <w:rFonts w:ascii="Arial" w:cs="Arial" w:eastAsia="Arial" w:hAnsi="Arial"/>
          <w:sz w:val="15"/>
          <w:szCs w:val="15"/>
          <w:color w:val="auto"/>
        </w:rPr>
        <w:t>Pursuant to Sections 979 to 991 of the U.K. Companies Act 2006, where a takeover offer has been made for Mereo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Mereo,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Sell Out</w:t>
      </w:r>
    </w:p>
    <w:p>
      <w:pPr>
        <w:spacing w:after="0" w:line="115"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The U.K. Companies Act 2006 also gives Mereo’s minority shareholders a right to be bought out in certain circumstances by an offeror who has made a takeover offer for all of the Mereo ordinary shares. The holder of shares to which the offer relates, and who has not otherwise accepted the offer, may require the offeror to acquire such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such shareholder’s rights to be bought out, the offeror is required to acquire those shares on the terms of the offer or on such other terms as may be agreed.</w:t>
      </w:r>
    </w:p>
    <w:p>
      <w:pPr>
        <w:spacing w:after="0" w:line="11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000"/>
          </w:cols>
          <w:pgMar w:left="240" w:top="445" w:right="65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Disclosure of Interest in Shares</w:t>
      </w:r>
    </w:p>
    <w:p>
      <w:pPr>
        <w:spacing w:after="0" w:line="115" w:lineRule="exact"/>
        <w:rPr>
          <w:sz w:val="20"/>
          <w:szCs w:val="20"/>
          <w:color w:val="auto"/>
        </w:rPr>
      </w:pPr>
    </w:p>
    <w:p>
      <w:pPr>
        <w:jc w:val="both"/>
        <w:ind w:left="440" w:right="480" w:firstLine="423"/>
        <w:spacing w:after="0" w:line="310" w:lineRule="auto"/>
        <w:rPr>
          <w:sz w:val="20"/>
          <w:szCs w:val="20"/>
          <w:color w:val="auto"/>
        </w:rPr>
      </w:pPr>
      <w:r>
        <w:rPr>
          <w:rFonts w:ascii="Arial" w:cs="Arial" w:eastAsia="Arial" w:hAnsi="Arial"/>
          <w:sz w:val="15"/>
          <w:szCs w:val="15"/>
          <w:color w:val="auto"/>
        </w:rPr>
        <w:t>Pursuant to Part 22 of the U.K. Companies Act 2006, Mereo is empowered to give notice in writing to any person whom they know or have reasonable cause to believe to be interested in Mereo ordinary shares, or to have been so interested at any time during the three years immediately preceding the date on which the notice is issued requiring such persons, within a reasonable time, to disclose to Mereo particulars of that person’s interest and (so far as is within such person’s knowledge) particulars of any other interest that subsists or subsisted in those shares.</w:t>
      </w:r>
    </w:p>
    <w:p>
      <w:pPr>
        <w:spacing w:after="0" w:line="145" w:lineRule="exact"/>
        <w:rPr>
          <w:sz w:val="20"/>
          <w:szCs w:val="20"/>
          <w:color w:val="auto"/>
        </w:rPr>
      </w:pPr>
    </w:p>
    <w:p>
      <w:pPr>
        <w:ind w:left="440" w:right="500" w:firstLine="423"/>
        <w:spacing w:after="0" w:line="284" w:lineRule="auto"/>
        <w:rPr>
          <w:sz w:val="20"/>
          <w:szCs w:val="20"/>
          <w:color w:val="auto"/>
        </w:rPr>
      </w:pPr>
      <w:r>
        <w:rPr>
          <w:rFonts w:ascii="Arial" w:cs="Arial" w:eastAsia="Arial" w:hAnsi="Arial"/>
          <w:sz w:val="17"/>
          <w:szCs w:val="17"/>
          <w:color w:val="auto"/>
        </w:rPr>
        <w:t>Under Mereo’s Articles, if a person defaults in supplying Mereo with the required particulars in relation to the shares in question, or default shares, within the prescribed period, the directors may by notice direct that:</w:t>
      </w:r>
    </w:p>
    <w:p>
      <w:pPr>
        <w:spacing w:after="0" w:line="68" w:lineRule="exact"/>
        <w:rPr>
          <w:sz w:val="20"/>
          <w:szCs w:val="20"/>
          <w:color w:val="auto"/>
        </w:rPr>
      </w:pPr>
    </w:p>
    <w:p>
      <w:pPr>
        <w:ind w:left="1260" w:right="80" w:hanging="415"/>
        <w:spacing w:after="0" w:line="284" w:lineRule="auto"/>
        <w:tabs>
          <w:tab w:leader="none" w:pos="1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68" w:lineRule="exact"/>
        <w:rPr>
          <w:rFonts w:ascii="Arial" w:cs="Arial" w:eastAsia="Arial" w:hAnsi="Arial"/>
          <w:sz w:val="17"/>
          <w:szCs w:val="17"/>
          <w:color w:val="auto"/>
        </w:rPr>
      </w:pPr>
    </w:p>
    <w:p>
      <w:pPr>
        <w:ind w:left="1260" w:hanging="415"/>
        <w:spacing w:after="0" w:line="278" w:lineRule="auto"/>
        <w:tabs>
          <w:tab w:leader="none" w:pos="12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where the default shares represent at least 0.25% of their class, (a) any dividend or other money payable in respect of the default shares shall be retained by Mereo without liability to pay interest and, in circumstances where an option to elect to receive Mereo ordinary shares instead of cash in respect of any dividend is provided to Mereo’s shareholders, any notice of election to receive such Mereo ordinary shares exercised in respect of the default shares shall not be effective and/or (b) no transfers by the relevant shareholder of any default shares may be registered (unless the shareholder himself is not in default, the relevant transfer is in respect of part only of such shareholder’s holding and the shareholder provides a certificate, in a form satisfactory to the directors, to the effect that after due and careful enquiry the shareholder is satisfied that none of the shares to be transferred is a default share); and</w:t>
      </w:r>
    </w:p>
    <w:p>
      <w:pPr>
        <w:spacing w:after="0" w:line="74" w:lineRule="exact"/>
        <w:rPr>
          <w:rFonts w:ascii="Arial" w:cs="Arial" w:eastAsia="Arial" w:hAnsi="Arial"/>
          <w:sz w:val="16"/>
          <w:szCs w:val="16"/>
          <w:color w:val="auto"/>
        </w:rPr>
      </w:pPr>
    </w:p>
    <w:p>
      <w:pPr>
        <w:ind w:left="1260" w:right="20" w:hanging="415"/>
        <w:spacing w:after="0" w:line="269" w:lineRule="auto"/>
        <w:tabs>
          <w:tab w:leader="none" w:pos="1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share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w:t>
      </w:r>
    </w:p>
    <w:p>
      <w:pPr>
        <w:spacing w:after="0" w:line="80" w:lineRule="exact"/>
        <w:rPr>
          <w:rFonts w:ascii="Arial" w:cs="Arial" w:eastAsia="Arial" w:hAnsi="Arial"/>
          <w:sz w:val="17"/>
          <w:szCs w:val="17"/>
          <w:color w:val="auto"/>
        </w:rPr>
      </w:pPr>
    </w:p>
    <w:p>
      <w:pPr>
        <w:ind w:left="1260" w:right="140" w:hanging="415"/>
        <w:spacing w:after="0" w:line="354" w:lineRule="auto"/>
        <w:tabs>
          <w:tab w:leader="none" w:pos="12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are part only of the shareholder’s holding and the shareholder provides a certificate, in a form satisfactory to the directors, to the effect that after due and careful enquiry the shareholder is satisfied that none of the shares to be converted into uncertificated form is a default share.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Purchase of Own Shares</w:t>
      </w:r>
    </w:p>
    <w:p>
      <w:pPr>
        <w:spacing w:after="0" w:line="115" w:lineRule="exact"/>
        <w:rPr>
          <w:sz w:val="20"/>
          <w:szCs w:val="20"/>
          <w:color w:val="auto"/>
        </w:rPr>
      </w:pPr>
    </w:p>
    <w:p>
      <w:pPr>
        <w:jc w:val="both"/>
        <w:ind w:left="440" w:right="60" w:firstLine="423"/>
        <w:spacing w:after="0" w:line="285" w:lineRule="auto"/>
        <w:rPr>
          <w:sz w:val="20"/>
          <w:szCs w:val="20"/>
          <w:color w:val="auto"/>
        </w:rPr>
      </w:pPr>
      <w:r>
        <w:rPr>
          <w:rFonts w:ascii="Arial" w:cs="Arial" w:eastAsia="Arial" w:hAnsi="Arial"/>
          <w:sz w:val="16"/>
          <w:szCs w:val="16"/>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162" w:lineRule="exact"/>
        <w:rPr>
          <w:sz w:val="20"/>
          <w:szCs w:val="20"/>
          <w:color w:val="auto"/>
        </w:rPr>
      </w:pPr>
    </w:p>
    <w:p>
      <w:pPr>
        <w:ind w:left="440" w:right="260" w:firstLine="423"/>
        <w:spacing w:after="0" w:line="284" w:lineRule="auto"/>
        <w:rPr>
          <w:sz w:val="20"/>
          <w:szCs w:val="20"/>
          <w:color w:val="auto"/>
        </w:rPr>
      </w:pPr>
      <w:r>
        <w:rPr>
          <w:rFonts w:ascii="Arial" w:cs="Arial" w:eastAsia="Arial" w:hAnsi="Arial"/>
          <w:sz w:val="17"/>
          <w:szCs w:val="17"/>
          <w:color w:val="auto"/>
        </w:rPr>
        <w:t>Subject to the above, Mereo may purchase its own shares in the manner prescribed below. Mereo may make a market purchase of its own fully paid shares pursuant to an ordinary resolution of shareholders. The resolution authorizing the purchase must:</w:t>
      </w:r>
    </w:p>
    <w:p>
      <w:pPr>
        <w:spacing w:after="0" w:line="68" w:lineRule="exact"/>
        <w:rPr>
          <w:sz w:val="20"/>
          <w:szCs w:val="20"/>
          <w:color w:val="auto"/>
        </w:rPr>
      </w:pPr>
    </w:p>
    <w:p>
      <w:pPr>
        <w:ind w:left="1260" w:hanging="415"/>
        <w:spacing w:after="0"/>
        <w:tabs>
          <w:tab w:leader="none" w:pos="12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specify the maximum number of shares authorized to be acquired;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determine the maximum and minimum prices that may be paid for the shares;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specify a date, not being later than five years after the passing of the resolution, on which the authority to purchase is to expire.</w:t>
      </w:r>
    </w:p>
    <w:p>
      <w:pPr>
        <w:spacing w:after="0" w:line="219" w:lineRule="exact"/>
        <w:rPr>
          <w:sz w:val="20"/>
          <w:szCs w:val="20"/>
          <w:color w:val="auto"/>
        </w:rPr>
      </w:pPr>
    </w:p>
    <w:p>
      <w:pPr>
        <w:ind w:left="440" w:right="80" w:firstLine="423"/>
        <w:spacing w:after="0" w:line="310" w:lineRule="auto"/>
        <w:rPr>
          <w:sz w:val="20"/>
          <w:szCs w:val="20"/>
          <w:color w:val="auto"/>
        </w:rPr>
      </w:pPr>
      <w:r>
        <w:rPr>
          <w:rFonts w:ascii="Arial" w:cs="Arial" w:eastAsia="Arial" w:hAnsi="Arial"/>
          <w:sz w:val="15"/>
          <w:szCs w:val="15"/>
          <w:color w:val="auto"/>
        </w:rPr>
        <w:t>Mereo may purchase its own fully paid shares otherwise than on a recognized investment exchange pursuant to a purchase contract authorized by resolution of shareholders before the purchase takes place. Any authority will not be effective if any shareholder from whom Mereo proposes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8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980"/>
          </w:cols>
          <w:pgMar w:left="240" w:top="445" w:right="67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Distributions and Dividends</w:t>
      </w:r>
    </w:p>
    <w:p>
      <w:pPr>
        <w:spacing w:after="0" w:line="115" w:lineRule="exact"/>
        <w:rPr>
          <w:sz w:val="20"/>
          <w:szCs w:val="20"/>
          <w:color w:val="auto"/>
        </w:rPr>
      </w:pPr>
    </w:p>
    <w:p>
      <w:pPr>
        <w:ind w:left="440" w:right="160" w:firstLine="423"/>
        <w:spacing w:after="0" w:line="281" w:lineRule="auto"/>
        <w:rPr>
          <w:sz w:val="20"/>
          <w:szCs w:val="20"/>
          <w:color w:val="auto"/>
        </w:rPr>
      </w:pPr>
      <w:r>
        <w:rPr>
          <w:rFonts w:ascii="Arial" w:cs="Arial" w:eastAsia="Arial" w:hAnsi="Arial"/>
          <w:sz w:val="16"/>
          <w:szCs w:val="16"/>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Mereo and to each of its subsidiaries that has been incorporated under English law</w:t>
      </w:r>
    </w:p>
    <w:p>
      <w:pPr>
        <w:spacing w:after="0" w:line="166" w:lineRule="exact"/>
        <w:rPr>
          <w:sz w:val="20"/>
          <w:szCs w:val="20"/>
          <w:color w:val="auto"/>
        </w:rPr>
      </w:pPr>
    </w:p>
    <w:p>
      <w:pPr>
        <w:ind w:left="440" w:right="100" w:firstLine="423"/>
        <w:spacing w:after="0" w:line="269" w:lineRule="auto"/>
        <w:rPr>
          <w:sz w:val="20"/>
          <w:szCs w:val="20"/>
          <w:color w:val="auto"/>
        </w:rPr>
      </w:pPr>
      <w:r>
        <w:rPr>
          <w:rFonts w:ascii="Arial" w:cs="Arial" w:eastAsia="Arial" w:hAnsi="Arial"/>
          <w:sz w:val="17"/>
          <w:szCs w:val="17"/>
          <w:color w:val="auto"/>
        </w:rPr>
        <w:t>It is not sufficient that Mereo, as a public company, has made a distributable profit for the purpose of making a distribution. An additional capital maintenance requirement is imposed on Mereo to ensure that the net worth of the company is at least equal to the amount of its capital. A public company can only make a distribution:</w:t>
      </w:r>
    </w:p>
    <w:p>
      <w:pPr>
        <w:spacing w:after="0" w:line="81" w:lineRule="exact"/>
        <w:rPr>
          <w:sz w:val="20"/>
          <w:szCs w:val="20"/>
          <w:color w:val="auto"/>
        </w:rPr>
      </w:pPr>
    </w:p>
    <w:p>
      <w:pPr>
        <w:ind w:left="1260" w:right="180" w:hanging="415"/>
        <w:spacing w:after="0" w:line="284" w:lineRule="auto"/>
        <w:tabs>
          <w:tab w:leader="none" w:pos="12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at the time that the distribution is made, the amount of its net assets (that is, the total excess of assets over liabilities) is not less than the total of its called up share capital and undistributable reserves; and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if, and to the extent that, the distribution itself, at the time that it is made, does not reduce the amount of the net assets to less than that total.</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City Code on Takeovers and Mergers</w:t>
      </w:r>
    </w:p>
    <w:p>
      <w:pPr>
        <w:spacing w:after="0" w:line="115" w:lineRule="exact"/>
        <w:rPr>
          <w:sz w:val="20"/>
          <w:szCs w:val="20"/>
          <w:color w:val="auto"/>
        </w:rPr>
      </w:pPr>
    </w:p>
    <w:p>
      <w:pPr>
        <w:ind w:left="440" w:right="80" w:firstLine="423"/>
        <w:spacing w:after="0" w:line="285" w:lineRule="auto"/>
        <w:rPr>
          <w:sz w:val="20"/>
          <w:szCs w:val="20"/>
          <w:color w:val="auto"/>
        </w:rPr>
      </w:pPr>
      <w:r>
        <w:rPr>
          <w:rFonts w:ascii="Arial" w:cs="Arial" w:eastAsia="Arial" w:hAnsi="Arial"/>
          <w:sz w:val="16"/>
          <w:szCs w:val="16"/>
          <w:color w:val="auto"/>
        </w:rPr>
        <w:t>As a public company incorporated in England and Wales with Mereo’s registered office in England and Wales which has shares admitted to AIM, Mereo is subject to the U.K. City Code on Takeovers and Mergers (the “U.K. City Code”), which is issued and administered by the U.K. Panel on Takeovers and Mergers (the “Panel”). The U.K. City Code provides a framework within which takeovers of companies subject to it are conducted. In particular, the U.K. City Code contains certain rules in respect of mandatory offers. Under Rule 9 of the U.K. City Code, if a person:</w:t>
      </w:r>
    </w:p>
    <w:p>
      <w:pPr>
        <w:spacing w:after="0" w:line="71" w:lineRule="exact"/>
        <w:rPr>
          <w:sz w:val="20"/>
          <w:szCs w:val="20"/>
          <w:color w:val="auto"/>
        </w:rPr>
      </w:pPr>
    </w:p>
    <w:p>
      <w:pPr>
        <w:ind w:left="1260" w:hanging="415"/>
        <w:spacing w:after="0" w:line="284" w:lineRule="auto"/>
        <w:tabs>
          <w:tab w:leader="none" w:pos="1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acquires an interest in Mereo ordinary shares which, when taken together with shares in which such person, or persons acting in concert with such person, are interested, carries 30% or more of the voting rights of Mereo’s share capital; or</w:t>
      </w:r>
    </w:p>
    <w:p>
      <w:pPr>
        <w:spacing w:after="0" w:line="68" w:lineRule="exact"/>
        <w:rPr>
          <w:rFonts w:ascii="Arial" w:cs="Arial" w:eastAsia="Arial" w:hAnsi="Arial"/>
          <w:sz w:val="17"/>
          <w:szCs w:val="17"/>
          <w:color w:val="auto"/>
        </w:rPr>
      </w:pPr>
    </w:p>
    <w:p>
      <w:pPr>
        <w:ind w:left="1260" w:hanging="415"/>
        <w:spacing w:after="0" w:line="260" w:lineRule="auto"/>
        <w:tabs>
          <w:tab w:leader="none" w:pos="1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who, together with persons acting in concert with him, is interested in shares that in the aggregate carry not less than 30% and not more than 50% of the voting rights of Mereo’s share capital, and such persons, or any person acting in concert with him, acquires additional interests in shares that increase the percentage of shares carrying voting rights in which that person is interested, the acquirer and, depending on the circumstances, their concert parties, would be required (except with the consent of the Panel) to make a cash offer for Mereo’s outstanding shares at a price not less than the highest price paid for any interests in the shares by the acquirer or its concert parties during the previous 12 months.</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10.C. Material Contracts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For a description of our material contracts, please see “Item 4. Information on the Company—B. Business Overview—Material Agreements.”</w:t>
      </w:r>
    </w:p>
    <w:p>
      <w:pPr>
        <w:spacing w:after="0" w:line="32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10.D. Exchange Controls</w:t>
      </w:r>
    </w:p>
    <w:p>
      <w:pPr>
        <w:spacing w:after="0" w:line="121" w:lineRule="exact"/>
        <w:rPr>
          <w:sz w:val="20"/>
          <w:szCs w:val="20"/>
          <w:color w:val="auto"/>
        </w:rPr>
      </w:pPr>
    </w:p>
    <w:p>
      <w:pPr>
        <w:ind w:left="440" w:right="120" w:firstLine="423"/>
        <w:spacing w:after="0" w:line="264" w:lineRule="auto"/>
        <w:rPr>
          <w:sz w:val="20"/>
          <w:szCs w:val="20"/>
          <w:color w:val="auto"/>
        </w:rPr>
      </w:pPr>
      <w:r>
        <w:rPr>
          <w:rFonts w:ascii="Arial" w:cs="Arial" w:eastAsia="Arial" w:hAnsi="Arial"/>
          <w:sz w:val="17"/>
          <w:szCs w:val="17"/>
          <w:color w:val="auto"/>
        </w:rPr>
        <w:t>There are no governmental laws, decrees, regulations or other legislation in the United Kingdom that may affect the import or export of capital, including the availability of cash and cash equivalents for use by Mereo, or that may affect the remittance of dividends, interest, or other payments by Mereo to non-resident holders of our ordinary shares or ADSs, other than withholding tax requirements. There is no limitation imposed by English law or in the Articles on the right of non-residents to hold or vote shares.</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10.E. Taxation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U.K. Tax Considerations</w:t>
      </w:r>
    </w:p>
    <w:p>
      <w:pPr>
        <w:spacing w:after="0" w:line="121"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The following is a general summary of material U.K. tax considerations relating primarily to the ownership and disposal of our ADSs. The U.K. tax comments set out below are based on current U.K. tax law as applied in England</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980"/>
          </w:cols>
          <w:pgMar w:left="240" w:top="445" w:right="67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60"/>
        <w:spacing w:after="0" w:line="261" w:lineRule="auto"/>
        <w:rPr>
          <w:sz w:val="20"/>
          <w:szCs w:val="20"/>
          <w:color w:val="auto"/>
        </w:rPr>
      </w:pPr>
      <w:r>
        <w:rPr>
          <w:rFonts w:ascii="Arial" w:cs="Arial" w:eastAsia="Arial" w:hAnsi="Arial"/>
          <w:sz w:val="17"/>
          <w:szCs w:val="17"/>
          <w:color w:val="auto"/>
        </w:rPr>
        <w:t>and Wales, and HM Revenue &amp; Customs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180" w:lineRule="exact"/>
        <w:rPr>
          <w:sz w:val="20"/>
          <w:szCs w:val="20"/>
          <w:color w:val="auto"/>
        </w:rPr>
      </w:pPr>
    </w:p>
    <w:p>
      <w:pPr>
        <w:ind w:left="440" w:right="60" w:firstLine="423"/>
        <w:spacing w:after="0" w:line="285" w:lineRule="auto"/>
        <w:rPr>
          <w:sz w:val="20"/>
          <w:szCs w:val="20"/>
          <w:color w:val="auto"/>
        </w:rPr>
      </w:pPr>
      <w:r>
        <w:rPr>
          <w:rFonts w:ascii="Arial" w:cs="Arial" w:eastAsia="Arial" w:hAnsi="Arial"/>
          <w:sz w:val="16"/>
          <w:szCs w:val="16"/>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U.K. Taxation of Dividends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Mereo will not be required to withhold amounts for or on account of U.K. tax at source when paying a dividend in respect of its ordinary shares.</w:t>
      </w:r>
    </w:p>
    <w:p>
      <w:pPr>
        <w:spacing w:after="0" w:line="230" w:lineRule="exact"/>
        <w:rPr>
          <w:sz w:val="20"/>
          <w:szCs w:val="20"/>
          <w:color w:val="auto"/>
        </w:rPr>
      </w:pPr>
    </w:p>
    <w:p>
      <w:pPr>
        <w:ind w:left="440" w:right="460" w:firstLine="423"/>
        <w:spacing w:after="0" w:line="269" w:lineRule="auto"/>
        <w:rPr>
          <w:sz w:val="20"/>
          <w:szCs w:val="20"/>
          <w:color w:val="auto"/>
        </w:rPr>
      </w:pPr>
      <w:r>
        <w:rPr>
          <w:rFonts w:ascii="Arial" w:cs="Arial" w:eastAsia="Arial" w:hAnsi="Arial"/>
          <w:sz w:val="17"/>
          <w:szCs w:val="17"/>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U.K. Taxation of Capital Gains</w:t>
      </w:r>
    </w:p>
    <w:p>
      <w:pPr>
        <w:spacing w:after="0" w:line="115" w:lineRule="exact"/>
        <w:rPr>
          <w:sz w:val="20"/>
          <w:szCs w:val="20"/>
          <w:color w:val="auto"/>
        </w:rPr>
      </w:pPr>
    </w:p>
    <w:p>
      <w:pPr>
        <w:jc w:val="both"/>
        <w:ind w:left="440" w:right="160" w:firstLine="423"/>
        <w:spacing w:after="0" w:line="269" w:lineRule="auto"/>
        <w:rPr>
          <w:sz w:val="20"/>
          <w:szCs w:val="20"/>
          <w:color w:val="auto"/>
        </w:rPr>
      </w:pPr>
      <w:r>
        <w:rPr>
          <w:rFonts w:ascii="Arial" w:cs="Arial" w:eastAsia="Arial" w:hAnsi="Arial"/>
          <w:sz w:val="17"/>
          <w:szCs w:val="17"/>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the our ADSs are attributable.</w:t>
      </w:r>
    </w:p>
    <w:p>
      <w:pPr>
        <w:spacing w:after="0" w:line="171" w:lineRule="exact"/>
        <w:rPr>
          <w:sz w:val="20"/>
          <w:szCs w:val="20"/>
          <w:color w:val="auto"/>
        </w:rPr>
      </w:pPr>
    </w:p>
    <w:p>
      <w:pPr>
        <w:ind w:left="440" w:right="260" w:firstLine="423"/>
        <w:spacing w:after="0" w:line="284" w:lineRule="auto"/>
        <w:rPr>
          <w:sz w:val="20"/>
          <w:szCs w:val="20"/>
          <w:color w:val="auto"/>
        </w:rPr>
      </w:pPr>
      <w:r>
        <w:rPr>
          <w:rFonts w:ascii="Arial" w:cs="Arial" w:eastAsia="Arial" w:hAnsi="Arial"/>
          <w:sz w:val="17"/>
          <w:szCs w:val="17"/>
          <w:color w:val="auto"/>
        </w:rPr>
        <w:t>Any such individual holder of our ADSs who is temporarily non-resident for U.K. tax purposes will, in certain circumstances, become liable to U.K. tax on capital gains in respect of gains realized while they were not resident in the U.K.</w:t>
      </w:r>
    </w:p>
    <w:p>
      <w:pPr>
        <w:spacing w:after="0" w:line="159" w:lineRule="exact"/>
        <w:rPr>
          <w:sz w:val="20"/>
          <w:szCs w:val="20"/>
          <w:color w:val="auto"/>
        </w:rPr>
      </w:pPr>
    </w:p>
    <w:p>
      <w:pPr>
        <w:ind w:left="440" w:right="260" w:firstLine="423"/>
        <w:spacing w:after="0" w:line="269" w:lineRule="auto"/>
        <w:rPr>
          <w:sz w:val="20"/>
          <w:szCs w:val="20"/>
          <w:color w:val="auto"/>
        </w:rPr>
      </w:pPr>
      <w:r>
        <w:rPr>
          <w:rFonts w:ascii="Arial" w:cs="Arial" w:eastAsia="Arial" w:hAnsi="Arial"/>
          <w:sz w:val="17"/>
          <w:szCs w:val="17"/>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U.K. Withholding Tax in Respect of CVRs</w:t>
      </w:r>
    </w:p>
    <w:p>
      <w:pPr>
        <w:spacing w:after="0" w:line="115" w:lineRule="exact"/>
        <w:rPr>
          <w:sz w:val="20"/>
          <w:szCs w:val="20"/>
          <w:color w:val="auto"/>
        </w:rPr>
      </w:pPr>
    </w:p>
    <w:p>
      <w:pPr>
        <w:ind w:left="440" w:right="140" w:firstLine="423"/>
        <w:spacing w:after="0" w:line="284" w:lineRule="auto"/>
        <w:rPr>
          <w:sz w:val="20"/>
          <w:szCs w:val="20"/>
          <w:color w:val="auto"/>
        </w:rPr>
      </w:pPr>
      <w:r>
        <w:rPr>
          <w:rFonts w:ascii="Arial" w:cs="Arial" w:eastAsia="Arial" w:hAnsi="Arial"/>
          <w:sz w:val="17"/>
          <w:szCs w:val="17"/>
          <w:color w:val="auto"/>
        </w:rPr>
        <w:t>Mereo is not expecting to withhold amounts for or on account of U.K. tax at source in respect of any payments made to CVR holders pursuant to the CVR Agreement.</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Stamp Duty and Stamp Duty Reserve Tax</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The following statements apply to all holders, regardless of their jurisdiction of tax residence.</w:t>
      </w:r>
    </w:p>
    <w:p>
      <w:pPr>
        <w:spacing w:after="0" w:line="219"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It is assumed for the purposes of the following statements that all transfers or, or agreements to transfer, our ordinary shares are only made at times when (i) our ordinary shares are admitted to trading on AIM but are not listed on any market (with the term “listed” being construed in accordance with section 99A of the Finance Act 1986); and (ii) AIM continues to be accepted as a “recognised growth market” (as construed in accordance with section 99A of the Finance Act 1986). Holders of our ADSs who propose to transfer, or agree to transfer, our ordinary shares during such time as these conditions are not met (including during any period between the creation and issue of our ADSs and the admission to trading of our ordinary shares on AIM) are strongly urged to obtain their own advice.</w:t>
      </w:r>
    </w:p>
    <w:p>
      <w:pPr>
        <w:spacing w:after="0" w:line="180"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7"/>
          <w:szCs w:val="17"/>
          <w:color w:val="auto"/>
        </w:rPr>
        <w:t>No stamp duty is payable on the issue of our ordinary shares into a depositary receipt system (such as, Mereo understands, that operated by Citibank) or a clearance service (such as, Mereo understands, DTC).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000"/>
          </w:cols>
          <w:pgMar w:left="240" w:top="445" w:right="6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340" w:firstLine="423"/>
        <w:spacing w:after="0" w:line="284" w:lineRule="auto"/>
        <w:rPr>
          <w:sz w:val="20"/>
          <w:szCs w:val="20"/>
          <w:color w:val="auto"/>
        </w:rPr>
      </w:pPr>
      <w:r>
        <w:rPr>
          <w:rFonts w:ascii="Arial" w:cs="Arial" w:eastAsia="Arial" w:hAnsi="Arial"/>
          <w:sz w:val="17"/>
          <w:szCs w:val="17"/>
          <w:color w:val="auto"/>
        </w:rPr>
        <w:t>No stamp duty or SDRT should be payable on transfers of, or agreements to transfer, our ordinary shares into a depositary receipt system or a clearance service.</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No SDRT or stamp duty should be payable on paperless transfers of, or agreements to transfer, our ADSs through the facilities of DTC.</w:t>
      </w:r>
    </w:p>
    <w:p>
      <w:pPr>
        <w:spacing w:after="0" w:line="230" w:lineRule="exact"/>
        <w:rPr>
          <w:sz w:val="20"/>
          <w:szCs w:val="20"/>
          <w:color w:val="auto"/>
        </w:rPr>
      </w:pPr>
    </w:p>
    <w:p>
      <w:pPr>
        <w:ind w:left="440" w:right="260" w:firstLine="423"/>
        <w:spacing w:after="0" w:line="316" w:lineRule="auto"/>
        <w:rPr>
          <w:sz w:val="20"/>
          <w:szCs w:val="20"/>
          <w:color w:val="auto"/>
        </w:rPr>
      </w:pPr>
      <w:r>
        <w:rPr>
          <w:rFonts w:ascii="Arial" w:cs="Arial" w:eastAsia="Arial" w:hAnsi="Arial"/>
          <w:sz w:val="16"/>
          <w:szCs w:val="16"/>
          <w:color w:val="auto"/>
        </w:rPr>
        <w:t>No stamp duty should be payable on a written instrument transferring, or a written agreement to transfer, our ADSs provided the instrument or agreement is executed and remains at all times outside the U.K. No SDRT should be payable in respect of agreements to transfer our ADSs.</w:t>
      </w:r>
    </w:p>
    <w:p>
      <w:pPr>
        <w:spacing w:after="0" w:line="137" w:lineRule="exact"/>
        <w:rPr>
          <w:sz w:val="20"/>
          <w:szCs w:val="20"/>
          <w:color w:val="auto"/>
        </w:rPr>
      </w:pPr>
    </w:p>
    <w:p>
      <w:pPr>
        <w:ind w:left="440" w:right="40" w:firstLine="423"/>
        <w:spacing w:after="0" w:line="284" w:lineRule="auto"/>
        <w:rPr>
          <w:sz w:val="20"/>
          <w:szCs w:val="20"/>
          <w:color w:val="auto"/>
        </w:rPr>
      </w:pPr>
      <w:r>
        <w:rPr>
          <w:rFonts w:ascii="Arial" w:cs="Arial" w:eastAsia="Arial" w:hAnsi="Arial"/>
          <w:sz w:val="17"/>
          <w:szCs w:val="17"/>
          <w:color w:val="auto"/>
        </w:rPr>
        <w:t>No stamp duty or SDRT should be payable on transfers of, or agreements to transfer, our ordinary shares outside of a depositary receipt system or a clearance service.</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Material U.S. Federal Income Tax Considerations</w:t>
      </w:r>
    </w:p>
    <w:p>
      <w:pPr>
        <w:spacing w:after="0" w:line="121" w:lineRule="exact"/>
        <w:rPr>
          <w:sz w:val="20"/>
          <w:szCs w:val="20"/>
          <w:color w:val="auto"/>
        </w:rPr>
      </w:pPr>
    </w:p>
    <w:p>
      <w:pPr>
        <w:ind w:left="440" w:right="160" w:firstLine="423"/>
        <w:spacing w:after="0" w:line="261" w:lineRule="auto"/>
        <w:rPr>
          <w:sz w:val="20"/>
          <w:szCs w:val="20"/>
          <w:color w:val="auto"/>
        </w:rPr>
      </w:pPr>
      <w:r>
        <w:rPr>
          <w:rFonts w:ascii="Arial" w:cs="Arial" w:eastAsia="Arial" w:hAnsi="Arial"/>
          <w:sz w:val="17"/>
          <w:szCs w:val="17"/>
          <w:color w:val="auto"/>
        </w:rPr>
        <w:t>The following discussion describes the material U.S. federal income tax consequences to the U.S. Holders described below of owning and disposing of our ADSs or ordinary shares. This discussion applies only to a U.S. Holder that holds ADSs or ordinary shares as capital assets for tax purposes. In addition, it does not describe all of the tax consequences that may be relevant in light of the U.S. Holder’s particular circumstances, including any alternative minimum or Medicare contribution tax consequences and any tax consequences applicable to U.S. Holders subject to special rules, such as:</w:t>
      </w:r>
    </w:p>
    <w:p>
      <w:pPr>
        <w:spacing w:after="0" w:line="90" w:lineRule="exact"/>
        <w:rPr>
          <w:sz w:val="20"/>
          <w:szCs w:val="20"/>
          <w:color w:val="auto"/>
        </w:rPr>
      </w:pPr>
    </w:p>
    <w:p>
      <w:pPr>
        <w:ind w:left="1260" w:hanging="415"/>
        <w:spacing w:after="0"/>
        <w:tabs>
          <w:tab w:leader="none" w:pos="1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banks, insurance companies and other financial institutions;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real estate investment trusts or regulated investment companies;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dealers or traders in securities that use a mark-to-market method of tax accounting;</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persons holding our ADSs or ordinary shares as part of a straddle, integrated transaction or similar transaction;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persons whose functional currency for U.S. federal income tax purposes is not the U.S. dollar;</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entities or arrangements treated as partnerships for U.S. federal income tax purposes and their partners or investors;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tax-exempt entities, “individual retirement accounts” or “Roth IRAs”;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persons who acquired our ordinary shares or ADSs pursuant to the exercise of an employee stock option or otherwise as compensation;</w:t>
      </w:r>
    </w:p>
    <w:p>
      <w:pPr>
        <w:spacing w:after="0" w:line="139" w:lineRule="exact"/>
        <w:rPr>
          <w:rFonts w:ascii="Arial" w:cs="Arial" w:eastAsia="Arial" w:hAnsi="Arial"/>
          <w:sz w:val="16"/>
          <w:szCs w:val="16"/>
          <w:color w:val="auto"/>
        </w:rPr>
      </w:pPr>
    </w:p>
    <w:p>
      <w:pPr>
        <w:ind w:left="1260" w:hanging="415"/>
        <w:spacing w:after="0"/>
        <w:tabs>
          <w:tab w:leader="none" w:pos="1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persons that own or are deemed to own 10% or more of our stock by vote or value; or</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persons holding our ADSs or ordinary shares in connection with a trade or business outside the United States.</w:t>
      </w:r>
    </w:p>
    <w:p>
      <w:pPr>
        <w:spacing w:after="0" w:line="219" w:lineRule="exact"/>
        <w:rPr>
          <w:sz w:val="20"/>
          <w:szCs w:val="20"/>
          <w:color w:val="auto"/>
        </w:rPr>
      </w:pPr>
    </w:p>
    <w:p>
      <w:pPr>
        <w:jc w:val="both"/>
        <w:ind w:left="440" w:firstLine="423"/>
        <w:spacing w:after="0" w:line="264" w:lineRule="auto"/>
        <w:rPr>
          <w:sz w:val="20"/>
          <w:szCs w:val="20"/>
          <w:color w:val="auto"/>
        </w:rPr>
      </w:pPr>
      <w:r>
        <w:rPr>
          <w:rFonts w:ascii="Arial" w:cs="Arial" w:eastAsia="Arial" w:hAnsi="Arial"/>
          <w:sz w:val="17"/>
          <w:szCs w:val="17"/>
          <w:color w:val="auto"/>
        </w:rPr>
        <w:t>If a partnership (or other entity that is classified as a partnership for U.S. federal income tax purposes) owns our ADSs or ordinary shares, the U.S. federal income tax treatment of a partner will generally depend on the status of the partner and the activities of the partnership. Partnerships owning our ADSs or ordinary shares and partners in such partnerships should consult their tax advisers as to the particular U.S. federal income tax consequences of owning and disposing of our ADSs or ordinary shares.</w:t>
      </w:r>
    </w:p>
    <w:p>
      <w:pPr>
        <w:spacing w:after="0" w:line="176" w:lineRule="exact"/>
        <w:rPr>
          <w:sz w:val="20"/>
          <w:szCs w:val="20"/>
          <w:color w:val="auto"/>
        </w:rPr>
      </w:pPr>
    </w:p>
    <w:p>
      <w:pPr>
        <w:jc w:val="both"/>
        <w:ind w:left="440" w:firstLine="423"/>
        <w:spacing w:after="0" w:line="354" w:lineRule="auto"/>
        <w:rPr>
          <w:sz w:val="20"/>
          <w:szCs w:val="20"/>
          <w:color w:val="auto"/>
        </w:rPr>
      </w:pPr>
      <w:r>
        <w:rPr>
          <w:rFonts w:ascii="Arial" w:cs="Arial" w:eastAsia="Arial" w:hAnsi="Arial"/>
          <w:sz w:val="15"/>
          <w:szCs w:val="15"/>
          <w:color w:val="auto"/>
        </w:rPr>
        <w:t>This discussion is based on the U.S. Internal Revenue Code of 1986, as amended (the “Code”), administrative pronouncements, judicial decisions, and final, temporary and proposed Treasury regulations, all as of the date hereof, any of which is subject to change, possibly with retroactive effect.</w:t>
      </w:r>
    </w:p>
    <w:p>
      <w:pPr>
        <w:spacing w:after="0" w:line="4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960"/>
          </w:cols>
          <w:pgMar w:left="240" w:top="445" w:right="69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5"/>
          <w:szCs w:val="15"/>
          <w:color w:val="auto"/>
        </w:rPr>
        <w:t>As used herein, a “U.S. Holder” is a person that, for U.S. federal income tax purposes, is a beneficial owner of our ADSs or ordinary shares and:</w:t>
      </w:r>
    </w:p>
    <w:p>
      <w:pPr>
        <w:spacing w:after="0" w:line="151" w:lineRule="exact"/>
        <w:rPr>
          <w:sz w:val="20"/>
          <w:szCs w:val="20"/>
          <w:color w:val="auto"/>
        </w:rPr>
      </w:pPr>
    </w:p>
    <w:p>
      <w:pPr>
        <w:ind w:left="1260" w:hanging="415"/>
        <w:spacing w:after="0"/>
        <w:tabs>
          <w:tab w:leader="none" w:pos="12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citizen or individual resident of the United States;</w:t>
      </w:r>
    </w:p>
    <w:p>
      <w:pPr>
        <w:spacing w:after="0" w:line="128" w:lineRule="exact"/>
        <w:rPr>
          <w:rFonts w:ascii="Arial" w:cs="Arial" w:eastAsia="Arial" w:hAnsi="Arial"/>
          <w:sz w:val="17"/>
          <w:szCs w:val="17"/>
          <w:color w:val="auto"/>
        </w:rPr>
      </w:pPr>
    </w:p>
    <w:p>
      <w:pPr>
        <w:ind w:left="1260" w:right="80" w:hanging="415"/>
        <w:spacing w:after="0" w:line="284" w:lineRule="auto"/>
        <w:tabs>
          <w:tab w:leader="none" w:pos="12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or under the laws of the United States, any state therein or the District of Columbia; or</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 estate or trust the income of which is subject to U.S. federal income taxation regardless of its source.</w:t>
      </w:r>
    </w:p>
    <w:p>
      <w:pPr>
        <w:spacing w:after="0" w:line="219" w:lineRule="exact"/>
        <w:rPr>
          <w:sz w:val="20"/>
          <w:szCs w:val="20"/>
          <w:color w:val="auto"/>
        </w:rPr>
      </w:pPr>
    </w:p>
    <w:p>
      <w:pPr>
        <w:ind w:left="440" w:right="540" w:firstLine="845"/>
        <w:spacing w:after="0" w:line="284" w:lineRule="auto"/>
        <w:rPr>
          <w:sz w:val="20"/>
          <w:szCs w:val="20"/>
          <w:color w:val="auto"/>
        </w:rPr>
      </w:pPr>
      <w:r>
        <w:rPr>
          <w:rFonts w:ascii="Arial" w:cs="Arial" w:eastAsia="Arial" w:hAnsi="Arial"/>
          <w:sz w:val="17"/>
          <w:szCs w:val="17"/>
          <w:color w:val="auto"/>
        </w:rPr>
        <w:t>U.S. Holders should consult their tax advisers concerning the U.S. federal, state, local and non-U.S. tax consequences of owning and disposing of our ADSs or ordinary shares in their particular circumstances.</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In general, if U.S. Holders own our ADSs, they will be treated as owning the underlying ordinary shares represented by those ADSs for U.S.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federal income tax purposes. Accordingly, no gain or loss will be recognized if a U.S. Holder exchanges our ADSs for the underlying ordinary shares.</w:t>
      </w:r>
    </w:p>
    <w:p>
      <w:pPr>
        <w:spacing w:after="0" w:line="3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Taxation of Distributions</w:t>
      </w:r>
    </w:p>
    <w:p>
      <w:pPr>
        <w:spacing w:after="0" w:line="115" w:lineRule="exact"/>
        <w:rPr>
          <w:sz w:val="20"/>
          <w:szCs w:val="20"/>
          <w:color w:val="auto"/>
        </w:rPr>
      </w:pPr>
    </w:p>
    <w:p>
      <w:pPr>
        <w:ind w:left="440" w:firstLine="423"/>
        <w:spacing w:after="0" w:line="278" w:lineRule="auto"/>
        <w:rPr>
          <w:sz w:val="20"/>
          <w:szCs w:val="20"/>
          <w:color w:val="auto"/>
        </w:rPr>
      </w:pPr>
      <w:r>
        <w:rPr>
          <w:rFonts w:ascii="Arial" w:cs="Arial" w:eastAsia="Arial" w:hAnsi="Arial"/>
          <w:sz w:val="16"/>
          <w:szCs w:val="16"/>
          <w:color w:val="auto"/>
        </w:rPr>
        <w:t>Except as described under “—Passive Foreign Investment Company Rules” below, distributions paid on ADSs or ordinary shares, other than certain pro rata distributions of our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Non-corporate U.S. Holders should consult their tax advisers regarding the availability of this preferential rate in their particular circumstances.</w:t>
      </w:r>
    </w:p>
    <w:p>
      <w:pPr>
        <w:spacing w:after="0" w:line="166" w:lineRule="exact"/>
        <w:rPr>
          <w:sz w:val="20"/>
          <w:szCs w:val="20"/>
          <w:color w:val="auto"/>
        </w:rPr>
      </w:pPr>
    </w:p>
    <w:p>
      <w:pPr>
        <w:ind w:left="440" w:right="20" w:firstLine="423"/>
        <w:spacing w:after="0" w:line="258" w:lineRule="auto"/>
        <w:rPr>
          <w:sz w:val="20"/>
          <w:szCs w:val="20"/>
          <w:color w:val="auto"/>
        </w:rPr>
      </w:pPr>
      <w:r>
        <w:rPr>
          <w:rFonts w:ascii="Arial" w:cs="Arial" w:eastAsia="Arial" w:hAnsi="Arial"/>
          <w:sz w:val="17"/>
          <w:szCs w:val="17"/>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The amount of any dividend income paid in pound sterling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dividend. A U.S. Holder may have foreign currency gain or loss if the dividend is converted into U.S. dollars after the date of receipt. U.S. Holders of our ADSs should consult their tax advisers regarding the application of these rules to the amount of any dividend paid by us in pound sterling that is converted into U.S. dollars by the depositary.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Sale or Other Taxable Disposition</w:t>
      </w:r>
    </w:p>
    <w:p>
      <w:pPr>
        <w:spacing w:after="0" w:line="115" w:lineRule="exact"/>
        <w:rPr>
          <w:sz w:val="20"/>
          <w:szCs w:val="20"/>
          <w:color w:val="auto"/>
        </w:rPr>
      </w:pPr>
    </w:p>
    <w:p>
      <w:pPr>
        <w:ind w:left="440" w:right="20" w:firstLine="423"/>
        <w:spacing w:after="0" w:line="260" w:lineRule="auto"/>
        <w:rPr>
          <w:sz w:val="20"/>
          <w:szCs w:val="20"/>
          <w:color w:val="auto"/>
        </w:rPr>
      </w:pPr>
      <w:r>
        <w:rPr>
          <w:rFonts w:ascii="Arial" w:cs="Arial" w:eastAsia="Arial" w:hAnsi="Arial"/>
          <w:sz w:val="17"/>
          <w:szCs w:val="17"/>
          <w:color w:val="auto"/>
        </w:rPr>
        <w:t>Except as described under “—Passive Foreign Investment Company Rules” below,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Any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Passive Foreign Investment Company Rules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In general, a non-U.S. corporation will be a PFIC for any taxable year in which (i) 75% or more of its gross income consists of passive income or</w:t>
      </w:r>
    </w:p>
    <w:p>
      <w:pPr>
        <w:spacing w:after="0" w:line="47" w:lineRule="exact"/>
        <w:rPr>
          <w:sz w:val="20"/>
          <w:szCs w:val="20"/>
          <w:color w:val="auto"/>
        </w:rPr>
      </w:pPr>
    </w:p>
    <w:p>
      <w:pPr>
        <w:ind w:left="440" w:right="40" w:hanging="9"/>
        <w:spacing w:after="0" w:line="280" w:lineRule="auto"/>
        <w:tabs>
          <w:tab w:leader="none" w:pos="69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50% or more of the average quarterly value of its assets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w:t>
      </w:r>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980"/>
          </w:cols>
          <w:pgMar w:left="240" w:top="445" w:right="67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line="316" w:lineRule="auto"/>
        <w:rPr>
          <w:sz w:val="20"/>
          <w:szCs w:val="20"/>
          <w:color w:val="auto"/>
        </w:rPr>
      </w:pPr>
      <w:r>
        <w:rPr>
          <w:rFonts w:ascii="Arial" w:cs="Arial" w:eastAsia="Arial" w:hAnsi="Arial"/>
          <w:sz w:val="16"/>
          <w:szCs w:val="16"/>
          <w:color w:val="auto"/>
        </w:rPr>
        <w:t>property transactions, rents and royalties (other than certain rents or royalties derived in the active conduct of a trade or business). Cash is a passive asset for PFIC purposes. Goodwill is an active asset under the PFIC rules to the extent attributable to activities that produce active income.</w:t>
      </w:r>
    </w:p>
    <w:p>
      <w:pPr>
        <w:spacing w:after="0" w:line="137" w:lineRule="exact"/>
        <w:rPr>
          <w:sz w:val="20"/>
          <w:szCs w:val="20"/>
          <w:color w:val="auto"/>
        </w:rPr>
      </w:pPr>
    </w:p>
    <w:p>
      <w:pPr>
        <w:ind w:left="440" w:right="80" w:firstLine="423"/>
        <w:spacing w:after="0" w:line="299" w:lineRule="auto"/>
        <w:rPr>
          <w:sz w:val="20"/>
          <w:szCs w:val="20"/>
          <w:color w:val="auto"/>
        </w:rPr>
      </w:pPr>
      <w:r>
        <w:rPr>
          <w:rFonts w:ascii="Arial" w:cs="Arial" w:eastAsia="Arial" w:hAnsi="Arial"/>
          <w:sz w:val="15"/>
          <w:szCs w:val="15"/>
          <w:color w:val="auto"/>
        </w:rPr>
        <w:t>The assets shown on our consolidated balance sheet (taking into account OncoMed assets acquired as a result of the Merger) are expected to contain a significant amount of cash and cash equivalents in the current taxable year and for the foreseeable future. Therefore, whether we will satisfy the asset test for the current or any future taxable year generally will depend largely on the quarterly value of our goodwill, and on how quickly we utilize the cash in our business. Because (i) the value of our goodwill may be determined by reference to the market price of our shares or ADSs, which may be volatile given the nature and early stage of our business, (ii) we expect to continue to hold a significant amount of cash and (iii) a company’s PFIC status is an annual determination that can be made only after the end of each taxable year, we cannot express a view as to whether we will be a PFIC for the current or any future taxable year. It is therefore possible that we will be a PFIC for our current or any future taxable year.</w:t>
      </w:r>
    </w:p>
    <w:p>
      <w:pPr>
        <w:spacing w:after="0" w:line="153" w:lineRule="exact"/>
        <w:rPr>
          <w:sz w:val="20"/>
          <w:szCs w:val="20"/>
          <w:color w:val="auto"/>
        </w:rPr>
      </w:pPr>
    </w:p>
    <w:p>
      <w:pPr>
        <w:ind w:left="440" w:right="100" w:firstLine="423"/>
        <w:spacing w:after="0" w:line="261" w:lineRule="auto"/>
        <w:rPr>
          <w:sz w:val="20"/>
          <w:szCs w:val="20"/>
          <w:color w:val="auto"/>
        </w:rPr>
      </w:pPr>
      <w:r>
        <w:rPr>
          <w:rFonts w:ascii="Arial" w:cs="Arial" w:eastAsia="Arial" w:hAnsi="Arial"/>
          <w:sz w:val="17"/>
          <w:szCs w:val="17"/>
          <w:color w:val="auto"/>
        </w:rPr>
        <w:t>If we were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80" w:lineRule="exact"/>
        <w:rPr>
          <w:sz w:val="20"/>
          <w:szCs w:val="20"/>
          <w:color w:val="auto"/>
        </w:rPr>
      </w:pPr>
    </w:p>
    <w:p>
      <w:pPr>
        <w:ind w:left="440" w:right="40" w:firstLine="423"/>
        <w:spacing w:after="0" w:line="276" w:lineRule="auto"/>
        <w:rPr>
          <w:sz w:val="20"/>
          <w:szCs w:val="20"/>
          <w:color w:val="auto"/>
        </w:rPr>
      </w:pPr>
      <w:r>
        <w:rPr>
          <w:rFonts w:ascii="Arial" w:cs="Arial" w:eastAsia="Arial" w:hAnsi="Arial"/>
          <w:sz w:val="16"/>
          <w:szCs w:val="16"/>
          <w:color w:val="auto"/>
        </w:rPr>
        <w:t>Generally, if we are a PFIC for any taxable year during which a U.S. Holder holds our ADSs or ordinary shares,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 allocated to each other taxable year will be subject to tax at the highest rate in effect for that taxable year for individuals or corporations, as appropriate, and an interest charge will be imposed on the resulting tax liability for each relevant taxable year. Further, to the extent that any distribution received by a U.S. Holder on its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w:t>
      </w:r>
    </w:p>
    <w:p>
      <w:pPr>
        <w:spacing w:after="0" w:line="172" w:lineRule="exact"/>
        <w:rPr>
          <w:sz w:val="20"/>
          <w:szCs w:val="20"/>
          <w:color w:val="auto"/>
        </w:rPr>
      </w:pPr>
    </w:p>
    <w:p>
      <w:pPr>
        <w:ind w:left="440" w:right="60" w:firstLine="423"/>
        <w:spacing w:after="0" w:line="261" w:lineRule="auto"/>
        <w:rPr>
          <w:sz w:val="20"/>
          <w:szCs w:val="20"/>
          <w:color w:val="auto"/>
        </w:rPr>
      </w:pPr>
      <w:r>
        <w:rPr>
          <w:rFonts w:ascii="Arial" w:cs="Arial" w:eastAsia="Arial" w:hAnsi="Arial"/>
          <w:sz w:val="17"/>
          <w:szCs w:val="17"/>
          <w:color w:val="auto"/>
        </w:rPr>
        <w:t>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180" w:lineRule="exact"/>
        <w:rPr>
          <w:sz w:val="20"/>
          <w:szCs w:val="20"/>
          <w:color w:val="auto"/>
        </w:rPr>
      </w:pPr>
    </w:p>
    <w:p>
      <w:pPr>
        <w:ind w:left="440" w:firstLine="423"/>
        <w:spacing w:after="0" w:line="293" w:lineRule="auto"/>
        <w:rPr>
          <w:sz w:val="20"/>
          <w:szCs w:val="20"/>
          <w:color w:val="auto"/>
        </w:rPr>
      </w:pPr>
      <w:r>
        <w:rPr>
          <w:rFonts w:ascii="Arial" w:cs="Arial" w:eastAsia="Arial" w:hAnsi="Arial"/>
          <w:sz w:val="15"/>
          <w:szCs w:val="15"/>
          <w:color w:val="auto"/>
        </w:rPr>
        <w:t xml:space="preserve">Alternatively, if we are a PFIC and if our ADSs or ordinary shares are “regularly traded” on a “qualified exchange,” a U.S. Holder could make a mark-to-market election that would result in tax treatment different from the general tax treatment described in the preceding paragraphs. Our ordinary shares would be treated as “regularly traded” in any calendar year in which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quantity of the shares are traded on a qualified exchange on at least 15 days during each calendar quarter. The Nasdaq is a qualified exchange for this purpose. The IRS has not identified specific non-U.S. exchanges that are “qualified” for this purpose. If a U.S. Holder makes the mark-to-market election, the U.S. Holder generally will recognize as ordinary income any excess of the fair market value of our ADSs or ordinary shares at the end of each taxable year over their adjusted tax basis, and will recognize an ordinary loss in respect of any excess of the adjusted tax basis of our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980"/>
          </w:cols>
          <w:pgMar w:left="240" w:top="445" w:right="67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440" w:right="400" w:firstLine="423"/>
        <w:spacing w:after="0" w:line="269" w:lineRule="auto"/>
        <w:rPr>
          <w:sz w:val="20"/>
          <w:szCs w:val="20"/>
          <w:color w:val="auto"/>
        </w:rPr>
      </w:pPr>
      <w:r>
        <w:rPr>
          <w:rFonts w:ascii="Arial" w:cs="Arial" w:eastAsia="Arial" w:hAnsi="Arial"/>
          <w:sz w:val="17"/>
          <w:szCs w:val="17"/>
          <w:color w:val="auto"/>
        </w:rPr>
        <w:t>A qualified electing fund election, if available, could materially affect the tax consequences of the ownership and disposition of our ADSs or ordinary shares if we were a PFIC for any taxable year. However, we do not intend to provide the information necessary for U.S. Holders to make qualified electing fund elections. Therefore, U.S. Holders will not be able to make such elections.</w:t>
      </w:r>
    </w:p>
    <w:p>
      <w:pPr>
        <w:spacing w:after="0" w:line="171" w:lineRule="exact"/>
        <w:rPr>
          <w:sz w:val="20"/>
          <w:szCs w:val="20"/>
          <w:color w:val="auto"/>
        </w:rPr>
      </w:pPr>
    </w:p>
    <w:p>
      <w:pPr>
        <w:jc w:val="both"/>
        <w:ind w:left="440" w:right="280" w:firstLine="423"/>
        <w:spacing w:after="0" w:line="321" w:lineRule="auto"/>
        <w:rPr>
          <w:sz w:val="20"/>
          <w:szCs w:val="20"/>
          <w:color w:val="auto"/>
        </w:rPr>
      </w:pPr>
      <w:r>
        <w:rPr>
          <w:rFonts w:ascii="Arial" w:cs="Arial" w:eastAsia="Arial" w:hAnsi="Arial"/>
          <w:sz w:val="15"/>
          <w:szCs w:val="15"/>
          <w:color w:val="auto"/>
        </w:rPr>
        <w:t>If a U.S. Holder owns our ADSs or ordinary shares during any year in which we are a PFIC, the U.S. Holder generally will be required to file annual reports on IRS Form 8621 (or any successor form) with respect to us, generally with the U.S. Holder’s federal income tax return for that year. U.S. Holders should consult their tax advisers regarding our PFIC status for any taxable year and the potential application of the PFIC rules to us.</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115" w:lineRule="exact"/>
        <w:rPr>
          <w:sz w:val="20"/>
          <w:szCs w:val="20"/>
          <w:color w:val="auto"/>
        </w:rPr>
      </w:pPr>
    </w:p>
    <w:p>
      <w:pPr>
        <w:ind w:left="440" w:right="40" w:firstLine="423"/>
        <w:spacing w:after="0" w:line="260" w:lineRule="auto"/>
        <w:rPr>
          <w:sz w:val="20"/>
          <w:szCs w:val="20"/>
          <w:color w:val="auto"/>
        </w:rPr>
      </w:pPr>
      <w:r>
        <w:rPr>
          <w:rFonts w:ascii="Arial" w:cs="Arial" w:eastAsia="Arial" w:hAnsi="Arial"/>
          <w:sz w:val="17"/>
          <w:szCs w:val="17"/>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80" w:lineRule="exact"/>
        <w:rPr>
          <w:sz w:val="20"/>
          <w:szCs w:val="20"/>
          <w:color w:val="auto"/>
        </w:rPr>
      </w:pPr>
    </w:p>
    <w:p>
      <w:pPr>
        <w:ind w:left="440" w:right="260" w:firstLine="423"/>
        <w:spacing w:after="0" w:line="269" w:lineRule="auto"/>
        <w:rPr>
          <w:sz w:val="20"/>
          <w:szCs w:val="20"/>
          <w:color w:val="auto"/>
        </w:rPr>
      </w:pPr>
      <w:r>
        <w:rPr>
          <w:rFonts w:ascii="Arial" w:cs="Arial" w:eastAsia="Arial" w:hAnsi="Arial"/>
          <w:sz w:val="17"/>
          <w:szCs w:val="17"/>
          <w:color w:val="auto"/>
        </w:rPr>
        <w:t>Certain U.S. Holders who are individuals (or certain specified entities) may be required to report information relating to their ownership of our ADSs or ordinary shares, or non-U.S. accounts through which our ADSs or ordinary shares are held. U.S. Holders should consult their tax advisers regarding their reporting obligations with respect to our ADSs or ordinary shares.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10.F. Dividends and Paying Agents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10.G. Statement by Experts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10.H. Documents on Display</w:t>
      </w:r>
    </w:p>
    <w:p>
      <w:pPr>
        <w:spacing w:after="0" w:line="121" w:lineRule="exact"/>
        <w:rPr>
          <w:sz w:val="20"/>
          <w:szCs w:val="20"/>
          <w:color w:val="auto"/>
        </w:rPr>
      </w:pPr>
    </w:p>
    <w:p>
      <w:pPr>
        <w:ind w:left="440" w:firstLine="423"/>
        <w:spacing w:after="0" w:line="299" w:lineRule="auto"/>
        <w:rPr>
          <w:sz w:val="20"/>
          <w:szCs w:val="20"/>
          <w:color w:val="auto"/>
        </w:rPr>
      </w:pPr>
      <w:r>
        <w:rPr>
          <w:rFonts w:ascii="Arial" w:cs="Arial" w:eastAsia="Arial" w:hAnsi="Arial"/>
          <w:sz w:val="15"/>
          <w:szCs w:val="15"/>
          <w:color w:val="auto"/>
        </w:rPr>
        <w:t>We are subject to certain of the information reporting requirements of the Exchange Act. As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within four months after the end of each fiscal year, an annual report on Form 20-F containing financial statements audited by an independent accounting firm. We publish unaudited interim financial information after the end of each quarter. We furnish this quarterly financial information to the SEC under cover of a Form 6-K.</w:t>
      </w:r>
    </w:p>
    <w:p>
      <w:pPr>
        <w:spacing w:after="0" w:line="153" w:lineRule="exact"/>
        <w:rPr>
          <w:sz w:val="20"/>
          <w:szCs w:val="20"/>
          <w:color w:val="auto"/>
        </w:rPr>
      </w:pPr>
    </w:p>
    <w:p>
      <w:pPr>
        <w:ind w:left="440" w:right="900" w:firstLine="423"/>
        <w:spacing w:after="0" w:line="354" w:lineRule="auto"/>
        <w:rPr>
          <w:sz w:val="20"/>
          <w:szCs w:val="20"/>
          <w:color w:val="auto"/>
        </w:rPr>
      </w:pPr>
      <w:r>
        <w:rPr>
          <w:rFonts w:ascii="Arial" w:cs="Arial" w:eastAsia="Arial" w:hAnsi="Arial"/>
          <w:sz w:val="15"/>
          <w:szCs w:val="15"/>
          <w:color w:val="auto"/>
        </w:rPr>
        <w:t>The SEC maintains a website that contains reports, proxy and information statements and other information regarding issuers that file electronically with the SEC. The address of this website is http://www.sec.gov. The company’s website is www.mereobiopharma.com.</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10.I. Subsidiary Information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55"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21" w:lineRule="exact"/>
        <w:rPr>
          <w:sz w:val="20"/>
          <w:szCs w:val="20"/>
          <w:color w:val="auto"/>
        </w:rPr>
      </w:pPr>
    </w:p>
    <w:p>
      <w:pPr>
        <w:ind w:left="440" w:right="260" w:firstLine="423"/>
        <w:spacing w:after="0" w:line="284" w:lineRule="auto"/>
        <w:rPr>
          <w:sz w:val="20"/>
          <w:szCs w:val="20"/>
          <w:color w:val="auto"/>
        </w:rPr>
      </w:pPr>
      <w:r>
        <w:rPr>
          <w:rFonts w:ascii="Arial" w:cs="Arial" w:eastAsia="Arial" w:hAnsi="Arial"/>
          <w:sz w:val="17"/>
          <w:szCs w:val="17"/>
          <w:color w:val="auto"/>
        </w:rPr>
        <w:t>Mereo is exposed to a variety of financial risks. Mereo’s overall risk management program seeks to minimize potential adverse effects of these financial risks on its financial performance.</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980"/>
          </w:cols>
          <w:pgMar w:left="240" w:top="445" w:right="67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5" w:lineRule="exact"/>
        <w:rPr>
          <w:sz w:val="20"/>
          <w:szCs w:val="20"/>
          <w:color w:val="auto"/>
        </w:rPr>
      </w:pPr>
    </w:p>
    <w:p>
      <w:pPr>
        <w:ind w:left="440" w:right="80" w:firstLine="423"/>
        <w:spacing w:after="0" w:line="294" w:lineRule="auto"/>
        <w:rPr>
          <w:sz w:val="20"/>
          <w:szCs w:val="20"/>
          <w:color w:val="auto"/>
        </w:rPr>
      </w:pPr>
      <w:r>
        <w:rPr>
          <w:rFonts w:ascii="Arial" w:cs="Arial" w:eastAsia="Arial" w:hAnsi="Arial"/>
          <w:sz w:val="15"/>
          <w:szCs w:val="15"/>
          <w:color w:val="auto"/>
        </w:rPr>
        <w:t>Mereo manages interest rate risk by monitoring short and medium-term interest rates and placing cash on deposit for periods that optimize the amount of interest earned while maintaining access to sufficient funds to meet day-to-day cash requirements. Mereo has a committed borrowing facility in an amount of £20.5 million which was fully drawn as of the date of this annual report. Loans under the credit facility bear interest at a fixed rate of</w:t>
      </w:r>
    </w:p>
    <w:p>
      <w:pPr>
        <w:ind w:left="440" w:right="40"/>
        <w:spacing w:after="0" w:line="268" w:lineRule="auto"/>
        <w:rPr>
          <w:sz w:val="20"/>
          <w:szCs w:val="20"/>
          <w:color w:val="auto"/>
        </w:rPr>
      </w:pPr>
      <w:r>
        <w:rPr>
          <w:rFonts w:ascii="Arial" w:cs="Arial" w:eastAsia="Arial" w:hAnsi="Arial"/>
          <w:sz w:val="17"/>
          <w:szCs w:val="17"/>
          <w:color w:val="auto"/>
        </w:rPr>
        <w:t>9.0% per annum. The interest payable on the Novartis Notes is fixed at 4.0% per annum. Consequently, there is no material exposure to interest rate risk in respect of interest payable.</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Credit Risk</w:t>
      </w:r>
    </w:p>
    <w:p>
      <w:pPr>
        <w:spacing w:after="0" w:line="115"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Mereo considers all of its material counterparties to be creditworthy. Mereo considers the credit risk for each of its major counterparties to be low. Mereo is, however, dependent on a number of third parties for the delivery of its programs and, in addition, where appropriate it pays upfront deposits and fees in advance of the delivery of services where required. Mereo continues to assess credit risk as part of its management of these third-party relationships.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Liquidity Risk</w:t>
      </w:r>
    </w:p>
    <w:p>
      <w:pPr>
        <w:spacing w:after="0" w:line="115" w:lineRule="exact"/>
        <w:rPr>
          <w:sz w:val="20"/>
          <w:szCs w:val="20"/>
          <w:color w:val="auto"/>
        </w:rPr>
      </w:pPr>
    </w:p>
    <w:p>
      <w:pPr>
        <w:ind w:left="440" w:right="220" w:firstLine="423"/>
        <w:spacing w:after="0" w:line="354" w:lineRule="auto"/>
        <w:rPr>
          <w:sz w:val="20"/>
          <w:szCs w:val="20"/>
          <w:color w:val="auto"/>
        </w:rPr>
      </w:pPr>
      <w:r>
        <w:rPr>
          <w:rFonts w:ascii="Arial" w:cs="Arial" w:eastAsia="Arial" w:hAnsi="Arial"/>
          <w:sz w:val="15"/>
          <w:szCs w:val="15"/>
          <w:color w:val="auto"/>
        </w:rPr>
        <w:t>Mereo manages its liquidity risk by maintaining adequate cash reserves at banking facilities and invested in short term money market accounts, and by continuously monitoring its cash forecasts, its actual cash flows and by matching the maturity profiles of financial assets and liabilities.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115" w:lineRule="exact"/>
        <w:rPr>
          <w:sz w:val="20"/>
          <w:szCs w:val="20"/>
          <w:color w:val="auto"/>
        </w:rPr>
      </w:pPr>
    </w:p>
    <w:p>
      <w:pPr>
        <w:ind w:left="440" w:firstLine="423"/>
        <w:spacing w:after="0" w:line="296" w:lineRule="auto"/>
        <w:rPr>
          <w:sz w:val="20"/>
          <w:szCs w:val="20"/>
          <w:color w:val="auto"/>
        </w:rPr>
      </w:pPr>
      <w:r>
        <w:rPr>
          <w:rFonts w:ascii="Arial" w:cs="Arial" w:eastAsia="Arial" w:hAnsi="Arial"/>
          <w:sz w:val="15"/>
          <w:szCs w:val="15"/>
          <w:color w:val="auto"/>
        </w:rPr>
        <w:t>Foreign currency risk reflects the risk that the value of a financial commitment or recognized asset or liability will fluctuate due to changes in foreign currency rates. The majority of Mereo’s operating costs are denominated in pound sterling, Euros, and U.S. dollars. Mereo’s financial position, as expressed in pound sterling, is exposed to movements in foreign exchange rates against the U.S. dollar and the euro. Mereo’s main trading currencies are pound sterling and U.S. dollars. Mereo is exposed to foreign currency risk as a result of operating transactions and the translation of foreign currency bank accounts and short-term deposits. Mereo monitors its exposure to foreign exchange risk. Mereo has not entered into foreign exchange contracts to hedge against foreign exchange fluctuations but maintain cash and investments in U.S. dollars to cover anticipated forward commitments. For the year ended December 31, 2018, Mereo recorded a net foreign exchange loss of £0.04 million, compared to a £1.4 million loss for the year ended December 31, 2017, primarily as a result of the accretion in value of Mereo’s U.S. dollar cash deposits measured at the balance sheet date compared to the date of conversion. These deposits amounted to $15.0 million and $2.3 million as of December 31, 2017 and 2018, respectively.</w:t>
      </w:r>
    </w:p>
    <w:p>
      <w:pPr>
        <w:spacing w:after="0" w:line="29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12.A. Debt Securities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12.B. Warrants and Rights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12.C. Other Securities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1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980"/>
          </w:cols>
          <w:pgMar w:left="240" w:top="445" w:right="67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12.D. American Depositary Shares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Fees and Charges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As an ADS holder, you are required to pay the following fees under the terms of the deposit agreement:</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Service</w:t>
            </w:r>
          </w:p>
        </w:tc>
        <w:tc>
          <w:tcPr>
            <w:tcW w:w="5160" w:type="dxa"/>
            <w:vAlign w:val="bottom"/>
          </w:tcPr>
          <w:p>
            <w:pPr>
              <w:spacing w:after="0"/>
              <w:rPr>
                <w:sz w:val="16"/>
                <w:szCs w:val="16"/>
                <w:color w:val="auto"/>
              </w:rPr>
            </w:pPr>
          </w:p>
        </w:tc>
        <w:tc>
          <w:tcPr>
            <w:tcW w:w="496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Fee</w:t>
            </w:r>
          </w:p>
        </w:tc>
      </w:tr>
      <w:tr>
        <w:trPr>
          <w:trHeight w:val="168"/>
        </w:trPr>
        <w:tc>
          <w:tcPr>
            <w:tcW w:w="5600" w:type="dxa"/>
            <w:vAlign w:val="bottom"/>
            <w:gridSpan w:val="2"/>
          </w:tcPr>
          <w:p>
            <w:pPr>
              <w:spacing w:after="0" w:line="167" w:lineRule="exact"/>
              <w:rPr>
                <w:sz w:val="20"/>
                <w:szCs w:val="20"/>
                <w:color w:val="auto"/>
              </w:rPr>
            </w:pPr>
            <w:r>
              <w:rPr>
                <w:rFonts w:ascii="Arial" w:cs="Arial" w:eastAsia="Arial" w:hAnsi="Arial"/>
                <w:sz w:val="17"/>
                <w:szCs w:val="17"/>
                <w:color w:val="auto"/>
              </w:rPr>
              <w:t>Issuance of ADSs (e.g., an issuance of our ADSs upon a deposit of our</w:t>
            </w:r>
          </w:p>
        </w:tc>
        <w:tc>
          <w:tcPr>
            <w:tcW w:w="4960" w:type="dxa"/>
            <w:vAlign w:val="bottom"/>
          </w:tcPr>
          <w:p>
            <w:pPr>
              <w:spacing w:after="0" w:line="167" w:lineRule="exact"/>
              <w:rPr>
                <w:sz w:val="20"/>
                <w:szCs w:val="20"/>
                <w:color w:val="auto"/>
              </w:rPr>
            </w:pPr>
            <w:r>
              <w:rPr>
                <w:rFonts w:ascii="Arial" w:cs="Arial" w:eastAsia="Arial" w:hAnsi="Arial"/>
                <w:sz w:val="17"/>
                <w:szCs w:val="17"/>
                <w:color w:val="auto"/>
              </w:rPr>
              <w:t>Up to $5.00 per 100 ADSs (or fraction thereof) issued</w:t>
            </w:r>
          </w:p>
        </w:tc>
      </w:tr>
      <w:tr>
        <w:trPr>
          <w:trHeight w:val="207"/>
        </w:trPr>
        <w:tc>
          <w:tcPr>
            <w:tcW w:w="5600" w:type="dxa"/>
            <w:vAlign w:val="bottom"/>
            <w:gridSpan w:val="2"/>
          </w:tcPr>
          <w:p>
            <w:pPr>
              <w:ind w:left="160"/>
              <w:spacing w:after="0"/>
              <w:rPr>
                <w:sz w:val="20"/>
                <w:szCs w:val="20"/>
                <w:color w:val="auto"/>
              </w:rPr>
            </w:pPr>
            <w:r>
              <w:rPr>
                <w:rFonts w:ascii="Arial" w:cs="Arial" w:eastAsia="Arial" w:hAnsi="Arial"/>
                <w:sz w:val="17"/>
                <w:szCs w:val="17"/>
                <w:color w:val="auto"/>
              </w:rPr>
              <w:t>ordinary shares, upon a change in our ADS-to-ordinary shares ratio),</w:t>
            </w:r>
          </w:p>
        </w:tc>
        <w:tc>
          <w:tcPr>
            <w:tcW w:w="4960" w:type="dxa"/>
            <w:vAlign w:val="bottom"/>
          </w:tcPr>
          <w:p>
            <w:pPr>
              <w:spacing w:after="0"/>
              <w:rPr>
                <w:sz w:val="18"/>
                <w:szCs w:val="18"/>
                <w:color w:val="auto"/>
              </w:rPr>
            </w:pPr>
          </w:p>
        </w:tc>
      </w:tr>
      <w:tr>
        <w:trPr>
          <w:trHeight w:val="207"/>
        </w:trPr>
        <w:tc>
          <w:tcPr>
            <w:tcW w:w="5600" w:type="dxa"/>
            <w:vAlign w:val="bottom"/>
            <w:gridSpan w:val="2"/>
          </w:tcPr>
          <w:p>
            <w:pPr>
              <w:ind w:left="160"/>
              <w:spacing w:after="0"/>
              <w:rPr>
                <w:sz w:val="20"/>
                <w:szCs w:val="20"/>
                <w:color w:val="auto"/>
              </w:rPr>
            </w:pPr>
            <w:r>
              <w:rPr>
                <w:rFonts w:ascii="Arial" w:cs="Arial" w:eastAsia="Arial" w:hAnsi="Arial"/>
                <w:sz w:val="17"/>
                <w:szCs w:val="17"/>
                <w:color w:val="auto"/>
                <w:w w:val="96"/>
              </w:rPr>
              <w:t>excluding ADS issuances as a result of distributions of our ordinary shares</w:t>
            </w:r>
          </w:p>
        </w:tc>
        <w:tc>
          <w:tcPr>
            <w:tcW w:w="4960" w:type="dxa"/>
            <w:vAlign w:val="bottom"/>
          </w:tcPr>
          <w:p>
            <w:pPr>
              <w:spacing w:after="0"/>
              <w:rPr>
                <w:sz w:val="18"/>
                <w:szCs w:val="18"/>
                <w:color w:val="auto"/>
              </w:rPr>
            </w:pPr>
          </w:p>
        </w:tc>
      </w:tr>
      <w:tr>
        <w:trPr>
          <w:trHeight w:val="207"/>
        </w:trPr>
        <w:tc>
          <w:tcPr>
            <w:tcW w:w="5600" w:type="dxa"/>
            <w:vAlign w:val="bottom"/>
            <w:gridSpan w:val="2"/>
          </w:tcPr>
          <w:p>
            <w:pPr>
              <w:spacing w:after="0"/>
              <w:rPr>
                <w:sz w:val="20"/>
                <w:szCs w:val="20"/>
                <w:color w:val="auto"/>
              </w:rPr>
            </w:pPr>
            <w:r>
              <w:rPr>
                <w:rFonts w:ascii="Arial" w:cs="Arial" w:eastAsia="Arial" w:hAnsi="Arial"/>
                <w:sz w:val="17"/>
                <w:szCs w:val="17"/>
                <w:color w:val="auto"/>
              </w:rPr>
              <w:t>Cancellation of ADSs (e.g., a cancellation of our ADSs for delivery of</w:t>
            </w:r>
          </w:p>
        </w:tc>
        <w:tc>
          <w:tcPr>
            <w:tcW w:w="4960" w:type="dxa"/>
            <w:vAlign w:val="bottom"/>
          </w:tcPr>
          <w:p>
            <w:pPr>
              <w:spacing w:after="0"/>
              <w:rPr>
                <w:sz w:val="20"/>
                <w:szCs w:val="20"/>
                <w:color w:val="auto"/>
              </w:rPr>
            </w:pPr>
            <w:r>
              <w:rPr>
                <w:rFonts w:ascii="Arial" w:cs="Arial" w:eastAsia="Arial" w:hAnsi="Arial"/>
                <w:sz w:val="17"/>
                <w:szCs w:val="17"/>
                <w:color w:val="auto"/>
              </w:rPr>
              <w:t>Up to $5.00 per 100 ADSs (or fraction thereof) cancelled</w:t>
            </w:r>
          </w:p>
        </w:tc>
      </w:tr>
      <w:tr>
        <w:trPr>
          <w:trHeight w:val="207"/>
        </w:trPr>
        <w:tc>
          <w:tcPr>
            <w:tcW w:w="5600" w:type="dxa"/>
            <w:vAlign w:val="bottom"/>
            <w:gridSpan w:val="2"/>
          </w:tcPr>
          <w:p>
            <w:pPr>
              <w:ind w:left="160"/>
              <w:spacing w:after="0"/>
              <w:rPr>
                <w:sz w:val="20"/>
                <w:szCs w:val="20"/>
                <w:color w:val="auto"/>
              </w:rPr>
            </w:pPr>
            <w:r>
              <w:rPr>
                <w:rFonts w:ascii="Arial" w:cs="Arial" w:eastAsia="Arial" w:hAnsi="Arial"/>
                <w:sz w:val="17"/>
                <w:szCs w:val="17"/>
                <w:color w:val="auto"/>
                <w:w w:val="97"/>
              </w:rPr>
              <w:t>deposited property, upon a change in our ADS-to-ordinary shares ratio, or</w:t>
            </w:r>
          </w:p>
        </w:tc>
        <w:tc>
          <w:tcPr>
            <w:tcW w:w="4960" w:type="dxa"/>
            <w:vAlign w:val="bottom"/>
          </w:tcPr>
          <w:p>
            <w:pPr>
              <w:spacing w:after="0"/>
              <w:rPr>
                <w:sz w:val="18"/>
                <w:szCs w:val="18"/>
                <w:color w:val="auto"/>
              </w:rPr>
            </w:pPr>
          </w:p>
        </w:tc>
      </w:tr>
      <w:tr>
        <w:trPr>
          <w:trHeight w:val="207"/>
        </w:trPr>
        <w:tc>
          <w:tcPr>
            <w:tcW w:w="5600" w:type="dxa"/>
            <w:vAlign w:val="bottom"/>
            <w:gridSpan w:val="2"/>
          </w:tcPr>
          <w:p>
            <w:pPr>
              <w:ind w:left="160"/>
              <w:spacing w:after="0"/>
              <w:rPr>
                <w:sz w:val="20"/>
                <w:szCs w:val="20"/>
                <w:color w:val="auto"/>
              </w:rPr>
            </w:pPr>
            <w:r>
              <w:rPr>
                <w:rFonts w:ascii="Arial" w:cs="Arial" w:eastAsia="Arial" w:hAnsi="Arial"/>
                <w:sz w:val="17"/>
                <w:szCs w:val="17"/>
                <w:color w:val="auto"/>
              </w:rPr>
              <w:t>for any other reason)</w:t>
            </w:r>
          </w:p>
        </w:tc>
        <w:tc>
          <w:tcPr>
            <w:tcW w:w="4960" w:type="dxa"/>
            <w:vAlign w:val="bottom"/>
          </w:tcPr>
          <w:p>
            <w:pPr>
              <w:spacing w:after="0"/>
              <w:rPr>
                <w:sz w:val="18"/>
                <w:szCs w:val="18"/>
                <w:color w:val="auto"/>
              </w:rPr>
            </w:pPr>
          </w:p>
        </w:tc>
      </w:tr>
      <w:tr>
        <w:trPr>
          <w:trHeight w:val="207"/>
        </w:trPr>
        <w:tc>
          <w:tcPr>
            <w:tcW w:w="5600" w:type="dxa"/>
            <w:vAlign w:val="bottom"/>
            <w:gridSpan w:val="2"/>
          </w:tcPr>
          <w:p>
            <w:pPr>
              <w:spacing w:after="0"/>
              <w:rPr>
                <w:sz w:val="20"/>
                <w:szCs w:val="20"/>
                <w:color w:val="auto"/>
              </w:rPr>
            </w:pPr>
            <w:r>
              <w:rPr>
                <w:rFonts w:ascii="Arial" w:cs="Arial" w:eastAsia="Arial" w:hAnsi="Arial"/>
                <w:sz w:val="17"/>
                <w:szCs w:val="17"/>
                <w:color w:val="auto"/>
                <w:w w:val="96"/>
              </w:rPr>
              <w:t>Distribution of cash dividends or other cash distributions (e.g., upon a sale of</w:t>
            </w:r>
          </w:p>
        </w:tc>
        <w:tc>
          <w:tcPr>
            <w:tcW w:w="4960" w:type="dxa"/>
            <w:vAlign w:val="bottom"/>
          </w:tcPr>
          <w:p>
            <w:pPr>
              <w:spacing w:after="0"/>
              <w:rPr>
                <w:sz w:val="20"/>
                <w:szCs w:val="20"/>
                <w:color w:val="auto"/>
              </w:rPr>
            </w:pPr>
            <w:r>
              <w:rPr>
                <w:rFonts w:ascii="Arial" w:cs="Arial" w:eastAsia="Arial" w:hAnsi="Arial"/>
                <w:sz w:val="17"/>
                <w:szCs w:val="17"/>
                <w:color w:val="auto"/>
              </w:rPr>
              <w:t>Up to $5.00 per 100 ADSs (or fraction thereof) held</w:t>
            </w:r>
          </w:p>
        </w:tc>
      </w:tr>
      <w:tr>
        <w:trPr>
          <w:trHeight w:val="207"/>
        </w:trPr>
        <w:tc>
          <w:tcPr>
            <w:tcW w:w="5600" w:type="dxa"/>
            <w:vAlign w:val="bottom"/>
            <w:gridSpan w:val="2"/>
          </w:tcPr>
          <w:p>
            <w:pPr>
              <w:ind w:left="160"/>
              <w:spacing w:after="0"/>
              <w:rPr>
                <w:sz w:val="20"/>
                <w:szCs w:val="20"/>
                <w:color w:val="auto"/>
              </w:rPr>
            </w:pPr>
            <w:r>
              <w:rPr>
                <w:rFonts w:ascii="Arial" w:cs="Arial" w:eastAsia="Arial" w:hAnsi="Arial"/>
                <w:sz w:val="17"/>
                <w:szCs w:val="17"/>
                <w:color w:val="auto"/>
              </w:rPr>
              <w:t>rights and other entitlements)</w:t>
            </w:r>
          </w:p>
        </w:tc>
        <w:tc>
          <w:tcPr>
            <w:tcW w:w="4960" w:type="dxa"/>
            <w:vAlign w:val="bottom"/>
          </w:tcPr>
          <w:p>
            <w:pPr>
              <w:spacing w:after="0"/>
              <w:rPr>
                <w:sz w:val="18"/>
                <w:szCs w:val="18"/>
                <w:color w:val="auto"/>
              </w:rPr>
            </w:pPr>
          </w:p>
        </w:tc>
      </w:tr>
      <w:tr>
        <w:trPr>
          <w:trHeight w:val="207"/>
        </w:trPr>
        <w:tc>
          <w:tcPr>
            <w:tcW w:w="5600" w:type="dxa"/>
            <w:vAlign w:val="bottom"/>
            <w:gridSpan w:val="2"/>
          </w:tcPr>
          <w:p>
            <w:pPr>
              <w:spacing w:after="0"/>
              <w:rPr>
                <w:sz w:val="20"/>
                <w:szCs w:val="20"/>
                <w:color w:val="auto"/>
              </w:rPr>
            </w:pPr>
            <w:r>
              <w:rPr>
                <w:rFonts w:ascii="Arial" w:cs="Arial" w:eastAsia="Arial" w:hAnsi="Arial"/>
                <w:sz w:val="17"/>
                <w:szCs w:val="17"/>
                <w:color w:val="auto"/>
              </w:rPr>
              <w:t>Distribution of ADSs pursuant to (i) stock dividends or other free stock</w:t>
            </w:r>
          </w:p>
        </w:tc>
        <w:tc>
          <w:tcPr>
            <w:tcW w:w="4960" w:type="dxa"/>
            <w:vAlign w:val="bottom"/>
          </w:tcPr>
          <w:p>
            <w:pPr>
              <w:spacing w:after="0"/>
              <w:rPr>
                <w:sz w:val="20"/>
                <w:szCs w:val="20"/>
                <w:color w:val="auto"/>
              </w:rPr>
            </w:pPr>
            <w:r>
              <w:rPr>
                <w:rFonts w:ascii="Arial" w:cs="Arial" w:eastAsia="Arial" w:hAnsi="Arial"/>
                <w:sz w:val="17"/>
                <w:szCs w:val="17"/>
                <w:color w:val="auto"/>
              </w:rPr>
              <w:t>Up to $5.00 per 100 ADSs (or fraction thereof) held</w:t>
            </w:r>
          </w:p>
        </w:tc>
      </w:tr>
      <w:tr>
        <w:trPr>
          <w:trHeight w:val="207"/>
        </w:trPr>
        <w:tc>
          <w:tcPr>
            <w:tcW w:w="5600" w:type="dxa"/>
            <w:vAlign w:val="bottom"/>
            <w:gridSpan w:val="2"/>
          </w:tcPr>
          <w:p>
            <w:pPr>
              <w:ind w:left="160"/>
              <w:spacing w:after="0"/>
              <w:rPr>
                <w:sz w:val="20"/>
                <w:szCs w:val="20"/>
                <w:color w:val="auto"/>
              </w:rPr>
            </w:pPr>
            <w:r>
              <w:rPr>
                <w:rFonts w:ascii="Arial" w:cs="Arial" w:eastAsia="Arial" w:hAnsi="Arial"/>
                <w:sz w:val="17"/>
                <w:szCs w:val="17"/>
                <w:color w:val="auto"/>
              </w:rPr>
              <w:t>distributions, or (ii) exercise of rights to purchase additional ADSs</w:t>
            </w:r>
          </w:p>
        </w:tc>
        <w:tc>
          <w:tcPr>
            <w:tcW w:w="4960" w:type="dxa"/>
            <w:vAlign w:val="bottom"/>
          </w:tcPr>
          <w:p>
            <w:pPr>
              <w:spacing w:after="0"/>
              <w:rPr>
                <w:sz w:val="18"/>
                <w:szCs w:val="18"/>
                <w:color w:val="auto"/>
              </w:rPr>
            </w:pPr>
          </w:p>
        </w:tc>
      </w:tr>
      <w:tr>
        <w:trPr>
          <w:trHeight w:val="207"/>
        </w:trPr>
        <w:tc>
          <w:tcPr>
            <w:tcW w:w="5600" w:type="dxa"/>
            <w:vAlign w:val="bottom"/>
            <w:gridSpan w:val="2"/>
          </w:tcPr>
          <w:p>
            <w:pPr>
              <w:spacing w:after="0"/>
              <w:rPr>
                <w:sz w:val="20"/>
                <w:szCs w:val="20"/>
                <w:color w:val="auto"/>
              </w:rPr>
            </w:pPr>
            <w:r>
              <w:rPr>
                <w:rFonts w:ascii="Arial" w:cs="Arial" w:eastAsia="Arial" w:hAnsi="Arial"/>
                <w:sz w:val="17"/>
                <w:szCs w:val="17"/>
                <w:color w:val="auto"/>
                <w:w w:val="96"/>
              </w:rPr>
              <w:t>Distribution of securities other than our ADSs or rights to purchase additional</w:t>
            </w:r>
          </w:p>
        </w:tc>
        <w:tc>
          <w:tcPr>
            <w:tcW w:w="4960" w:type="dxa"/>
            <w:vAlign w:val="bottom"/>
          </w:tcPr>
          <w:p>
            <w:pPr>
              <w:spacing w:after="0"/>
              <w:rPr>
                <w:sz w:val="20"/>
                <w:szCs w:val="20"/>
                <w:color w:val="auto"/>
              </w:rPr>
            </w:pPr>
            <w:r>
              <w:rPr>
                <w:rFonts w:ascii="Arial" w:cs="Arial" w:eastAsia="Arial" w:hAnsi="Arial"/>
                <w:sz w:val="17"/>
                <w:szCs w:val="17"/>
                <w:color w:val="auto"/>
              </w:rPr>
              <w:t>Up to $5.00 per 100 ADSs (or fraction thereof) held</w:t>
            </w:r>
          </w:p>
        </w:tc>
      </w:tr>
      <w:tr>
        <w:trPr>
          <w:trHeight w:val="207"/>
        </w:trPr>
        <w:tc>
          <w:tcPr>
            <w:tcW w:w="5600" w:type="dxa"/>
            <w:vAlign w:val="bottom"/>
            <w:gridSpan w:val="2"/>
          </w:tcPr>
          <w:p>
            <w:pPr>
              <w:ind w:left="160"/>
              <w:spacing w:after="0"/>
              <w:rPr>
                <w:sz w:val="20"/>
                <w:szCs w:val="20"/>
                <w:color w:val="auto"/>
              </w:rPr>
            </w:pPr>
            <w:r>
              <w:rPr>
                <w:rFonts w:ascii="Arial" w:cs="Arial" w:eastAsia="Arial" w:hAnsi="Arial"/>
                <w:sz w:val="17"/>
                <w:szCs w:val="17"/>
                <w:color w:val="auto"/>
              </w:rPr>
              <w:t>ADSs (e.g., upon a spin-off)</w:t>
            </w:r>
          </w:p>
        </w:tc>
        <w:tc>
          <w:tcPr>
            <w:tcW w:w="4960" w:type="dxa"/>
            <w:vAlign w:val="bottom"/>
          </w:tcPr>
          <w:p>
            <w:pPr>
              <w:spacing w:after="0"/>
              <w:rPr>
                <w:sz w:val="18"/>
                <w:szCs w:val="18"/>
                <w:color w:val="auto"/>
              </w:rPr>
            </w:pPr>
          </w:p>
        </w:tc>
      </w:tr>
      <w:tr>
        <w:trPr>
          <w:trHeight w:val="207"/>
        </w:trPr>
        <w:tc>
          <w:tcPr>
            <w:tcW w:w="5600" w:type="dxa"/>
            <w:vAlign w:val="bottom"/>
            <w:gridSpan w:val="2"/>
          </w:tcPr>
          <w:p>
            <w:pPr>
              <w:spacing w:after="0"/>
              <w:rPr>
                <w:sz w:val="20"/>
                <w:szCs w:val="20"/>
                <w:color w:val="auto"/>
              </w:rPr>
            </w:pPr>
            <w:r>
              <w:rPr>
                <w:rFonts w:ascii="Arial" w:cs="Arial" w:eastAsia="Arial" w:hAnsi="Arial"/>
                <w:sz w:val="17"/>
                <w:szCs w:val="17"/>
                <w:color w:val="auto"/>
              </w:rPr>
              <w:t>ADS Services</w:t>
            </w:r>
          </w:p>
        </w:tc>
        <w:tc>
          <w:tcPr>
            <w:tcW w:w="4960" w:type="dxa"/>
            <w:vAlign w:val="bottom"/>
          </w:tcPr>
          <w:p>
            <w:pPr>
              <w:spacing w:after="0"/>
              <w:rPr>
                <w:sz w:val="20"/>
                <w:szCs w:val="20"/>
                <w:color w:val="auto"/>
              </w:rPr>
            </w:pPr>
            <w:r>
              <w:rPr>
                <w:rFonts w:ascii="Arial" w:cs="Arial" w:eastAsia="Arial" w:hAnsi="Arial"/>
                <w:sz w:val="17"/>
                <w:szCs w:val="17"/>
                <w:color w:val="auto"/>
                <w:w w:val="95"/>
              </w:rPr>
              <w:t>Up to $5.00 per 100 ADSs (or fraction thereof) held on the applicable</w:t>
            </w:r>
          </w:p>
        </w:tc>
      </w:tr>
      <w:tr>
        <w:trPr>
          <w:trHeight w:val="207"/>
        </w:trPr>
        <w:tc>
          <w:tcPr>
            <w:tcW w:w="4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record date(s) established by the depositary</w:t>
            </w:r>
          </w:p>
        </w:tc>
      </w:tr>
      <w:tr>
        <w:trPr>
          <w:trHeight w:val="207"/>
        </w:trPr>
        <w:tc>
          <w:tcPr>
            <w:tcW w:w="5600" w:type="dxa"/>
            <w:vAlign w:val="bottom"/>
            <w:gridSpan w:val="2"/>
          </w:tcPr>
          <w:p>
            <w:pPr>
              <w:spacing w:after="0"/>
              <w:rPr>
                <w:sz w:val="20"/>
                <w:szCs w:val="20"/>
                <w:color w:val="auto"/>
              </w:rPr>
            </w:pPr>
            <w:r>
              <w:rPr>
                <w:rFonts w:ascii="Arial" w:cs="Arial" w:eastAsia="Arial" w:hAnsi="Arial"/>
                <w:sz w:val="17"/>
                <w:szCs w:val="17"/>
                <w:color w:val="auto"/>
              </w:rPr>
              <w:t>Registration of ADS Transfers (e.g., upon a registration of the transfer of</w:t>
            </w:r>
          </w:p>
        </w:tc>
        <w:tc>
          <w:tcPr>
            <w:tcW w:w="4960" w:type="dxa"/>
            <w:vAlign w:val="bottom"/>
          </w:tcPr>
          <w:p>
            <w:pPr>
              <w:spacing w:after="0"/>
              <w:rPr>
                <w:sz w:val="20"/>
                <w:szCs w:val="20"/>
                <w:color w:val="auto"/>
              </w:rPr>
            </w:pPr>
            <w:r>
              <w:rPr>
                <w:rFonts w:ascii="Arial" w:cs="Arial" w:eastAsia="Arial" w:hAnsi="Arial"/>
                <w:sz w:val="17"/>
                <w:szCs w:val="17"/>
                <w:color w:val="auto"/>
              </w:rPr>
              <w:t>Up to $5.00 per 100 ADSs (or fraction thereof) transferred</w:t>
            </w:r>
          </w:p>
        </w:tc>
      </w:tr>
      <w:tr>
        <w:trPr>
          <w:trHeight w:val="207"/>
        </w:trPr>
        <w:tc>
          <w:tcPr>
            <w:tcW w:w="5600" w:type="dxa"/>
            <w:vAlign w:val="bottom"/>
            <w:gridSpan w:val="2"/>
          </w:tcPr>
          <w:p>
            <w:pPr>
              <w:ind w:left="160"/>
              <w:spacing w:after="0"/>
              <w:rPr>
                <w:sz w:val="20"/>
                <w:szCs w:val="20"/>
                <w:color w:val="auto"/>
              </w:rPr>
            </w:pPr>
            <w:r>
              <w:rPr>
                <w:rFonts w:ascii="Arial" w:cs="Arial" w:eastAsia="Arial" w:hAnsi="Arial"/>
                <w:sz w:val="17"/>
                <w:szCs w:val="17"/>
                <w:color w:val="auto"/>
                <w:w w:val="99"/>
              </w:rPr>
              <w:t>registered ownership of our ADSs, upon a transfer of our ADSs into DTC</w:t>
            </w:r>
          </w:p>
        </w:tc>
        <w:tc>
          <w:tcPr>
            <w:tcW w:w="4960" w:type="dxa"/>
            <w:vAlign w:val="bottom"/>
          </w:tcPr>
          <w:p>
            <w:pPr>
              <w:spacing w:after="0"/>
              <w:rPr>
                <w:sz w:val="18"/>
                <w:szCs w:val="18"/>
                <w:color w:val="auto"/>
              </w:rPr>
            </w:pPr>
          </w:p>
        </w:tc>
      </w:tr>
      <w:tr>
        <w:trPr>
          <w:trHeight w:val="207"/>
        </w:trPr>
        <w:tc>
          <w:tcPr>
            <w:tcW w:w="5600" w:type="dxa"/>
            <w:vAlign w:val="bottom"/>
            <w:gridSpan w:val="2"/>
          </w:tcPr>
          <w:p>
            <w:pPr>
              <w:ind w:left="160"/>
              <w:spacing w:after="0"/>
              <w:rPr>
                <w:sz w:val="20"/>
                <w:szCs w:val="20"/>
                <w:color w:val="auto"/>
              </w:rPr>
            </w:pPr>
            <w:r>
              <w:rPr>
                <w:rFonts w:ascii="Arial" w:cs="Arial" w:eastAsia="Arial" w:hAnsi="Arial"/>
                <w:sz w:val="17"/>
                <w:szCs w:val="17"/>
                <w:color w:val="auto"/>
              </w:rPr>
              <w:t>and vice versa, or for any other reason)</w:t>
            </w:r>
          </w:p>
        </w:tc>
        <w:tc>
          <w:tcPr>
            <w:tcW w:w="4960" w:type="dxa"/>
            <w:vAlign w:val="bottom"/>
          </w:tcPr>
          <w:p>
            <w:pPr>
              <w:spacing w:after="0"/>
              <w:rPr>
                <w:sz w:val="18"/>
                <w:szCs w:val="18"/>
                <w:color w:val="auto"/>
              </w:rPr>
            </w:pPr>
          </w:p>
        </w:tc>
      </w:tr>
      <w:tr>
        <w:trPr>
          <w:trHeight w:val="207"/>
        </w:trPr>
        <w:tc>
          <w:tcPr>
            <w:tcW w:w="5600" w:type="dxa"/>
            <w:vAlign w:val="bottom"/>
            <w:gridSpan w:val="2"/>
          </w:tcPr>
          <w:p>
            <w:pPr>
              <w:spacing w:after="0"/>
              <w:rPr>
                <w:sz w:val="20"/>
                <w:szCs w:val="20"/>
                <w:color w:val="auto"/>
              </w:rPr>
            </w:pPr>
            <w:r>
              <w:rPr>
                <w:rFonts w:ascii="Arial" w:cs="Arial" w:eastAsia="Arial" w:hAnsi="Arial"/>
                <w:sz w:val="17"/>
                <w:szCs w:val="17"/>
                <w:color w:val="auto"/>
                <w:w w:val="99"/>
              </w:rPr>
              <w:t>Conversion of our ADSs of one series for our ADSs of another series (e.g.,</w:t>
            </w:r>
          </w:p>
        </w:tc>
        <w:tc>
          <w:tcPr>
            <w:tcW w:w="4960" w:type="dxa"/>
            <w:vAlign w:val="bottom"/>
          </w:tcPr>
          <w:p>
            <w:pPr>
              <w:spacing w:after="0"/>
              <w:rPr>
                <w:sz w:val="20"/>
                <w:szCs w:val="20"/>
                <w:color w:val="auto"/>
              </w:rPr>
            </w:pPr>
            <w:r>
              <w:rPr>
                <w:rFonts w:ascii="Arial" w:cs="Arial" w:eastAsia="Arial" w:hAnsi="Arial"/>
                <w:sz w:val="17"/>
                <w:szCs w:val="17"/>
                <w:color w:val="auto"/>
              </w:rPr>
              <w:t>Up to $5.00 per 100 ADSs (or fraction thereof) converted</w:t>
            </w:r>
          </w:p>
        </w:tc>
      </w:tr>
      <w:tr>
        <w:trPr>
          <w:trHeight w:val="207"/>
        </w:trPr>
        <w:tc>
          <w:tcPr>
            <w:tcW w:w="5600" w:type="dxa"/>
            <w:vAlign w:val="bottom"/>
            <w:gridSpan w:val="2"/>
          </w:tcPr>
          <w:p>
            <w:pPr>
              <w:ind w:left="160"/>
              <w:spacing w:after="0"/>
              <w:rPr>
                <w:sz w:val="20"/>
                <w:szCs w:val="20"/>
                <w:color w:val="auto"/>
              </w:rPr>
            </w:pPr>
            <w:r>
              <w:rPr>
                <w:rFonts w:ascii="Arial" w:cs="Arial" w:eastAsia="Arial" w:hAnsi="Arial"/>
                <w:sz w:val="17"/>
                <w:szCs w:val="17"/>
                <w:color w:val="auto"/>
              </w:rPr>
              <w:t>upon conversion of Partial Entitlement ADSs for Full Entitlement ADSs,</w:t>
            </w:r>
          </w:p>
        </w:tc>
        <w:tc>
          <w:tcPr>
            <w:tcW w:w="4960" w:type="dxa"/>
            <w:vAlign w:val="bottom"/>
          </w:tcPr>
          <w:p>
            <w:pPr>
              <w:spacing w:after="0"/>
              <w:rPr>
                <w:sz w:val="18"/>
                <w:szCs w:val="18"/>
                <w:color w:val="auto"/>
              </w:rPr>
            </w:pPr>
          </w:p>
        </w:tc>
      </w:tr>
      <w:tr>
        <w:trPr>
          <w:trHeight w:val="207"/>
        </w:trPr>
        <w:tc>
          <w:tcPr>
            <w:tcW w:w="5600" w:type="dxa"/>
            <w:vAlign w:val="bottom"/>
            <w:gridSpan w:val="2"/>
          </w:tcPr>
          <w:p>
            <w:pPr>
              <w:ind w:left="160"/>
              <w:spacing w:after="0"/>
              <w:rPr>
                <w:sz w:val="20"/>
                <w:szCs w:val="20"/>
                <w:color w:val="auto"/>
              </w:rPr>
            </w:pPr>
            <w:r>
              <w:rPr>
                <w:rFonts w:ascii="Arial" w:cs="Arial" w:eastAsia="Arial" w:hAnsi="Arial"/>
                <w:sz w:val="17"/>
                <w:szCs w:val="17"/>
                <w:color w:val="auto"/>
              </w:rPr>
              <w:t>or upon conversion of Restricted ADSs (each as defined in the deposit</w:t>
            </w:r>
          </w:p>
        </w:tc>
        <w:tc>
          <w:tcPr>
            <w:tcW w:w="4960" w:type="dxa"/>
            <w:vAlign w:val="bottom"/>
          </w:tcPr>
          <w:p>
            <w:pPr>
              <w:spacing w:after="0"/>
              <w:rPr>
                <w:sz w:val="18"/>
                <w:szCs w:val="18"/>
                <w:color w:val="auto"/>
              </w:rPr>
            </w:pPr>
          </w:p>
        </w:tc>
      </w:tr>
      <w:tr>
        <w:trPr>
          <w:trHeight w:val="220"/>
        </w:trPr>
        <w:tc>
          <w:tcPr>
            <w:tcW w:w="5600" w:type="dxa"/>
            <w:vAlign w:val="bottom"/>
            <w:gridSpan w:val="2"/>
          </w:tcPr>
          <w:p>
            <w:pPr>
              <w:ind w:left="160"/>
              <w:spacing w:after="0"/>
              <w:rPr>
                <w:sz w:val="20"/>
                <w:szCs w:val="20"/>
                <w:color w:val="auto"/>
              </w:rPr>
            </w:pPr>
            <w:r>
              <w:rPr>
                <w:rFonts w:ascii="Arial" w:cs="Arial" w:eastAsia="Arial" w:hAnsi="Arial"/>
                <w:sz w:val="17"/>
                <w:szCs w:val="17"/>
                <w:color w:val="auto"/>
              </w:rPr>
              <w:t>agreement) into freely transferable ADSs, and vice versa)</w:t>
            </w:r>
          </w:p>
        </w:tc>
        <w:tc>
          <w:tcPr>
            <w:tcW w:w="4960" w:type="dxa"/>
            <w:vAlign w:val="bottom"/>
          </w:tcPr>
          <w:p>
            <w:pPr>
              <w:spacing w:after="0"/>
              <w:rPr>
                <w:sz w:val="19"/>
                <w:szCs w:val="19"/>
                <w:color w:val="auto"/>
              </w:rPr>
            </w:pPr>
          </w:p>
        </w:tc>
      </w:tr>
    </w:tbl>
    <w:p>
      <w:pPr>
        <w:spacing w:after="0" w:line="19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As a holder of our ADSs, you are also responsible for paying certain charges such as:</w:t>
      </w:r>
    </w:p>
    <w:p>
      <w:pPr>
        <w:spacing w:after="0" w:line="128" w:lineRule="exact"/>
        <w:rPr>
          <w:sz w:val="20"/>
          <w:szCs w:val="20"/>
          <w:color w:val="auto"/>
        </w:rPr>
      </w:pPr>
    </w:p>
    <w:p>
      <w:pPr>
        <w:ind w:left="1260" w:hanging="415"/>
        <w:spacing w:after="0"/>
        <w:tabs>
          <w:tab w:leader="none" w:pos="12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taxes (including applicable interest and penalties) and other governmental charges;</w:t>
      </w:r>
    </w:p>
    <w:p>
      <w:pPr>
        <w:spacing w:after="0" w:line="128" w:lineRule="exact"/>
        <w:rPr>
          <w:rFonts w:ascii="Arial" w:cs="Arial" w:eastAsia="Arial" w:hAnsi="Arial"/>
          <w:sz w:val="17"/>
          <w:szCs w:val="17"/>
          <w:color w:val="auto"/>
        </w:rPr>
      </w:pPr>
    </w:p>
    <w:p>
      <w:pPr>
        <w:ind w:left="1260" w:right="240" w:hanging="415"/>
        <w:spacing w:after="0" w:line="269" w:lineRule="auto"/>
        <w:tabs>
          <w:tab w:leader="none" w:pos="12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registration fees as may from time to time be in effect for the registration of our ordinary shares on the share register and applicable to transfers of our ordinary shares to or from the name of the custodian, the depositary, or any nominees upon the making of deposits and withdrawals, respectively;</w:t>
      </w:r>
    </w:p>
    <w:p>
      <w:pPr>
        <w:spacing w:after="0" w:line="80" w:lineRule="exact"/>
        <w:rPr>
          <w:rFonts w:ascii="Arial" w:cs="Arial" w:eastAsia="Arial" w:hAnsi="Arial"/>
          <w:sz w:val="17"/>
          <w:szCs w:val="17"/>
          <w:color w:val="auto"/>
        </w:rPr>
      </w:pPr>
    </w:p>
    <w:p>
      <w:pPr>
        <w:ind w:left="1260" w:hanging="415"/>
        <w:spacing w:after="0"/>
        <w:tabs>
          <w:tab w:leader="none" w:pos="12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certain cable, telex, and facsimile transmission and delivery expenses;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expenses and charges incurred by the depositary in the conversion of foreign currency;</w:t>
      </w:r>
    </w:p>
    <w:p>
      <w:pPr>
        <w:spacing w:after="0" w:line="128" w:lineRule="exact"/>
        <w:rPr>
          <w:rFonts w:ascii="Arial" w:cs="Arial" w:eastAsia="Arial" w:hAnsi="Arial"/>
          <w:sz w:val="17"/>
          <w:szCs w:val="17"/>
          <w:color w:val="auto"/>
        </w:rPr>
      </w:pPr>
    </w:p>
    <w:p>
      <w:pPr>
        <w:ind w:left="1260" w:right="400" w:hanging="415"/>
        <w:spacing w:after="0" w:line="284" w:lineRule="auto"/>
        <w:tabs>
          <w:tab w:leader="none" w:pos="12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fees and expenses incurred by the depositary in connection with compliance with exchange control regulations and other regulatory requirements applicable to our ordinary shares, our ADSs, and ADRs; and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our ADR program.</w:t>
      </w:r>
    </w:p>
    <w:p>
      <w:pPr>
        <w:spacing w:after="0" w:line="230" w:lineRule="exact"/>
        <w:rPr>
          <w:sz w:val="20"/>
          <w:szCs w:val="20"/>
          <w:color w:val="auto"/>
        </w:rPr>
      </w:pPr>
    </w:p>
    <w:p>
      <w:pPr>
        <w:ind w:left="440" w:firstLine="423"/>
        <w:spacing w:after="0" w:line="274" w:lineRule="auto"/>
        <w:rPr>
          <w:sz w:val="20"/>
          <w:szCs w:val="20"/>
          <w:color w:val="auto"/>
        </w:rPr>
      </w:pPr>
      <w:r>
        <w:rPr>
          <w:rFonts w:ascii="Arial" w:cs="Arial" w:eastAsia="Arial" w:hAnsi="Arial"/>
          <w:sz w:val="16"/>
          <w:szCs w:val="16"/>
          <w:color w:val="auto"/>
        </w:rPr>
        <w:t>Fees and charges for (i) the issuance of our ADSs, and (ii) the cancellation of our ADSs are charged to the person for whom our ADSs are issued (in the case of our ADS issuances) and to the person for whose our ADSs are cancelled (in the case of our ADS cancellations). In the case of our ADSs issued by the depositary into DTC, our ADS issuance and cancellation fees and charges may be deducted from distributions made through DTC, and may be charged to the DTC participant(s) receiving our ADSs being issued or the DTC participant(s) holding our ADSs being cancelled, as the case may be, on behalf of the beneficial owner(s) and will be charged by the DTC participant(s) to the account of the applicable beneficial owner(s) in accordance with the procedures and practices of the DTC participants as in effect at the time. our ADS fees and charges in respect of distributions and our ADS service fee are charged to the holders as of the applicable ADS record date. In the case of distributions of cash, the amount of the applicable ADS fees and charges is deducted from the funds being distributed. In the case of (i) distributions other than cash and (ii) our ADS service fee, holders as of our ADS record date will be invoiced for the amount of our ADS fees and charges and such ADS fees and charges may be deducted from distributions made to holders of our ADSs. For our ADSs held through DTC, such ADS fees and charges for distributions other than cash and our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our ADSs. In the case of (i) registration of our ADS transfers, our ADS transfer</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000"/>
          </w:cols>
          <w:pgMar w:left="240" w:top="445" w:right="65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fee will be payable by the Holders of our ADS whose ADSs are being transferred or by the person to whom our ADSs are transferred, and</w:t>
      </w:r>
    </w:p>
    <w:p>
      <w:pPr>
        <w:spacing w:after="0" w:line="24" w:lineRule="exact"/>
        <w:rPr>
          <w:sz w:val="20"/>
          <w:szCs w:val="20"/>
          <w:color w:val="auto"/>
        </w:rPr>
      </w:pPr>
    </w:p>
    <w:p>
      <w:pPr>
        <w:ind w:left="440" w:right="500" w:hanging="9"/>
        <w:spacing w:after="0" w:line="268" w:lineRule="auto"/>
        <w:tabs>
          <w:tab w:leader="none" w:pos="69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conversion of our ADSs of one series for our ADSs of another series, the ADS conversion fee will be payable by the Holder whose ADSs are converted or by the person to whom the converted ADSs are delivered.</w:t>
      </w:r>
    </w:p>
    <w:p>
      <w:pPr>
        <w:spacing w:after="0" w:line="172" w:lineRule="exact"/>
        <w:rPr>
          <w:sz w:val="20"/>
          <w:szCs w:val="20"/>
          <w:color w:val="auto"/>
        </w:rPr>
      </w:pPr>
    </w:p>
    <w:p>
      <w:pPr>
        <w:ind w:left="440" w:firstLine="423"/>
        <w:spacing w:after="0" w:line="304" w:lineRule="auto"/>
        <w:rPr>
          <w:sz w:val="20"/>
          <w:szCs w:val="20"/>
          <w:color w:val="auto"/>
        </w:rPr>
      </w:pPr>
      <w:r>
        <w:rPr>
          <w:rFonts w:ascii="Arial" w:cs="Arial" w:eastAsia="Arial" w:hAnsi="Arial"/>
          <w:sz w:val="15"/>
          <w:szCs w:val="15"/>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Mereo and by the depositary. You will receive prior notice of such changes. The depositary may reimburse Mereo for certain expenses incurred by Mereo in respect of the ADR program, by making available a portion of the ADS fees charged in respect of the ADR program or otherwise, upon such terms and conditions as Mereo and the depositary agree from time to time.</w:t>
      </w:r>
    </w:p>
    <w:p>
      <w:pPr>
        <w:spacing w:after="0" w:line="352"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PART TWO</w:t>
      </w:r>
    </w:p>
    <w:p>
      <w:pPr>
        <w:spacing w:after="0" w:line="245"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None.</w:t>
      </w:r>
    </w:p>
    <w:p>
      <w:pPr>
        <w:spacing w:after="0" w:line="355"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A.-D. Material Modifications to the Rights of Security Holders</w:t>
      </w:r>
    </w:p>
    <w:p>
      <w:pPr>
        <w:spacing w:after="0" w:line="121" w:lineRule="exact"/>
        <w:rPr>
          <w:sz w:val="20"/>
          <w:szCs w:val="20"/>
          <w:color w:val="auto"/>
        </w:rPr>
      </w:pPr>
    </w:p>
    <w:p>
      <w:pPr>
        <w:ind w:left="440" w:right="20" w:firstLine="423"/>
        <w:spacing w:after="0" w:line="279" w:lineRule="auto"/>
        <w:rPr>
          <w:sz w:val="20"/>
          <w:szCs w:val="20"/>
          <w:color w:val="auto"/>
        </w:rPr>
      </w:pPr>
      <w:r>
        <w:rPr>
          <w:rFonts w:ascii="Arial" w:cs="Arial" w:eastAsia="Arial" w:hAnsi="Arial"/>
          <w:sz w:val="16"/>
          <w:szCs w:val="16"/>
          <w:color w:val="auto"/>
        </w:rPr>
        <w:t>On April 23, 2019, pursuant to the terms of the Merger Agreement, OncoMed merged with and into an indirect wholly-owned subsidiary of Mereo. Upon completion of the Merger, each OncoMed common stock was cancelled and converted into the right to receive (1) 0.127694 ADSs, representing five ordinary shares in the capital of Mereo, as determined by the exchange ratio set forth in the Merger Agreement, and (2) one contingent value right, representing the right to receive contingent consideration upon the achievement of certain milestones relating to certain OncoMed products or product candidates. Accordingly, the shares became governed by Mereo’s Articles. See “Item 10. Additional Information—B. Memorandum and Articles of Association.” On April 24, 2019, our ADSs were listed on Nasdaq under the symbol of “MREO”.</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 Use of Proceeds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55"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28" w:lineRule="exact"/>
        <w:rPr>
          <w:sz w:val="20"/>
          <w:szCs w:val="20"/>
          <w:color w:val="auto"/>
        </w:rPr>
      </w:pPr>
    </w:p>
    <w:p>
      <w:pPr>
        <w:ind w:left="840" w:hanging="409"/>
        <w:spacing w:after="0"/>
        <w:tabs>
          <w:tab w:leader="none" w:pos="840"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Controls and Procedures</w:t>
      </w:r>
    </w:p>
    <w:p>
      <w:pPr>
        <w:spacing w:after="0" w:line="121"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Exchange Act and regulations promulgated thereunder) as of December 31, 2018, or the Evaluation Date. Based on such evaluation, our Chief Executive Officer and Chief Financial Officer have concluded that, as of the Evaluation Date,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Chief Executive Officer and Chief Financial Officer, or persons performing similar functions, as appropriate to allow timely decisions regarding required disclosure.</w:t>
      </w:r>
    </w:p>
    <w:p>
      <w:pPr>
        <w:spacing w:after="0" w:line="317" w:lineRule="exact"/>
        <w:rPr>
          <w:sz w:val="20"/>
          <w:szCs w:val="20"/>
          <w:color w:val="auto"/>
        </w:rPr>
      </w:pPr>
    </w:p>
    <w:p>
      <w:pPr>
        <w:ind w:left="840" w:hanging="409"/>
        <w:spacing w:after="0"/>
        <w:tabs>
          <w:tab w:leader="none" w:pos="840"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Management’s Annual Report on Internal Control over Financial Reporting</w:t>
      </w:r>
    </w:p>
    <w:p>
      <w:pPr>
        <w:spacing w:after="0" w:line="121" w:lineRule="exact"/>
        <w:rPr>
          <w:sz w:val="20"/>
          <w:szCs w:val="20"/>
          <w:color w:val="auto"/>
        </w:rPr>
      </w:pPr>
    </w:p>
    <w:p>
      <w:pPr>
        <w:ind w:left="440" w:right="300" w:firstLine="423"/>
        <w:spacing w:after="0" w:line="284"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due to a transition period established by rules of the SEC for newly public companies.</w:t>
      </w:r>
    </w:p>
    <w:p>
      <w:pPr>
        <w:spacing w:after="0" w:line="159"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Further, as long as we are deemed to be an Emerging Growth Company, we will not be required to include an attestation report of our independent registered public accounting firm regarding internal control over financial reporting, due to an exemption for Emerging Growth Companies provided in the Jumpstart Our Business Startups Act of 2012.</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960"/>
          </w:cols>
          <w:pgMar w:left="240" w:top="445" w:right="69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Attestation Report of the Registered Public Accounting Firm</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355" w:lineRule="exact"/>
        <w:rPr>
          <w:sz w:val="20"/>
          <w:szCs w:val="20"/>
          <w:color w:val="auto"/>
        </w:rPr>
      </w:pPr>
    </w:p>
    <w:p>
      <w:pPr>
        <w:ind w:left="840" w:hanging="409"/>
        <w:spacing w:after="0"/>
        <w:tabs>
          <w:tab w:leader="none" w:pos="84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Changes in Internal Control over Financial Reporting</w:t>
      </w:r>
    </w:p>
    <w:p>
      <w:pPr>
        <w:spacing w:after="0" w:line="121" w:lineRule="exact"/>
        <w:rPr>
          <w:sz w:val="20"/>
          <w:szCs w:val="20"/>
          <w:color w:val="auto"/>
        </w:rPr>
      </w:pPr>
    </w:p>
    <w:p>
      <w:pPr>
        <w:ind w:left="440" w:right="320" w:firstLine="423"/>
        <w:spacing w:after="0" w:line="269"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308"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17"/>
          <w:szCs w:val="17"/>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7"/>
          <w:szCs w:val="17"/>
          <w:color w:val="auto"/>
        </w:rPr>
        <w:t>Our board has determined that Mr. Paul Blackburn qualifies to serve as an “audit committee financial expert” as defined under the SEC rules, and has the requisite financial sophistication as defined under the applicable Nasdaq rules and regulations. Mr. Paul Blackburn also qualifies as an independent director under the corporate governance standards of the Nasdaq listing requirements and the audit committee independence requirements of Rule 10A-3 of the Exchange Act. For more information see “Item 6. Directors, Senior Management and Employees—C. Board Practices— Committees of the Mereo Board—Audit and Risk Committee.”</w:t>
      </w:r>
    </w:p>
    <w:p>
      <w:pPr>
        <w:spacing w:after="0" w:line="317"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17"/>
          <w:szCs w:val="17"/>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Code of Business Conduct and Ethics and Anti-Bribery and Anti-Corruption Policy</w:t>
      </w:r>
    </w:p>
    <w:p>
      <w:pPr>
        <w:spacing w:after="0" w:line="121" w:lineRule="exact"/>
        <w:rPr>
          <w:sz w:val="20"/>
          <w:szCs w:val="20"/>
          <w:color w:val="auto"/>
        </w:rPr>
      </w:pPr>
    </w:p>
    <w:p>
      <w:pPr>
        <w:ind w:left="440" w:right="60" w:firstLine="423"/>
        <w:spacing w:after="0" w:line="274" w:lineRule="auto"/>
        <w:rPr>
          <w:sz w:val="20"/>
          <w:szCs w:val="20"/>
          <w:color w:val="auto"/>
        </w:rPr>
      </w:pPr>
      <w:r>
        <w:rPr>
          <w:rFonts w:ascii="Arial" w:cs="Arial" w:eastAsia="Arial" w:hAnsi="Arial"/>
          <w:sz w:val="16"/>
          <w:szCs w:val="16"/>
          <w:color w:val="auto"/>
        </w:rPr>
        <w:t>We have adopted a Code of Business Conduct and Ethics and an Anti-Bribery and Anti-Corruption Policy applicable to all of our directors, executive officers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Business Conduct and Ethics and the Anti-Bribery and Anti-Corruption Policy can be found on our website at www.mereobiopharma.com. Information contained on, or that can be accessed through, our website does not constitute a part of this report and is not incorporated by reference herein. If we make any amendment to the Code of Business Conduct and Ethics or the Anti-Bribery and Anti-Corruption Policy or grant any waivers, including any implicit waiver, from a provision of the code of ethics, we will disclose the nature of such amendment or waiver on our website to the extent required by the rules and regulations of the SEC. Under Item 16B of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312"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17"/>
          <w:szCs w:val="17"/>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Our financial statements have been prepared in accordance with IFRS and are audited by Ernst &amp; Young LLP, our independent registered public accounting firm registered with the Public Company Accounting Oversight Board in the United States.</w:t>
      </w:r>
    </w:p>
    <w:p>
      <w:pPr>
        <w:spacing w:after="0" w:line="159" w:lineRule="exact"/>
        <w:rPr>
          <w:sz w:val="20"/>
          <w:szCs w:val="20"/>
          <w:color w:val="auto"/>
        </w:rPr>
      </w:pPr>
    </w:p>
    <w:p>
      <w:pPr>
        <w:ind w:left="440" w:right="340" w:firstLine="423"/>
        <w:spacing w:after="0" w:line="284" w:lineRule="auto"/>
        <w:rPr>
          <w:sz w:val="20"/>
          <w:szCs w:val="20"/>
          <w:color w:val="auto"/>
        </w:rPr>
      </w:pPr>
      <w:r>
        <w:rPr>
          <w:rFonts w:ascii="Arial" w:cs="Arial" w:eastAsia="Arial" w:hAnsi="Arial"/>
          <w:sz w:val="17"/>
          <w:szCs w:val="17"/>
          <w:color w:val="auto"/>
        </w:rPr>
        <w:t>Ernst &amp; Young LLP, has served as our independent registered public accounting firm for each of the two years ended December 31, 2017 and 2018, for which audited financial statements appear in this annual report.</w:t>
      </w:r>
    </w:p>
    <w:p>
      <w:pPr>
        <w:spacing w:after="0" w:line="159"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The following table provides information regarding fees paid by us to Ernst &amp; Young LLP for all services, for the years ended December 31, 2017 and 2018:</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5700" w:type="dxa"/>
            <w:vAlign w:val="bottom"/>
          </w:tcPr>
          <w:p>
            <w:pPr>
              <w:spacing w:after="0"/>
              <w:rPr>
                <w:sz w:val="14"/>
                <w:szCs w:val="14"/>
                <w:color w:val="auto"/>
              </w:rPr>
            </w:pPr>
          </w:p>
        </w:tc>
        <w:tc>
          <w:tcPr>
            <w:tcW w:w="2320" w:type="dxa"/>
            <w:vAlign w:val="bottom"/>
            <w:gridSpan w:val="4"/>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35"/>
        </w:trPr>
        <w:tc>
          <w:tcPr>
            <w:tcW w:w="57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1"/>
              <w:spacing w:after="0" w:line="135"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7"/>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r>
      <w:tr>
        <w:trPr>
          <w:trHeight w:val="135"/>
        </w:trPr>
        <w:tc>
          <w:tcPr>
            <w:tcW w:w="5700" w:type="dxa"/>
            <w:vAlign w:val="bottom"/>
          </w:tcPr>
          <w:p>
            <w:pPr>
              <w:spacing w:after="0"/>
              <w:rPr>
                <w:sz w:val="11"/>
                <w:szCs w:val="11"/>
                <w:color w:val="auto"/>
              </w:rPr>
            </w:pPr>
          </w:p>
        </w:tc>
        <w:tc>
          <w:tcPr>
            <w:tcW w:w="2280" w:type="dxa"/>
            <w:vAlign w:val="bottom"/>
            <w:gridSpan w:val="3"/>
          </w:tcPr>
          <w:p>
            <w:pPr>
              <w:jc w:val="right"/>
              <w:ind w:right="337"/>
              <w:spacing w:after="0" w:line="135" w:lineRule="exact"/>
              <w:rPr>
                <w:sz w:val="20"/>
                <w:szCs w:val="20"/>
                <w:color w:val="auto"/>
              </w:rPr>
            </w:pPr>
            <w:r>
              <w:rPr>
                <w:rFonts w:ascii="Arial" w:cs="Arial" w:eastAsia="Arial" w:hAnsi="Arial"/>
                <w:sz w:val="14"/>
                <w:szCs w:val="14"/>
                <w:b w:val="1"/>
                <w:bCs w:val="1"/>
                <w:color w:val="auto"/>
              </w:rPr>
              <w:t>(in thousands of pounds)</w:t>
            </w:r>
          </w:p>
        </w:tc>
        <w:tc>
          <w:tcPr>
            <w:tcW w:w="40" w:type="dxa"/>
            <w:vAlign w:val="bottom"/>
          </w:tcPr>
          <w:p>
            <w:pPr>
              <w:spacing w:after="0"/>
              <w:rPr>
                <w:sz w:val="11"/>
                <w:szCs w:val="11"/>
                <w:color w:val="auto"/>
              </w:rPr>
            </w:pPr>
          </w:p>
        </w:tc>
      </w:tr>
      <w:tr>
        <w:trPr>
          <w:trHeight w:val="207"/>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Audit fees</w:t>
            </w:r>
            <w:r>
              <w:rPr>
                <w:rFonts w:ascii="Arial" w:cs="Arial" w:eastAsia="Arial" w:hAnsi="Arial"/>
                <w:sz w:val="14"/>
                <w:szCs w:val="14"/>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368</w:t>
            </w:r>
          </w:p>
        </w:tc>
      </w:tr>
      <w:tr>
        <w:trPr>
          <w:trHeight w:val="207"/>
        </w:trPr>
        <w:tc>
          <w:tcPr>
            <w:tcW w:w="5700" w:type="dxa"/>
            <w:vAlign w:val="bottom"/>
          </w:tcPr>
          <w:p>
            <w:pPr>
              <w:spacing w:after="0"/>
              <w:rPr>
                <w:sz w:val="20"/>
                <w:szCs w:val="20"/>
                <w:color w:val="auto"/>
              </w:rPr>
            </w:pPr>
            <w:r>
              <w:rPr>
                <w:rFonts w:ascii="Arial" w:cs="Arial" w:eastAsia="Arial" w:hAnsi="Arial"/>
                <w:sz w:val="17"/>
                <w:szCs w:val="17"/>
                <w:color w:val="auto"/>
              </w:rPr>
              <w:t>Audit related fees</w:t>
            </w:r>
          </w:p>
        </w:tc>
        <w:tc>
          <w:tcPr>
            <w:tcW w:w="1600" w:type="dxa"/>
            <w:vAlign w:val="bottom"/>
            <w:gridSpan w:val="2"/>
          </w:tcPr>
          <w:p>
            <w:pPr>
              <w:jc w:val="right"/>
              <w:ind w:right="10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156</w:t>
            </w:r>
          </w:p>
        </w:tc>
      </w:tr>
      <w:tr>
        <w:trPr>
          <w:trHeight w:val="207"/>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Other fees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0" w:type="dxa"/>
            <w:vAlign w:val="bottom"/>
            <w:shd w:val="clear" w:color="auto" w:fill="CCEEFF"/>
          </w:tcPr>
          <w:p>
            <w:pPr>
              <w:spacing w:after="0"/>
              <w:rPr>
                <w:sz w:val="18"/>
                <w:szCs w:val="18"/>
                <w:color w:val="auto"/>
              </w:rPr>
            </w:pPr>
          </w:p>
        </w:tc>
      </w:tr>
      <w:tr>
        <w:trPr>
          <w:trHeight w:val="213"/>
        </w:trPr>
        <w:tc>
          <w:tcPr>
            <w:tcW w:w="5700" w:type="dxa"/>
            <w:vAlign w:val="bottom"/>
          </w:tcPr>
          <w:p>
            <w:pPr>
              <w:spacing w:after="0"/>
              <w:rPr>
                <w:sz w:val="20"/>
                <w:szCs w:val="20"/>
                <w:color w:val="auto"/>
              </w:rPr>
            </w:pPr>
            <w:r>
              <w:rPr>
                <w:rFonts w:ascii="Arial" w:cs="Arial" w:eastAsia="Arial" w:hAnsi="Arial"/>
                <w:sz w:val="17"/>
                <w:szCs w:val="17"/>
                <w:color w:val="auto"/>
              </w:rPr>
              <w:t>Total fees</w:t>
            </w:r>
          </w:p>
        </w:tc>
        <w:tc>
          <w:tcPr>
            <w:tcW w:w="600" w:type="dxa"/>
            <w:vAlign w:val="bottom"/>
          </w:tcPr>
          <w:p>
            <w:pPr>
              <w:jc w:val="right"/>
              <w:spacing w:after="0"/>
              <w:rPr>
                <w:sz w:val="20"/>
                <w:szCs w:val="20"/>
                <w:color w:val="auto"/>
              </w:rPr>
            </w:pPr>
            <w:r>
              <w:rPr>
                <w:rFonts w:ascii="Arial" w:cs="Arial" w:eastAsia="Arial" w:hAnsi="Arial"/>
                <w:sz w:val="17"/>
                <w:szCs w:val="17"/>
                <w:color w:val="auto"/>
              </w:rPr>
              <w:t>202</w:t>
            </w:r>
          </w:p>
        </w:tc>
        <w:tc>
          <w:tcPr>
            <w:tcW w:w="10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534</w:t>
            </w:r>
          </w:p>
        </w:tc>
      </w:tr>
      <w:tr>
        <w:trPr>
          <w:trHeight w:val="20"/>
        </w:trPr>
        <w:tc>
          <w:tcPr>
            <w:tcW w:w="5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90170</wp:posOffset>
            </wp:positionV>
            <wp:extent cx="6743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62" w:lineRule="exact"/>
        <w:rPr>
          <w:sz w:val="20"/>
          <w:szCs w:val="20"/>
          <w:color w:val="auto"/>
        </w:rPr>
      </w:pPr>
    </w:p>
    <w:p>
      <w:pPr>
        <w:ind w:left="840" w:right="340" w:hanging="409"/>
        <w:spacing w:after="0" w:line="284" w:lineRule="auto"/>
        <w:tabs>
          <w:tab w:leader="none" w:pos="8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Includes professional services rendered in connection with the audit of our annual financial statements and the review of our interim financial statements and services related to the company’s aborted initial public offering and other registration statements.</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960"/>
          </w:cols>
          <w:pgMar w:left="240" w:top="446" w:right="69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Audit Committee Pre-Approval Policies and Procedures</w:t>
      </w:r>
    </w:p>
    <w:p>
      <w:pPr>
        <w:spacing w:after="0" w:line="115" w:lineRule="exact"/>
        <w:rPr>
          <w:sz w:val="20"/>
          <w:szCs w:val="20"/>
          <w:color w:val="auto"/>
        </w:rPr>
      </w:pPr>
    </w:p>
    <w:p>
      <w:pPr>
        <w:ind w:left="440" w:right="20" w:firstLine="423"/>
        <w:spacing w:after="0" w:line="261" w:lineRule="auto"/>
        <w:rPr>
          <w:sz w:val="20"/>
          <w:szCs w:val="20"/>
          <w:color w:val="auto"/>
        </w:rPr>
      </w:pPr>
      <w:r>
        <w:rPr>
          <w:rFonts w:ascii="Arial" w:cs="Arial" w:eastAsia="Arial" w:hAnsi="Arial"/>
          <w:sz w:val="17"/>
          <w:szCs w:val="17"/>
          <w:color w:val="auto"/>
        </w:rPr>
        <w:t>Our audit committee’s specific responsibilities in carrying out its oversight of the quality and integrity of the accounting, auditing and reporting practices of Mereo include the approval of audit and non-audit services to be provided by the independent auditor before the auditor is engaged to render such services. The audit committee approves in advance the particular services or categories of services to be provided to Mereo during the following yearly period and also sets forth a specific budget for such audit and non-audit services. Additional non-audit services may be pre-approved by the audit committee.</w:t>
      </w:r>
    </w:p>
    <w:p>
      <w:pPr>
        <w:spacing w:after="0" w:line="317"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17"/>
          <w:szCs w:val="17"/>
          <w:b w:val="1"/>
          <w:bCs w:val="1"/>
          <w:color w:val="auto"/>
        </w:rPr>
        <w:t>Item 16D.</w:t>
      </w:r>
      <w:r>
        <w:rPr>
          <w:sz w:val="20"/>
          <w:szCs w:val="20"/>
          <w:color w:val="auto"/>
        </w:rPr>
        <w:tab/>
      </w:r>
      <w:r>
        <w:rPr>
          <w:rFonts w:ascii="Arial" w:cs="Arial" w:eastAsia="Arial" w:hAnsi="Arial"/>
          <w:sz w:val="15"/>
          <w:szCs w:val="15"/>
          <w:b w:val="1"/>
          <w:bCs w:val="1"/>
          <w:color w:val="auto"/>
        </w:rPr>
        <w:t>Exemptions From The Listing Standards For Audit Committees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None.</w:t>
      </w:r>
    </w:p>
    <w:p>
      <w:pPr>
        <w:spacing w:after="0" w:line="355"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17"/>
          <w:szCs w:val="17"/>
          <w:b w:val="1"/>
          <w:bCs w:val="1"/>
          <w:color w:val="auto"/>
        </w:rPr>
        <w:t>Item 16E.</w:t>
      </w:r>
      <w:r>
        <w:rPr>
          <w:sz w:val="20"/>
          <w:szCs w:val="20"/>
          <w:color w:val="auto"/>
        </w:rPr>
        <w:tab/>
      </w:r>
      <w:r>
        <w:rPr>
          <w:rFonts w:ascii="Arial" w:cs="Arial" w:eastAsia="Arial" w:hAnsi="Arial"/>
          <w:sz w:val="15"/>
          <w:szCs w:val="15"/>
          <w:b w:val="1"/>
          <w:bCs w:val="1"/>
          <w:color w:val="auto"/>
        </w:rPr>
        <w:t>Purchases of Equity Securities By The Issuer And Affiliated Purchasers</w:t>
      </w:r>
    </w:p>
    <w:p>
      <w:pPr>
        <w:spacing w:after="0" w:line="121" w:lineRule="exact"/>
        <w:rPr>
          <w:sz w:val="20"/>
          <w:szCs w:val="20"/>
          <w:color w:val="auto"/>
        </w:rPr>
      </w:pPr>
    </w:p>
    <w:p>
      <w:pPr>
        <w:ind w:left="440" w:right="160" w:firstLine="423"/>
        <w:spacing w:after="0" w:line="269" w:lineRule="auto"/>
        <w:rPr>
          <w:sz w:val="20"/>
          <w:szCs w:val="20"/>
          <w:color w:val="auto"/>
        </w:rPr>
      </w:pPr>
      <w:r>
        <w:rPr>
          <w:rFonts w:ascii="Arial" w:cs="Arial" w:eastAsia="Arial" w:hAnsi="Arial"/>
          <w:sz w:val="17"/>
          <w:szCs w:val="17"/>
          <w:color w:val="auto"/>
        </w:rPr>
        <w:t>In the year ending December 31, 2018, Mereo purchased 163,000 ordinary shares into Treasury through an Employee Benefit Trust (“EBT”). As at December 31, 2018 a total balance of £21,762 was held by EBT. Mereo utilizes the EBT to buy shares at nominal value from Mereo in sufficient quantity to fulfill awards made under the Mereo Share Plans.</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w:t>
            </w:r>
          </w:p>
        </w:tc>
        <w:tc>
          <w:tcPr>
            <w:tcW w:w="620" w:type="dxa"/>
            <w:vAlign w:val="bottom"/>
          </w:tcPr>
          <w:p>
            <w:pPr>
              <w:spacing w:after="0"/>
              <w:rPr>
                <w:sz w:val="14"/>
                <w:szCs w:val="14"/>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Maximum Number of</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Total Number of</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Ordinary Shares</w:t>
            </w:r>
          </w:p>
        </w:tc>
        <w:tc>
          <w:tcPr>
            <w:tcW w:w="620" w:type="dxa"/>
            <w:vAlign w:val="bottom"/>
          </w:tcPr>
          <w:p>
            <w:pPr>
              <w:spacing w:after="0"/>
              <w:rPr>
                <w:sz w:val="12"/>
                <w:szCs w:val="12"/>
                <w:color w:val="auto"/>
              </w:rPr>
            </w:pPr>
          </w:p>
        </w:tc>
        <w:tc>
          <w:tcPr>
            <w:tcW w:w="138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90"/>
              </w:rPr>
              <w:t>Ordinary Shares that</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 Paid Per</w:t>
            </w: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Purchased as Part of</w:t>
            </w:r>
          </w:p>
        </w:tc>
        <w:tc>
          <w:tcPr>
            <w:tcW w:w="620" w:type="dxa"/>
            <w:vAlign w:val="bottom"/>
          </w:tcPr>
          <w:p>
            <w:pPr>
              <w:spacing w:after="0"/>
              <w:rPr>
                <w:sz w:val="12"/>
                <w:szCs w:val="12"/>
                <w:color w:val="auto"/>
              </w:rPr>
            </w:pPr>
          </w:p>
        </w:tc>
        <w:tc>
          <w:tcPr>
            <w:tcW w:w="138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89"/>
              </w:rPr>
              <w:t>May Yet Be Purchased</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gridSpan w:val="2"/>
          </w:tcPr>
          <w:p>
            <w:pPr>
              <w:jc w:val="center"/>
              <w:ind w:right="640"/>
              <w:spacing w:after="0" w:line="143" w:lineRule="exact"/>
              <w:rPr>
                <w:sz w:val="20"/>
                <w:szCs w:val="20"/>
                <w:color w:val="auto"/>
              </w:rPr>
            </w:pPr>
            <w:r>
              <w:rPr>
                <w:rFonts w:ascii="Arial" w:cs="Arial" w:eastAsia="Arial" w:hAnsi="Arial"/>
                <w:sz w:val="14"/>
                <w:szCs w:val="14"/>
                <w:b w:val="1"/>
                <w:bCs w:val="1"/>
                <w:color w:val="auto"/>
                <w:w w:val="89"/>
              </w:rPr>
              <w:t>Ordinary Shares</w:t>
            </w:r>
          </w:p>
        </w:tc>
        <w:tc>
          <w:tcPr>
            <w:tcW w:w="1980" w:type="dxa"/>
            <w:vAlign w:val="bottom"/>
            <w:gridSpan w:val="3"/>
            <w:vMerge w:val="continue"/>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Publicly Announced</w:t>
            </w:r>
          </w:p>
        </w:tc>
        <w:tc>
          <w:tcPr>
            <w:tcW w:w="620" w:type="dxa"/>
            <w:vAlign w:val="bottom"/>
          </w:tcPr>
          <w:p>
            <w:pPr>
              <w:spacing w:after="0"/>
              <w:rPr>
                <w:sz w:val="12"/>
                <w:szCs w:val="12"/>
                <w:color w:val="auto"/>
              </w:rPr>
            </w:pPr>
          </w:p>
        </w:tc>
        <w:tc>
          <w:tcPr>
            <w:tcW w:w="138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6"/>
              </w:rPr>
              <w:t>Ordinary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Programs(1)</w:t>
            </w:r>
          </w:p>
        </w:tc>
        <w:tc>
          <w:tcPr>
            <w:tcW w:w="620" w:type="dxa"/>
            <w:vAlign w:val="bottom"/>
          </w:tcPr>
          <w:p>
            <w:pPr>
              <w:spacing w:after="0"/>
              <w:rPr>
                <w:sz w:val="14"/>
                <w:szCs w:val="14"/>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2800" w:type="dxa"/>
            <w:vAlign w:val="bottom"/>
            <w:tcBorders>
              <w:top w:val="single" w:sz="8" w:color="CCEEFF"/>
            </w:tcBorders>
            <w:gridSpan w:val="2"/>
            <w:shd w:val="clear" w:color="auto" w:fill="CCEEFF"/>
          </w:tcPr>
          <w:p>
            <w:pPr>
              <w:spacing w:after="0" w:line="175" w:lineRule="exact"/>
              <w:rPr>
                <w:sz w:val="20"/>
                <w:szCs w:val="20"/>
                <w:color w:val="auto"/>
              </w:rPr>
            </w:pPr>
            <w:r>
              <w:rPr>
                <w:rFonts w:ascii="Arial" w:cs="Arial" w:eastAsia="Arial" w:hAnsi="Arial"/>
                <w:sz w:val="17"/>
                <w:szCs w:val="17"/>
                <w:color w:val="auto"/>
              </w:rPr>
              <w:t>Month #1 (October 1, 2018 –</w:t>
            </w:r>
          </w:p>
        </w:tc>
        <w:tc>
          <w:tcPr>
            <w:tcW w:w="10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28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October 31, 2018)</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131,487</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1.90</w:t>
            </w:r>
          </w:p>
        </w:tc>
        <w:tc>
          <w:tcPr>
            <w:tcW w:w="13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220" w:type="dxa"/>
            <w:vAlign w:val="bottom"/>
            <w:gridSpan w:val="3"/>
          </w:tcPr>
          <w:p>
            <w:pPr>
              <w:ind w:left="420"/>
              <w:spacing w:after="0"/>
              <w:rPr>
                <w:sz w:val="20"/>
                <w:szCs w:val="20"/>
                <w:color w:val="auto"/>
              </w:rPr>
            </w:pPr>
            <w:r>
              <w:rPr>
                <w:rFonts w:ascii="Arial" w:cs="Arial" w:eastAsia="Arial" w:hAnsi="Arial"/>
                <w:sz w:val="17"/>
                <w:szCs w:val="17"/>
                <w:color w:val="auto"/>
              </w:rPr>
              <w:t>Month #2 (December 1, 2018 –</w:t>
            </w:r>
          </w:p>
        </w:tc>
        <w:tc>
          <w:tcPr>
            <w:tcW w:w="100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2800" w:type="dxa"/>
            <w:vAlign w:val="bottom"/>
            <w:gridSpan w:val="2"/>
          </w:tcPr>
          <w:p>
            <w:pPr>
              <w:ind w:left="180"/>
              <w:spacing w:after="0"/>
              <w:rPr>
                <w:sz w:val="20"/>
                <w:szCs w:val="20"/>
                <w:color w:val="auto"/>
              </w:rPr>
            </w:pPr>
            <w:r>
              <w:rPr>
                <w:rFonts w:ascii="Arial" w:cs="Arial" w:eastAsia="Arial" w:hAnsi="Arial"/>
                <w:sz w:val="17"/>
                <w:szCs w:val="17"/>
                <w:color w:val="auto"/>
              </w:rPr>
              <w:t>December 31, 2018)</w:t>
            </w:r>
          </w:p>
        </w:tc>
        <w:tc>
          <w:tcPr>
            <w:tcW w:w="1000" w:type="dxa"/>
            <w:vAlign w:val="bottom"/>
          </w:tcPr>
          <w:p>
            <w:pPr>
              <w:jc w:val="right"/>
              <w:spacing w:after="0"/>
              <w:rPr>
                <w:sz w:val="20"/>
                <w:szCs w:val="20"/>
                <w:color w:val="auto"/>
              </w:rPr>
            </w:pPr>
            <w:r>
              <w:rPr>
                <w:rFonts w:ascii="Arial" w:cs="Arial" w:eastAsia="Arial" w:hAnsi="Arial"/>
                <w:sz w:val="17"/>
                <w:szCs w:val="17"/>
                <w:color w:val="auto"/>
              </w:rPr>
              <w:t>31,513</w:t>
            </w:r>
          </w:p>
        </w:tc>
        <w:tc>
          <w:tcPr>
            <w:tcW w:w="6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620"/>
              <w:spacing w:after="0"/>
              <w:rPr>
                <w:sz w:val="20"/>
                <w:szCs w:val="20"/>
                <w:color w:val="auto"/>
              </w:rPr>
            </w:pPr>
            <w:r>
              <w:rPr>
                <w:rFonts w:ascii="Arial" w:cs="Arial" w:eastAsia="Arial" w:hAnsi="Arial"/>
                <w:sz w:val="17"/>
                <w:szCs w:val="17"/>
                <w:color w:val="auto"/>
              </w:rPr>
              <w:t>1.80</w:t>
            </w:r>
          </w:p>
        </w:tc>
        <w:tc>
          <w:tcPr>
            <w:tcW w:w="1300" w:type="dxa"/>
            <w:vAlign w:val="bottom"/>
          </w:tcPr>
          <w:p>
            <w:pPr>
              <w:ind w:left="104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163,000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1.88</w:t>
            </w:r>
          </w:p>
        </w:tc>
        <w:tc>
          <w:tcPr>
            <w:tcW w:w="13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40" w:hanging="409"/>
        <w:spacing w:after="0"/>
        <w:tabs>
          <w:tab w:leader="none" w:pos="8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ordinary shares were not purchased as part of a publicly announced plan or program.</w:t>
      </w:r>
    </w:p>
    <w:p>
      <w:pPr>
        <w:spacing w:after="0" w:line="355"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17"/>
          <w:szCs w:val="17"/>
          <w:b w:val="1"/>
          <w:bCs w:val="1"/>
          <w:color w:val="auto"/>
        </w:rPr>
        <w:t>Item 16F.</w:t>
      </w:r>
      <w:r>
        <w:rPr>
          <w:sz w:val="20"/>
          <w:szCs w:val="20"/>
          <w:color w:val="auto"/>
        </w:rPr>
        <w:tab/>
      </w:r>
      <w:r>
        <w:rPr>
          <w:rFonts w:ascii="Arial" w:cs="Arial" w:eastAsia="Arial" w:hAnsi="Arial"/>
          <w:sz w:val="15"/>
          <w:szCs w:val="15"/>
          <w:b w:val="1"/>
          <w:bCs w:val="1"/>
          <w:color w:val="auto"/>
        </w:rPr>
        <w:t>Change In Registrant’s Certifying Accountant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None.</w:t>
      </w:r>
    </w:p>
    <w:p>
      <w:pPr>
        <w:spacing w:after="0" w:line="355"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17"/>
          <w:szCs w:val="17"/>
          <w:b w:val="1"/>
          <w:bCs w:val="1"/>
          <w:color w:val="auto"/>
        </w:rPr>
        <w:t>Item 16G.</w:t>
      </w:r>
      <w:r>
        <w:rPr>
          <w:sz w:val="20"/>
          <w:szCs w:val="20"/>
          <w:color w:val="auto"/>
        </w:rPr>
        <w:tab/>
      </w:r>
      <w:r>
        <w:rPr>
          <w:rFonts w:ascii="Arial" w:cs="Arial" w:eastAsia="Arial" w:hAnsi="Arial"/>
          <w:sz w:val="15"/>
          <w:szCs w:val="15"/>
          <w:b w:val="1"/>
          <w:bCs w:val="1"/>
          <w:color w:val="auto"/>
        </w:rPr>
        <w:t>Corporate Governance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Foreign Private Issuer Exemption</w:t>
      </w:r>
    </w:p>
    <w:p>
      <w:pPr>
        <w:spacing w:after="0" w:line="121" w:lineRule="exact"/>
        <w:rPr>
          <w:sz w:val="20"/>
          <w:szCs w:val="20"/>
          <w:color w:val="auto"/>
        </w:rPr>
      </w:pPr>
    </w:p>
    <w:p>
      <w:pPr>
        <w:jc w:val="both"/>
        <w:ind w:left="440" w:firstLine="423"/>
        <w:spacing w:after="0" w:line="293" w:lineRule="auto"/>
        <w:rPr>
          <w:sz w:val="20"/>
          <w:szCs w:val="20"/>
          <w:color w:val="auto"/>
        </w:rPr>
      </w:pPr>
      <w:r>
        <w:rPr>
          <w:rFonts w:ascii="Arial" w:cs="Arial" w:eastAsia="Arial" w:hAnsi="Arial"/>
          <w:sz w:val="16"/>
          <w:szCs w:val="16"/>
          <w:color w:val="auto"/>
        </w:rPr>
        <w:t>As a “foreign private issuer,” as defined by the SEC, Mereo is permitted to follow home country corporate governance practices, instead of certain corporate governance practices required by Nasdaq for U.S. domestic issuers. While Mereo intends to follow most Nasdaq corporate governance rules, it intends to follow U.K. corporate governance practices in lieu of Nasdaq corporate governance rules as follows:</w:t>
      </w:r>
    </w:p>
    <w:p>
      <w:pPr>
        <w:spacing w:after="0" w:line="64" w:lineRule="exact"/>
        <w:rPr>
          <w:sz w:val="20"/>
          <w:szCs w:val="20"/>
          <w:color w:val="auto"/>
        </w:rPr>
      </w:pPr>
    </w:p>
    <w:p>
      <w:pPr>
        <w:ind w:left="1260" w:right="80" w:hanging="415"/>
        <w:spacing w:after="0" w:line="269" w:lineRule="auto"/>
        <w:tabs>
          <w:tab w:leader="none" w:pos="12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Mereo does not intend to follow Nasdaq Rule 5620(c) regarding quorum requirements applicable to meetings of shareholders. Such quorum requirements are not required under English law. In accordance with generally accepted business practice, Mereo’s Articles provide alternative quorum requirements that are generally applicable to meetings of shareholders.</w:t>
      </w:r>
    </w:p>
    <w:p>
      <w:pPr>
        <w:spacing w:after="0" w:line="80" w:lineRule="exact"/>
        <w:rPr>
          <w:rFonts w:ascii="Arial" w:cs="Arial" w:eastAsia="Arial" w:hAnsi="Arial"/>
          <w:sz w:val="17"/>
          <w:szCs w:val="17"/>
          <w:color w:val="auto"/>
        </w:rPr>
      </w:pPr>
    </w:p>
    <w:p>
      <w:pPr>
        <w:ind w:left="1260" w:right="260" w:hanging="415"/>
        <w:spacing w:after="0" w:line="284" w:lineRule="auto"/>
        <w:tabs>
          <w:tab w:leader="none" w:pos="12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Mereo does not intend to follow Nasdaq Rule 5605(b)(2), which requires that independent directors regularly have scheduled meetings at which only independent directors are present.</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000"/>
          </w:cols>
          <w:pgMar w:left="240" w:top="446" w:right="65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20" w:firstLine="423"/>
        <w:spacing w:after="0" w:line="321" w:lineRule="auto"/>
        <w:rPr>
          <w:sz w:val="20"/>
          <w:szCs w:val="20"/>
          <w:color w:val="auto"/>
        </w:rPr>
      </w:pPr>
      <w:r>
        <w:rPr>
          <w:rFonts w:ascii="Arial" w:cs="Arial" w:eastAsia="Arial" w:hAnsi="Arial"/>
          <w:sz w:val="15"/>
          <w:szCs w:val="15"/>
          <w:color w:val="auto"/>
        </w:rPr>
        <w:t>Although Mereo may rely on certain home country corporate governance practices, Mereo must comply with Nasdaq Rule 5640 Notification of Noncompliance and Rule 5640 Voting Rights. Further, Mereo must have an audit committee that satisfies Rule 5605(c)(3), which addresses audit committee responsibilities and authority, and that consists of committee members that meet the independence requirements of Rule 5605(c)(2)(A)(ii).</w:t>
      </w:r>
    </w:p>
    <w:p>
      <w:pPr>
        <w:spacing w:after="0" w:line="137" w:lineRule="exact"/>
        <w:rPr>
          <w:sz w:val="20"/>
          <w:szCs w:val="20"/>
          <w:color w:val="auto"/>
        </w:rPr>
      </w:pPr>
    </w:p>
    <w:p>
      <w:pPr>
        <w:ind w:left="440" w:right="340" w:firstLine="423"/>
        <w:spacing w:after="0" w:line="354" w:lineRule="auto"/>
        <w:rPr>
          <w:sz w:val="20"/>
          <w:szCs w:val="20"/>
          <w:color w:val="auto"/>
        </w:rPr>
      </w:pPr>
      <w:r>
        <w:rPr>
          <w:rFonts w:ascii="Arial" w:cs="Arial" w:eastAsia="Arial" w:hAnsi="Arial"/>
          <w:sz w:val="15"/>
          <w:szCs w:val="15"/>
          <w:color w:val="auto"/>
        </w:rPr>
        <w:t>Mereo intends to take all actions necessary for it to maintain compliance as a foreign private issuer under the applicable corporate governance requirements of the Sarbanes-Oxley Act of 2002, the rules adopted by the SEC and the Nasdaq corporate governance rules and listing standards.</w:t>
      </w:r>
    </w:p>
    <w:p>
      <w:pPr>
        <w:spacing w:after="0" w:line="113" w:lineRule="exact"/>
        <w:rPr>
          <w:sz w:val="20"/>
          <w:szCs w:val="20"/>
          <w:color w:val="auto"/>
        </w:rPr>
      </w:pPr>
    </w:p>
    <w:p>
      <w:pPr>
        <w:ind w:left="440" w:right="340" w:firstLine="423"/>
        <w:spacing w:after="0" w:line="269" w:lineRule="auto"/>
        <w:rPr>
          <w:sz w:val="20"/>
          <w:szCs w:val="20"/>
          <w:color w:val="auto"/>
        </w:rPr>
      </w:pPr>
      <w:r>
        <w:rPr>
          <w:rFonts w:ascii="Arial" w:cs="Arial" w:eastAsia="Arial" w:hAnsi="Arial"/>
          <w:sz w:val="17"/>
          <w:szCs w:val="17"/>
          <w:color w:val="auto"/>
        </w:rPr>
        <w:t>Because Mereo is a foreign private issuer, Mereo’s directors and senior management are not subject to short-swing profit and insider trading reporting obligations under Section 16 of the Exchange Act. Mereo will, however, be subject to the obligations to report changes in share ownership under Section 13 of the Exchange Act and related SEC rules.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Compliance with the Quoted Companies Alliance Corporate Governance Code</w:t>
      </w:r>
    </w:p>
    <w:p>
      <w:pPr>
        <w:spacing w:after="0" w:line="121" w:lineRule="exact"/>
        <w:rPr>
          <w:sz w:val="20"/>
          <w:szCs w:val="20"/>
          <w:color w:val="auto"/>
        </w:rPr>
      </w:pPr>
    </w:p>
    <w:p>
      <w:pPr>
        <w:jc w:val="both"/>
        <w:ind w:left="440" w:right="260" w:firstLine="423"/>
        <w:spacing w:after="0" w:line="321" w:lineRule="auto"/>
        <w:rPr>
          <w:sz w:val="20"/>
          <w:szCs w:val="20"/>
          <w:color w:val="auto"/>
        </w:rPr>
      </w:pPr>
      <w:r>
        <w:rPr>
          <w:rFonts w:ascii="Arial" w:cs="Arial" w:eastAsia="Arial" w:hAnsi="Arial"/>
          <w:sz w:val="15"/>
          <w:szCs w:val="15"/>
          <w:color w:val="auto"/>
        </w:rPr>
        <w:t>All companies with securities admitted to trading on AIM are required to include on their website details of a recognized corporate governance code that the board of directors of the company has decided to apply, how the company complies with that code, and where it departs from its chosen corporate governance code an explanation of the reasons for doing so. This information is required to be reviewed annually.</w:t>
      </w:r>
    </w:p>
    <w:p>
      <w:pPr>
        <w:spacing w:after="0" w:line="137" w:lineRule="exact"/>
        <w:rPr>
          <w:sz w:val="20"/>
          <w:szCs w:val="20"/>
          <w:color w:val="auto"/>
        </w:rPr>
      </w:pPr>
    </w:p>
    <w:p>
      <w:pPr>
        <w:ind w:left="440" w:right="520" w:firstLine="423"/>
        <w:spacing w:after="0" w:line="284" w:lineRule="auto"/>
        <w:rPr>
          <w:sz w:val="20"/>
          <w:szCs w:val="20"/>
          <w:color w:val="auto"/>
        </w:rPr>
      </w:pPr>
      <w:r>
        <w:rPr>
          <w:rFonts w:ascii="Arial" w:cs="Arial" w:eastAsia="Arial" w:hAnsi="Arial"/>
          <w:sz w:val="17"/>
          <w:szCs w:val="17"/>
          <w:color w:val="auto"/>
        </w:rPr>
        <w:t>Mereo applies the Corporate Governance Code published by the Quoted Companies Alliance (the “QCA Code”). The QCA Code sets out a standard of minimum best practice for small and midsize quoted companies in the U.K.</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Mereo Shareholder Rights Under U.K. Law</w:t>
      </w:r>
    </w:p>
    <w:p>
      <w:pPr>
        <w:spacing w:after="0" w:line="121" w:lineRule="exact"/>
        <w:rPr>
          <w:sz w:val="20"/>
          <w:szCs w:val="20"/>
          <w:color w:val="auto"/>
        </w:rPr>
      </w:pPr>
    </w:p>
    <w:p>
      <w:pPr>
        <w:ind w:left="440" w:right="20" w:firstLine="423"/>
        <w:spacing w:after="0" w:line="284" w:lineRule="auto"/>
        <w:rPr>
          <w:sz w:val="20"/>
          <w:szCs w:val="20"/>
          <w:color w:val="auto"/>
        </w:rPr>
      </w:pPr>
      <w:r>
        <w:rPr>
          <w:rFonts w:ascii="Arial" w:cs="Arial" w:eastAsia="Arial" w:hAnsi="Arial"/>
          <w:sz w:val="17"/>
          <w:szCs w:val="17"/>
          <w:color w:val="auto"/>
        </w:rPr>
        <w:t>The rights of the holders of our ordinary shares are governed by the laws of England and Wales and Mereo’s Articles. The rights of a holder of our ADSs are also be governed by the deposit agreement.</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Purchase and Redemption Rights</w:t>
      </w:r>
    </w:p>
    <w:p>
      <w:pPr>
        <w:spacing w:after="0" w:line="115" w:lineRule="exact"/>
        <w:rPr>
          <w:sz w:val="20"/>
          <w:szCs w:val="20"/>
          <w:color w:val="auto"/>
        </w:rPr>
      </w:pPr>
    </w:p>
    <w:p>
      <w:pPr>
        <w:ind w:left="440" w:right="60" w:firstLine="423"/>
        <w:spacing w:after="0" w:line="269" w:lineRule="auto"/>
        <w:rPr>
          <w:sz w:val="20"/>
          <w:szCs w:val="20"/>
          <w:color w:val="auto"/>
        </w:rPr>
      </w:pPr>
      <w:r>
        <w:rPr>
          <w:rFonts w:ascii="Arial" w:cs="Arial" w:eastAsia="Arial" w:hAnsi="Arial"/>
          <w:sz w:val="17"/>
          <w:szCs w:val="17"/>
          <w:color w:val="auto"/>
        </w:rPr>
        <w:t>Under the U.K. Companies Act 2006, a public limited company may issue redeemable shares if authorized by its articles of association, subject to any conditions stated therein. No redeemable shares may be issued at a time when there are no issued shares of the company existing which are not redeemable.</w:t>
      </w:r>
    </w:p>
    <w:p>
      <w:pPr>
        <w:spacing w:after="0" w:line="171" w:lineRule="exact"/>
        <w:rPr>
          <w:sz w:val="20"/>
          <w:szCs w:val="20"/>
          <w:color w:val="auto"/>
        </w:rPr>
      </w:pPr>
    </w:p>
    <w:p>
      <w:pPr>
        <w:ind w:left="440" w:right="60" w:firstLine="423"/>
        <w:spacing w:after="0" w:line="284" w:lineRule="auto"/>
        <w:rPr>
          <w:sz w:val="20"/>
          <w:szCs w:val="20"/>
          <w:color w:val="auto"/>
        </w:rPr>
      </w:pPr>
      <w:r>
        <w:rPr>
          <w:rFonts w:ascii="Arial" w:cs="Arial" w:eastAsia="Arial" w:hAnsi="Arial"/>
          <w:sz w:val="17"/>
          <w:szCs w:val="17"/>
          <w:color w:val="auto"/>
        </w:rPr>
        <w:t>Under the U.K. Companies Act 2006, a company may redeem shares only if the shares are fully paid and, in the case of public limited companies, only out of: (1) distributable profits; or (2) the proceeds of a new issue of shares made for the purpose of such redemption.</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Preemptive Rights</w:t>
      </w:r>
    </w:p>
    <w:p>
      <w:pPr>
        <w:spacing w:after="0" w:line="115" w:lineRule="exact"/>
        <w:rPr>
          <w:sz w:val="20"/>
          <w:szCs w:val="20"/>
          <w:color w:val="auto"/>
        </w:rPr>
      </w:pPr>
    </w:p>
    <w:p>
      <w:pPr>
        <w:ind w:left="440" w:firstLine="423"/>
        <w:spacing w:after="0" w:line="278" w:lineRule="auto"/>
        <w:rPr>
          <w:sz w:val="20"/>
          <w:szCs w:val="20"/>
          <w:color w:val="auto"/>
        </w:rPr>
      </w:pPr>
      <w:r>
        <w:rPr>
          <w:rFonts w:ascii="Arial" w:cs="Arial" w:eastAsia="Arial" w:hAnsi="Arial"/>
          <w:sz w:val="16"/>
          <w:szCs w:val="16"/>
          <w:color w:val="auto"/>
        </w:rPr>
        <w:t>Under the U.K. Companies Act 2006, the issuance of “equity securities” (being (1) shares in a company other than shares that, with respect to dividends and capital, carry a right to participate only up to a specified amount in a distribution or (2) rights to subscribe for, or to convert securities into, such shares) that are to be paid for wholly in cash must be offered first to the existing holders of Mereo Shares in proportion to the respective nominal values (i.e., par values) of their holdings on the same or more favorable terms, unless an exception applies or a special resolution to the contrary has been passed or the articles of association otherwise provide, in each case in accordance with the provisions of the U.K. Companies Act 2006 and Mereo’s Articles. An exclusion of pre-emptive rights can be granted for a maximum of five years from the date that Mereo’s directors are granted authority to allot the relevant Mereo ordinary shares, after which shareholders’ approval would be required to renew such exclusion.</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Inspection Rights</w:t>
      </w:r>
    </w:p>
    <w:p>
      <w:pPr>
        <w:spacing w:after="0" w:line="115"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Under English law, a company must retain and keep available for inspection by shareholders, free of charge, and by any other person on payment of a prescribed fee, its register of members. It must also keep available for inspection by shareholders, free of charge, records of all resolutions passed by and minutes of meetings of shareholders for a period of at least ten years from the date of the relevant resolution or meeting, and for a fee, provide copies of such records to shareholders who request them.</w:t>
      </w:r>
    </w:p>
    <w:p>
      <w:pPr>
        <w:spacing w:after="0" w:line="11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000"/>
          </w:cols>
          <w:pgMar w:left="240" w:top="445" w:right="65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Appraisal Rights</w:t>
      </w:r>
    </w:p>
    <w:p>
      <w:pPr>
        <w:spacing w:after="0" w:line="115" w:lineRule="exact"/>
        <w:rPr>
          <w:sz w:val="20"/>
          <w:szCs w:val="20"/>
          <w:color w:val="auto"/>
        </w:rPr>
      </w:pPr>
    </w:p>
    <w:p>
      <w:pPr>
        <w:ind w:left="440" w:right="20" w:firstLine="423"/>
        <w:spacing w:after="0" w:line="293" w:lineRule="auto"/>
        <w:rPr>
          <w:sz w:val="20"/>
          <w:szCs w:val="20"/>
          <w:color w:val="auto"/>
        </w:rPr>
      </w:pPr>
      <w:r>
        <w:rPr>
          <w:rFonts w:ascii="Arial" w:cs="Arial" w:eastAsia="Arial" w:hAnsi="Arial"/>
          <w:sz w:val="16"/>
          <w:szCs w:val="16"/>
          <w:color w:val="auto"/>
        </w:rPr>
        <w:t>There is no mandatory provision in English law for appraisal rights. Such rights could, in theory, be provided for in the articles of association or in a shareholders’ agreement. Mereo’s Articles do not provide for appraisal/dissenters’ rights. However, English law provides dissenters’ rights which would permit a shareholder to object to a court of England and Wales in the context of the compulsory acquisition of minority shares.</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Votes on Certain Transactions</w:t>
      </w:r>
    </w:p>
    <w:p>
      <w:pPr>
        <w:spacing w:after="0" w:line="115"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7"/>
          <w:szCs w:val="17"/>
          <w:color w:val="auto"/>
        </w:rPr>
        <w:t>The U.K. Companies Act 2006 provides for schemes of arrangement, which are arrangements or compromises between a company and any class of shareholders or creditors and used in certain types of reconstructions, amalgamations, capital reorganizations or takeovers. These arrangements require: (1) the approval, at a shareholders’ or creditors’ meeting convened by order of a court of England and Wales, of a majority in number representing 75% in value of the creditors or class of creditors or members or class of members (as the case may be) present and voting, either in person or by proxy; and (2) the approval of a court of England and Wales.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Amendment of Corporate Governance Documents</w:t>
      </w:r>
    </w:p>
    <w:p>
      <w:pPr>
        <w:spacing w:after="0" w:line="115" w:lineRule="exact"/>
        <w:rPr>
          <w:sz w:val="20"/>
          <w:szCs w:val="20"/>
          <w:color w:val="auto"/>
        </w:rPr>
      </w:pPr>
    </w:p>
    <w:p>
      <w:pPr>
        <w:ind w:left="440" w:right="300" w:firstLine="423"/>
        <w:spacing w:after="0" w:line="284" w:lineRule="auto"/>
        <w:rPr>
          <w:sz w:val="20"/>
          <w:szCs w:val="20"/>
          <w:color w:val="auto"/>
        </w:rPr>
      </w:pPr>
      <w:r>
        <w:rPr>
          <w:rFonts w:ascii="Arial" w:cs="Arial" w:eastAsia="Arial" w:hAnsi="Arial"/>
          <w:sz w:val="17"/>
          <w:szCs w:val="17"/>
          <w:color w:val="auto"/>
        </w:rPr>
        <w:t>Under the U.K. Companies Act 2006, a company incorporated in England and Wales may amend its articles of association by way of a special resolution.</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Shareholder Action by Written Consent</w:t>
      </w:r>
    </w:p>
    <w:p>
      <w:pPr>
        <w:spacing w:after="0" w:line="115" w:lineRule="exact"/>
        <w:rPr>
          <w:sz w:val="20"/>
          <w:szCs w:val="20"/>
          <w:color w:val="auto"/>
        </w:rPr>
      </w:pPr>
    </w:p>
    <w:p>
      <w:pPr>
        <w:ind w:left="440" w:right="320" w:firstLine="423"/>
        <w:spacing w:after="0" w:line="284" w:lineRule="auto"/>
        <w:rPr>
          <w:sz w:val="20"/>
          <w:szCs w:val="20"/>
          <w:color w:val="auto"/>
        </w:rPr>
      </w:pPr>
      <w:r>
        <w:rPr>
          <w:rFonts w:ascii="Arial" w:cs="Arial" w:eastAsia="Arial" w:hAnsi="Arial"/>
          <w:sz w:val="17"/>
          <w:szCs w:val="17"/>
          <w:color w:val="auto"/>
        </w:rPr>
        <w:t>Under the U.K. Companies Act 2006, a resolution of the members (or of a class of members) of a public company must be passed at a general meeting of the members. Written resolutions are not permitted.</w:t>
      </w:r>
    </w:p>
    <w:p>
      <w:pPr>
        <w:spacing w:after="0" w:line="159" w:lineRule="exact"/>
        <w:rPr>
          <w:sz w:val="20"/>
          <w:szCs w:val="20"/>
          <w:color w:val="auto"/>
        </w:rPr>
      </w:pPr>
    </w:p>
    <w:p>
      <w:pPr>
        <w:ind w:left="440" w:firstLine="423"/>
        <w:spacing w:after="0" w:line="297" w:lineRule="auto"/>
        <w:rPr>
          <w:sz w:val="20"/>
          <w:szCs w:val="20"/>
          <w:color w:val="auto"/>
        </w:rPr>
      </w:pPr>
      <w:r>
        <w:rPr>
          <w:rFonts w:ascii="Arial" w:cs="Arial" w:eastAsia="Arial" w:hAnsi="Arial"/>
          <w:sz w:val="15"/>
          <w:szCs w:val="15"/>
          <w:color w:val="auto"/>
        </w:rPr>
        <w:t>Notwithstanding the foregoing: (1) English law currently provides that certain matters could be effected by a company otherwise than by passing a resolution where it can be shown that all shareholders of that company have provided unanimous informed consented to the relevant matter; and</w:t>
      </w:r>
    </w:p>
    <w:p>
      <w:pPr>
        <w:ind w:left="440" w:right="160" w:hanging="9"/>
        <w:spacing w:after="0" w:line="261" w:lineRule="auto"/>
        <w:tabs>
          <w:tab w:leader="none" w:pos="68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under the U.K. Companies Act 2006, rights attached to a class of the company’s shares may, where the company’s articles contain no provision for the variation of the relevant rights, be carried by consent in writing from the holders of at least three-quarters in nominal value of the issued shares of that class.</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Shareholder Meetings</w:t>
      </w:r>
    </w:p>
    <w:p>
      <w:pPr>
        <w:spacing w:after="0" w:line="115" w:lineRule="exact"/>
        <w:rPr>
          <w:sz w:val="20"/>
          <w:szCs w:val="20"/>
          <w:color w:val="auto"/>
        </w:rPr>
      </w:pPr>
    </w:p>
    <w:p>
      <w:pPr>
        <w:ind w:left="440" w:right="20" w:firstLine="423"/>
        <w:spacing w:after="0" w:line="284" w:lineRule="auto"/>
        <w:rPr>
          <w:sz w:val="20"/>
          <w:szCs w:val="20"/>
          <w:color w:val="auto"/>
        </w:rPr>
      </w:pPr>
      <w:r>
        <w:rPr>
          <w:rFonts w:ascii="Arial" w:cs="Arial" w:eastAsia="Arial" w:hAnsi="Arial"/>
          <w:sz w:val="17"/>
          <w:szCs w:val="17"/>
          <w:color w:val="auto"/>
        </w:rPr>
        <w:t>The U.K. Companies Act 2006 requires that a public limited company, such as Mereo, must convene an annual general meeting within six months following its accounting reference date.</w:t>
      </w:r>
    </w:p>
    <w:p>
      <w:pPr>
        <w:spacing w:after="0" w:line="159" w:lineRule="exact"/>
        <w:rPr>
          <w:sz w:val="20"/>
          <w:szCs w:val="20"/>
          <w:color w:val="auto"/>
        </w:rPr>
      </w:pPr>
    </w:p>
    <w:p>
      <w:pPr>
        <w:ind w:left="440" w:right="40" w:firstLine="423"/>
        <w:spacing w:after="0" w:line="284" w:lineRule="auto"/>
        <w:rPr>
          <w:sz w:val="20"/>
          <w:szCs w:val="20"/>
          <w:color w:val="auto"/>
        </w:rPr>
      </w:pPr>
      <w:r>
        <w:rPr>
          <w:rFonts w:ascii="Arial" w:cs="Arial" w:eastAsia="Arial" w:hAnsi="Arial"/>
          <w:sz w:val="17"/>
          <w:szCs w:val="17"/>
          <w:color w:val="auto"/>
        </w:rPr>
        <w:t>Subject to the notice requirements of the U.K. Companies Act 2006 outlined below, a general meeting of the shareholders of Mereo may be called by the Mereo Board whenever and at such times and places as it shall determine.</w:t>
      </w:r>
    </w:p>
    <w:p>
      <w:pPr>
        <w:spacing w:after="0" w:line="159"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A general meeting may also be convened by the Mereo Board on the requisition of Mereo shareholders who hold at least 5% of the paid-up capital of Mereo carrying voting rights at a general meeting.</w:t>
      </w:r>
    </w:p>
    <w:p>
      <w:pPr>
        <w:spacing w:after="0" w:line="159" w:lineRule="exact"/>
        <w:rPr>
          <w:sz w:val="20"/>
          <w:szCs w:val="20"/>
          <w:color w:val="auto"/>
        </w:rPr>
      </w:pPr>
    </w:p>
    <w:p>
      <w:pPr>
        <w:ind w:left="440" w:firstLine="423"/>
        <w:spacing w:after="0" w:line="293" w:lineRule="auto"/>
        <w:rPr>
          <w:sz w:val="20"/>
          <w:szCs w:val="20"/>
          <w:color w:val="auto"/>
        </w:rPr>
      </w:pPr>
      <w:r>
        <w:rPr>
          <w:rFonts w:ascii="Arial" w:cs="Arial" w:eastAsia="Arial" w:hAnsi="Arial"/>
          <w:sz w:val="16"/>
          <w:szCs w:val="16"/>
          <w:color w:val="auto"/>
        </w:rPr>
        <w:t>General meetings at which special resolutions are proposed and passed generally involve proposals to change the name of the company, permit the company to issue new shares for cash without the shareholders’ pre-emptive right, amend the company’s articles of association, or carry out other matters where either the company’s articles of association or the U.K. Companies Act 2006 prescribe that a special resolution is required.</w:t>
      </w:r>
    </w:p>
    <w:p>
      <w:pPr>
        <w:spacing w:after="0" w:line="155" w:lineRule="exact"/>
        <w:rPr>
          <w:sz w:val="20"/>
          <w:szCs w:val="20"/>
          <w:color w:val="auto"/>
        </w:rPr>
      </w:pPr>
    </w:p>
    <w:p>
      <w:pPr>
        <w:ind w:left="440" w:right="200" w:firstLine="423"/>
        <w:spacing w:after="0" w:line="284" w:lineRule="auto"/>
        <w:rPr>
          <w:sz w:val="20"/>
          <w:szCs w:val="20"/>
          <w:color w:val="auto"/>
        </w:rPr>
      </w:pPr>
      <w:r>
        <w:rPr>
          <w:rFonts w:ascii="Arial" w:cs="Arial" w:eastAsia="Arial" w:hAnsi="Arial"/>
          <w:sz w:val="17"/>
          <w:szCs w:val="17"/>
          <w:color w:val="auto"/>
        </w:rPr>
        <w:t>Other proposals relating to the ordinary course of the company’s business, such as the election of directors, would generally be the subject of an ordinary resolution.</w:t>
      </w:r>
    </w:p>
    <w:p>
      <w:pPr>
        <w:spacing w:after="0" w:line="159" w:lineRule="exact"/>
        <w:rPr>
          <w:sz w:val="20"/>
          <w:szCs w:val="20"/>
          <w:color w:val="auto"/>
        </w:rPr>
      </w:pPr>
    </w:p>
    <w:p>
      <w:pPr>
        <w:ind w:left="440" w:right="20" w:firstLine="423"/>
        <w:spacing w:after="0" w:line="284" w:lineRule="auto"/>
        <w:rPr>
          <w:sz w:val="20"/>
          <w:szCs w:val="20"/>
          <w:color w:val="auto"/>
        </w:rPr>
      </w:pPr>
      <w:r>
        <w:rPr>
          <w:rFonts w:ascii="Arial" w:cs="Arial" w:eastAsia="Arial" w:hAnsi="Arial"/>
          <w:sz w:val="17"/>
          <w:szCs w:val="17"/>
          <w:color w:val="auto"/>
        </w:rPr>
        <w:t>Under the U.K. Companies Act 2006, 21 clear days’ notice must be given for an annual general meeting and any resolutions to be proposed at that meeting. At least 14 clear days’ notice is required for any other general meeting.</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In addition, certain matters, such as the removal of directors or auditors, require special notice, which is 28 clear days’ notice.</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980"/>
          </w:cols>
          <w:pgMar w:left="240" w:top="445" w:right="67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Shareholder Proposals and Shareholder Nomination of Directors</w:t>
      </w:r>
    </w:p>
    <w:p>
      <w:pPr>
        <w:spacing w:after="0" w:line="115" w:lineRule="exact"/>
        <w:rPr>
          <w:sz w:val="20"/>
          <w:szCs w:val="20"/>
          <w:color w:val="auto"/>
        </w:rPr>
      </w:pPr>
    </w:p>
    <w:p>
      <w:pPr>
        <w:ind w:left="440" w:right="140" w:firstLine="423"/>
        <w:spacing w:after="0" w:line="269" w:lineRule="auto"/>
        <w:rPr>
          <w:sz w:val="20"/>
          <w:szCs w:val="20"/>
          <w:color w:val="auto"/>
        </w:rPr>
      </w:pPr>
      <w:r>
        <w:rPr>
          <w:rFonts w:ascii="Arial" w:cs="Arial" w:eastAsia="Arial" w:hAnsi="Arial"/>
          <w:sz w:val="17"/>
          <w:szCs w:val="17"/>
          <w:color w:val="auto"/>
        </w:rPr>
        <w:t>Under the U.K. Companies Act 2006, shareholders of a company may require the directors to call a general meeting of the company and may specify the text of a resolution to be voted on at that meeting if the request is made by shareholders holding at least 5% of the paid-up capital of Mereo carrying voting rights at a general meeting.</w:t>
      </w:r>
    </w:p>
    <w:p>
      <w:pPr>
        <w:spacing w:after="0" w:line="171" w:lineRule="exact"/>
        <w:rPr>
          <w:sz w:val="20"/>
          <w:szCs w:val="20"/>
          <w:color w:val="auto"/>
        </w:rPr>
      </w:pPr>
    </w:p>
    <w:p>
      <w:pPr>
        <w:ind w:left="440" w:right="240" w:firstLine="423"/>
        <w:spacing w:after="0" w:line="297" w:lineRule="auto"/>
        <w:rPr>
          <w:sz w:val="20"/>
          <w:szCs w:val="20"/>
          <w:color w:val="auto"/>
        </w:rPr>
      </w:pPr>
      <w:r>
        <w:rPr>
          <w:rFonts w:ascii="Arial" w:cs="Arial" w:eastAsia="Arial" w:hAnsi="Arial"/>
          <w:sz w:val="15"/>
          <w:szCs w:val="15"/>
          <w:color w:val="auto"/>
        </w:rPr>
        <w:t>In certain circumstances, shareholders may also require the company to circulate to shareholders that are entitled to receive notice of a general meeting, a statement of not more than 1,000 words with respect to (1) a matter referred to in a proposed resolution to be dealt with at that meeting, or</w:t>
      </w:r>
    </w:p>
    <w:p>
      <w:pPr>
        <w:ind w:left="680" w:hanging="249"/>
        <w:spacing w:after="0"/>
        <w:tabs>
          <w:tab w:leader="none" w:pos="6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other business to be deal with at that meeting. A company is required to circulate a statement once it has received requests to do so from</w:t>
      </w:r>
    </w:p>
    <w:p>
      <w:pPr>
        <w:spacing w:after="0" w:line="23" w:lineRule="exact"/>
        <w:rPr>
          <w:rFonts w:ascii="Arial" w:cs="Arial" w:eastAsia="Arial" w:hAnsi="Arial"/>
          <w:sz w:val="16"/>
          <w:szCs w:val="16"/>
          <w:color w:val="auto"/>
        </w:rPr>
      </w:pPr>
    </w:p>
    <w:p>
      <w:pPr>
        <w:ind w:left="440" w:right="200" w:hanging="9"/>
        <w:spacing w:after="0" w:line="261" w:lineRule="auto"/>
        <w:tabs>
          <w:tab w:leader="none" w:pos="68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shareholders representing at least 5% of the total voting rights of all shareholders who have a relevant right to vote, or (2) by at least 100 shareholders who have a relevant right to vote and hold shares in the company on which there has been paid up an average sum, per shareholder, of at least £100.</w:t>
      </w:r>
    </w:p>
    <w:p>
      <w:pPr>
        <w:spacing w:after="0" w:line="178"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Resolutions to appoint or re-appoint directors to a public limited company such as Mereo must generally be put to shareholders on the basis of one resolution for each nominated director.</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Number of Directors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Under the U.K. Companies Act 2006, a public limited company must have at least two directors.</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Classification of the Board</w:t>
      </w:r>
    </w:p>
    <w:p>
      <w:pPr>
        <w:spacing w:after="0" w:line="115" w:lineRule="exact"/>
        <w:rPr>
          <w:sz w:val="20"/>
          <w:szCs w:val="20"/>
          <w:color w:val="auto"/>
        </w:rPr>
      </w:pPr>
    </w:p>
    <w:p>
      <w:pPr>
        <w:ind w:left="440" w:right="20" w:firstLine="423"/>
        <w:spacing w:after="0" w:line="260" w:lineRule="auto"/>
        <w:rPr>
          <w:sz w:val="20"/>
          <w:szCs w:val="20"/>
          <w:color w:val="auto"/>
        </w:rPr>
      </w:pPr>
      <w:r>
        <w:rPr>
          <w:rFonts w:ascii="Arial" w:cs="Arial" w:eastAsia="Arial" w:hAnsi="Arial"/>
          <w:sz w:val="17"/>
          <w:szCs w:val="17"/>
          <w:color w:val="auto"/>
        </w:rPr>
        <w:t>Under the U.K. Companies Act 2006, a company may not enter into a service contract with a fixed term of more than two years with a director or (where the director is a director of a holding company) with a member of the group consisting of that company and its subsidiaries unless such contract has been approved by an ordinary resolution of the shareholders of the company or (in the case of a director of a holding company) of the shareholders of the holding company. Such a resolution must not be passed unless a memorandum setting out the proposed contract incorporating the provision is made available to members of the company both (1) at the company’s registered office for not less than 15 days ending with the date of the meeting; and (2) at the meeting itself.</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115" w:lineRule="exact"/>
        <w:rPr>
          <w:sz w:val="20"/>
          <w:szCs w:val="20"/>
          <w:color w:val="auto"/>
        </w:rPr>
      </w:pPr>
    </w:p>
    <w:p>
      <w:pPr>
        <w:ind w:left="440" w:right="200" w:firstLine="423"/>
        <w:spacing w:after="0" w:line="310" w:lineRule="auto"/>
        <w:rPr>
          <w:sz w:val="20"/>
          <w:szCs w:val="20"/>
          <w:color w:val="auto"/>
        </w:rPr>
      </w:pPr>
      <w:r>
        <w:rPr>
          <w:rFonts w:ascii="Arial" w:cs="Arial" w:eastAsia="Arial" w:hAnsi="Arial"/>
          <w:sz w:val="15"/>
          <w:szCs w:val="15"/>
          <w:color w:val="auto"/>
        </w:rPr>
        <w:t>Under the U.K. Companies Act 2006, a company may remove a director without cause at a general meeting by way of an ordinary resolution of shareholders, irrespective of any provision of any agreement or service contract between the director and the company, provided that 28 clear days’ notice of the proposed resolution to remove the director is given and certain other procedural requirements under the U.K. Companies Act 2006 are followed (such as allowing the director to make representations against his or her removal either at the meeting or in writing).</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Limitation of Director Liability</w:t>
      </w:r>
    </w:p>
    <w:p>
      <w:pPr>
        <w:spacing w:after="0" w:line="115" w:lineRule="exact"/>
        <w:rPr>
          <w:sz w:val="20"/>
          <w:szCs w:val="20"/>
          <w:color w:val="auto"/>
        </w:rPr>
      </w:pPr>
    </w:p>
    <w:p>
      <w:pPr>
        <w:ind w:left="440" w:right="80" w:firstLine="423"/>
        <w:spacing w:after="0" w:line="264" w:lineRule="auto"/>
        <w:rPr>
          <w:sz w:val="20"/>
          <w:szCs w:val="20"/>
          <w:color w:val="auto"/>
        </w:rPr>
      </w:pPr>
      <w:r>
        <w:rPr>
          <w:rFonts w:ascii="Arial" w:cs="Arial" w:eastAsia="Arial" w:hAnsi="Arial"/>
          <w:sz w:val="17"/>
          <w:szCs w:val="17"/>
          <w:color w:val="auto"/>
        </w:rPr>
        <w:t>Under the U.K.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 and any provision where the company is seeking to indemnify a director for such liability is also void except as allowed by the provision of insurance.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Directors and Officers Indemnity</w:t>
      </w:r>
    </w:p>
    <w:p>
      <w:pPr>
        <w:spacing w:after="0" w:line="115" w:lineRule="exact"/>
        <w:rPr>
          <w:sz w:val="20"/>
          <w:szCs w:val="20"/>
          <w:color w:val="auto"/>
        </w:rPr>
      </w:pPr>
    </w:p>
    <w:p>
      <w:pPr>
        <w:ind w:left="440" w:right="160" w:firstLine="423"/>
        <w:spacing w:after="0" w:line="264" w:lineRule="auto"/>
        <w:rPr>
          <w:sz w:val="20"/>
          <w:szCs w:val="20"/>
          <w:color w:val="auto"/>
        </w:rPr>
      </w:pPr>
      <w:r>
        <w:rPr>
          <w:rFonts w:ascii="Arial" w:cs="Arial" w:eastAsia="Arial" w:hAnsi="Arial"/>
          <w:sz w:val="17"/>
          <w:szCs w:val="17"/>
          <w:color w:val="auto"/>
        </w:rPr>
        <w:t>Any provision by which Mereo directly or indirectly provides an indemnity (to any extent) for a director of the company or of an “associated company” (i.e., a company that is a parent, subsidiary or sister company of Mereo) against any liability attaching to him in connection with any negligence, default, breach of duty or breach of trust in relation to the company of which he or she is a director is void except as permitted by the U.K. Companies Act 2006, which provides exceptions for Mereo to:</w:t>
      </w:r>
    </w:p>
    <w:p>
      <w:pPr>
        <w:spacing w:after="0" w:line="85" w:lineRule="exact"/>
        <w:rPr>
          <w:sz w:val="20"/>
          <w:szCs w:val="20"/>
          <w:color w:val="auto"/>
        </w:rPr>
      </w:pPr>
    </w:p>
    <w:p>
      <w:pPr>
        <w:jc w:val="both"/>
        <w:ind w:left="1260" w:right="320" w:hanging="415"/>
        <w:spacing w:after="0" w:line="269" w:lineRule="auto"/>
        <w:tabs>
          <w:tab w:leader="none" w:pos="12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purchase and maintain director and officer insurance insuring its directors or the directors of an associated company against any liability attaching in connection with any negligence, default, breach of duty or breach of trust in relation to the company of which he or she is a director;</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980"/>
          </w:cols>
          <w:pgMar w:left="240" w:top="446" w:right="67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right="40" w:hanging="415"/>
        <w:spacing w:after="0" w:line="261" w:lineRule="auto"/>
        <w:tabs>
          <w:tab w:leader="none" w:pos="12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provide a “qualifying third party indemnity,” which is an indemnity against liability incurred by Mereo’s directors and directors of an associated company to a person other than Mereo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89" w:lineRule="exact"/>
        <w:rPr>
          <w:rFonts w:ascii="Arial" w:cs="Arial" w:eastAsia="Arial" w:hAnsi="Arial"/>
          <w:sz w:val="17"/>
          <w:szCs w:val="17"/>
          <w:color w:val="auto"/>
        </w:rPr>
      </w:pPr>
    </w:p>
    <w:p>
      <w:pPr>
        <w:ind w:left="1260" w:right="60" w:hanging="415"/>
        <w:spacing w:after="0" w:line="285" w:lineRule="auto"/>
        <w:tabs>
          <w:tab w:leader="none" w:pos="1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provide a “qualifying pension scheme indemnity,” which is an indemnity against liability incurred in connection with the company’s activities as trustee of an occupational pension plan. Such indemnity must not cover a fine imposed in criminal proceedings, or sum payable to a regulatory authority by way of a penalty in respect of non-compliance with any requirement of a regulatory nature (however arising), or any liability incurred by the director in defending criminal proceedings in which he or she is convicted.</w:t>
      </w:r>
    </w:p>
    <w:p>
      <w:pPr>
        <w:spacing w:after="0" w:line="162"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The U.K. Companies Act 2006 also provides that Mereo may lend a director of Mereo funds to meet expenditure incurred by him in defending any criminal or civil proceedings in connection with any alleged negligence, default, breach of duty or breach of trust by him in relation to Mereo or an associated company, or in connection with an application for certain specified relief, subject to the requirement that the loan must be on terms that it is to be repaid if the defense or the application for relief is unsuccessful.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Derivative Suits and Class Action Suits</w:t>
      </w:r>
    </w:p>
    <w:p>
      <w:pPr>
        <w:spacing w:after="0" w:line="115" w:lineRule="exact"/>
        <w:rPr>
          <w:sz w:val="20"/>
          <w:szCs w:val="20"/>
          <w:color w:val="auto"/>
        </w:rPr>
      </w:pPr>
    </w:p>
    <w:p>
      <w:pPr>
        <w:ind w:left="440" w:right="20" w:firstLine="423"/>
        <w:spacing w:after="0" w:line="279" w:lineRule="auto"/>
        <w:rPr>
          <w:sz w:val="20"/>
          <w:szCs w:val="20"/>
          <w:color w:val="auto"/>
        </w:rPr>
      </w:pPr>
      <w:r>
        <w:rPr>
          <w:rFonts w:ascii="Arial" w:cs="Arial" w:eastAsia="Arial" w:hAnsi="Arial"/>
          <w:sz w:val="16"/>
          <w:szCs w:val="16"/>
          <w:color w:val="auto"/>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(1) a court may allow a shareholder to bring a derivative claim (that is, an action in respect of and on behalf of the company) in respect of a cause of action arising from a director’s negligence, default, breach of duty or breach of trust and (2) a shareholder may bring a claim for a court order on the ground that the company’s affairs have been or are being conducted in a manner that is unfairly prejudicial to the interests of its shareholders generally or of some of its shareholders, or that an actual or proposed act or omission of the company is or would be so prejudicial.</w:t>
      </w:r>
    </w:p>
    <w:p>
      <w:pPr>
        <w:spacing w:after="0" w:line="167" w:lineRule="exact"/>
        <w:rPr>
          <w:sz w:val="20"/>
          <w:szCs w:val="20"/>
          <w:color w:val="auto"/>
        </w:rPr>
      </w:pPr>
    </w:p>
    <w:p>
      <w:pPr>
        <w:ind w:left="440" w:right="60" w:firstLine="423"/>
        <w:spacing w:after="0" w:line="264" w:lineRule="auto"/>
        <w:rPr>
          <w:sz w:val="20"/>
          <w:szCs w:val="20"/>
          <w:color w:val="auto"/>
        </w:rPr>
      </w:pPr>
      <w:r>
        <w:rPr>
          <w:rFonts w:ascii="Arial" w:cs="Arial" w:eastAsia="Arial" w:hAnsi="Arial"/>
          <w:sz w:val="17"/>
          <w:szCs w:val="17"/>
          <w:color w:val="auto"/>
        </w:rPr>
        <w:t>The U.K. Limitation Act 1980 imposes a limitation period, with certain exceptions,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Conflicts of Interest Transactions</w:t>
      </w:r>
    </w:p>
    <w:p>
      <w:pPr>
        <w:spacing w:after="0" w:line="115" w:lineRule="exact"/>
        <w:rPr>
          <w:sz w:val="20"/>
          <w:szCs w:val="20"/>
          <w:color w:val="auto"/>
        </w:rPr>
      </w:pPr>
    </w:p>
    <w:p>
      <w:pPr>
        <w:jc w:val="both"/>
        <w:ind w:left="440" w:right="160" w:firstLine="423"/>
        <w:spacing w:after="0" w:line="269" w:lineRule="auto"/>
        <w:rPr>
          <w:sz w:val="20"/>
          <w:szCs w:val="20"/>
          <w:color w:val="auto"/>
        </w:rPr>
      </w:pPr>
      <w:r>
        <w:rPr>
          <w:rFonts w:ascii="Arial" w:cs="Arial" w:eastAsia="Arial" w:hAnsi="Arial"/>
          <w:sz w:val="17"/>
          <w:szCs w:val="17"/>
          <w:color w:val="auto"/>
        </w:rPr>
        <w:t>Under English law, a director is under a duty to avoid conflicts of interest, and is obliged to declare his or her interest (whether direct or indirect) in a proposed transaction with the company to the other directors. It is an offense to fail to declare an interest (whether direct or indirect) in an existing transaction with the company.</w:t>
      </w:r>
    </w:p>
    <w:p>
      <w:pPr>
        <w:spacing w:after="0" w:line="171" w:lineRule="exact"/>
        <w:rPr>
          <w:sz w:val="20"/>
          <w:szCs w:val="20"/>
          <w:color w:val="auto"/>
        </w:rPr>
      </w:pPr>
    </w:p>
    <w:p>
      <w:pPr>
        <w:ind w:left="440" w:right="180" w:firstLine="423"/>
        <w:spacing w:after="0" w:line="284" w:lineRule="auto"/>
        <w:rPr>
          <w:sz w:val="20"/>
          <w:szCs w:val="20"/>
          <w:color w:val="auto"/>
        </w:rPr>
      </w:pPr>
      <w:r>
        <w:rPr>
          <w:rFonts w:ascii="Arial" w:cs="Arial" w:eastAsia="Arial" w:hAnsi="Arial"/>
          <w:sz w:val="17"/>
          <w:szCs w:val="17"/>
          <w:color w:val="auto"/>
        </w:rPr>
        <w:t>The duty to avoid a conflict of interest is not infringed if the situation cannot reasonably be regarded as likely to give rise to a conflict of interest or if the matter has been authorized by the directors.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Reporting Requirements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According to the AIM Rules, which apply to Mereo due to the quotation of our ordinary shares on AIM, Mereo must publish:</w:t>
      </w:r>
    </w:p>
    <w:p>
      <w:pPr>
        <w:spacing w:after="0" w:line="128" w:lineRule="exact"/>
        <w:rPr>
          <w:sz w:val="20"/>
          <w:szCs w:val="20"/>
          <w:color w:val="auto"/>
        </w:rPr>
      </w:pPr>
    </w:p>
    <w:p>
      <w:pPr>
        <w:ind w:left="1260" w:hanging="415"/>
        <w:spacing w:after="0"/>
        <w:tabs>
          <w:tab w:leader="none" w:pos="12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its annual audited accounts as of the end of each financial year within six months after the end of each financial year at the latest; and</w:t>
      </w:r>
    </w:p>
    <w:p>
      <w:pPr>
        <w:spacing w:after="0" w:line="139" w:lineRule="exact"/>
        <w:rPr>
          <w:rFonts w:ascii="Arial" w:cs="Arial" w:eastAsia="Arial" w:hAnsi="Arial"/>
          <w:sz w:val="16"/>
          <w:szCs w:val="16"/>
          <w:color w:val="auto"/>
        </w:rPr>
      </w:pPr>
    </w:p>
    <w:p>
      <w:pPr>
        <w:ind w:left="1260" w:right="200" w:hanging="415"/>
        <w:spacing w:after="0" w:line="284" w:lineRule="auto"/>
        <w:tabs>
          <w:tab w:leader="none" w:pos="12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half-yearly financial statements for the first six months of a financial year within three months after the end of each reporting period at the latest.</w:t>
      </w:r>
    </w:p>
    <w:p>
      <w:pPr>
        <w:spacing w:after="0" w:line="159" w:lineRule="exact"/>
        <w:rPr>
          <w:sz w:val="20"/>
          <w:szCs w:val="20"/>
          <w:color w:val="auto"/>
        </w:rPr>
      </w:pPr>
    </w:p>
    <w:p>
      <w:pPr>
        <w:ind w:left="440" w:right="160" w:firstLine="423"/>
        <w:spacing w:after="0" w:line="285" w:lineRule="auto"/>
        <w:rPr>
          <w:sz w:val="20"/>
          <w:szCs w:val="20"/>
          <w:color w:val="auto"/>
        </w:rPr>
      </w:pPr>
      <w:r>
        <w:rPr>
          <w:rFonts w:ascii="Arial" w:cs="Arial" w:eastAsia="Arial" w:hAnsi="Arial"/>
          <w:sz w:val="16"/>
          <w:szCs w:val="16"/>
          <w:color w:val="auto"/>
        </w:rPr>
        <w:t>Furthermore, according to the EU Market Abuse Regulation (Regulation EU No. 596/2014), Mereo must, as soon as possible, publish all inside information that directly concerns it. In particular, inside information directly concerns an issuer if it relates to developments within the issuer’s sphere of activity. Inside information is, broadly, any specific information about circumstances that are not public knowledge relating to Mereo or the Mereo Shares that, if it became publicly known, would have a significant effect on the price of Mereo Shares.</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000"/>
          </w:cols>
          <w:pgMar w:left="240" w:top="445" w:right="65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440" w:firstLine="423"/>
        <w:spacing w:after="0" w:line="293" w:lineRule="auto"/>
        <w:rPr>
          <w:sz w:val="20"/>
          <w:szCs w:val="20"/>
          <w:color w:val="auto"/>
        </w:rPr>
      </w:pPr>
      <w:r>
        <w:rPr>
          <w:rFonts w:ascii="Arial" w:cs="Arial" w:eastAsia="Arial" w:hAnsi="Arial"/>
          <w:sz w:val="16"/>
          <w:szCs w:val="16"/>
          <w:color w:val="auto"/>
        </w:rPr>
        <w:t>Any Mereo shareholder who holds voting rights in Mereo, directly or indirectly, the percentage of which reaches, exceeds or falls below 3%, 4% and each 1% threshold thereafter up to 100% as a result of an acquisition or disposal of shares or financial instruments, shall, without undue delay, and within two trading days at the latest as from the transaction, notify this to Mereo and simultaneously to the FCA.</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Short-Swing Profits</w:t>
      </w:r>
    </w:p>
    <w:p>
      <w:pPr>
        <w:spacing w:after="0" w:line="115" w:lineRule="exact"/>
        <w:rPr>
          <w:sz w:val="20"/>
          <w:szCs w:val="20"/>
          <w:color w:val="auto"/>
        </w:rPr>
      </w:pPr>
    </w:p>
    <w:p>
      <w:pPr>
        <w:ind w:left="440" w:right="240" w:firstLine="423"/>
        <w:spacing w:after="0" w:line="284" w:lineRule="auto"/>
        <w:rPr>
          <w:sz w:val="20"/>
          <w:szCs w:val="20"/>
          <w:color w:val="auto"/>
        </w:rPr>
      </w:pPr>
      <w:r>
        <w:rPr>
          <w:rFonts w:ascii="Arial" w:cs="Arial" w:eastAsia="Arial" w:hAnsi="Arial"/>
          <w:sz w:val="17"/>
          <w:szCs w:val="17"/>
          <w:color w:val="auto"/>
        </w:rPr>
        <w:t>Directors, officers and other persons discharging managerial responsibilities, as well as persons closely related to them, are required to notify certain own account transactions in our ordinary shares to Mereo and the FCA.</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Other U.K. Law Considerations</w:t>
      </w:r>
    </w:p>
    <w:p>
      <w:pPr>
        <w:spacing w:after="0" w:line="121" w:lineRule="exact"/>
        <w:rPr>
          <w:sz w:val="20"/>
          <w:szCs w:val="20"/>
          <w:color w:val="auto"/>
        </w:rPr>
      </w:pPr>
    </w:p>
    <w:p>
      <w:pPr>
        <w:ind w:left="440" w:right="280" w:firstLine="423"/>
        <w:spacing w:after="0" w:line="284" w:lineRule="auto"/>
        <w:rPr>
          <w:sz w:val="20"/>
          <w:szCs w:val="20"/>
          <w:color w:val="auto"/>
        </w:rPr>
      </w:pPr>
      <w:r>
        <w:rPr>
          <w:rFonts w:ascii="Arial" w:cs="Arial" w:eastAsia="Arial" w:hAnsi="Arial"/>
          <w:sz w:val="17"/>
          <w:szCs w:val="17"/>
          <w:color w:val="auto"/>
        </w:rPr>
        <w:t>See “Item 10. Additional Information—B. Memorandum and Articles of Association—Other U.K. Law Considerations” for other applicable corporate governance practices.</w:t>
      </w:r>
    </w:p>
    <w:p>
      <w:pPr>
        <w:spacing w:after="0" w:line="295"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17"/>
          <w:szCs w:val="17"/>
          <w:b w:val="1"/>
          <w:bCs w:val="1"/>
          <w:color w:val="auto"/>
        </w:rPr>
        <w:t>Item 16H.</w:t>
      </w:r>
      <w:r>
        <w:rPr>
          <w:sz w:val="20"/>
          <w:szCs w:val="20"/>
          <w:color w:val="auto"/>
        </w:rPr>
        <w:tab/>
      </w:r>
      <w:r>
        <w:rPr>
          <w:rFonts w:ascii="Arial" w:cs="Arial" w:eastAsia="Arial" w:hAnsi="Arial"/>
          <w:sz w:val="15"/>
          <w:szCs w:val="15"/>
          <w:b w:val="1"/>
          <w:bCs w:val="1"/>
          <w:color w:val="auto"/>
        </w:rPr>
        <w:t>Mine Safety Disclosure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Not applicable.</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840"/>
          </w:cols>
          <w:pgMar w:left="240" w:top="445" w:right="81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PART THREE</w:t>
      </w:r>
    </w:p>
    <w:p>
      <w:pPr>
        <w:spacing w:after="0" w:line="245"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We have elected to provide financial statements pursuant to Item 18.</w:t>
      </w:r>
    </w:p>
    <w:p>
      <w:pPr>
        <w:spacing w:after="0" w:line="239"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7"/>
          <w:szCs w:val="17"/>
          <w:b w:val="1"/>
          <w:bCs w:val="1"/>
          <w:color w:val="auto"/>
        </w:rPr>
        <w:t>Item 18.</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Our audited consolidated financial statements are included in this annual report beginning at Page F-1.</w:t>
      </w:r>
    </w:p>
    <w:p>
      <w:pPr>
        <w:spacing w:after="0" w:line="17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219"/>
          </w:cols>
          <w:pgMar w:left="240" w:top="445" w:right="1440"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1"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4600" w:type="dxa"/>
            <w:vAlign w:val="bottom"/>
            <w:gridSpan w:val="7"/>
            <w:vMerge w:val="restart"/>
          </w:tcPr>
          <w:p>
            <w:pPr>
              <w:spacing w:after="0"/>
              <w:rPr>
                <w:sz w:val="20"/>
                <w:szCs w:val="20"/>
                <w:color w:val="auto"/>
              </w:rPr>
            </w:pPr>
            <w:r>
              <w:rPr>
                <w:rFonts w:ascii="Arial" w:cs="Arial" w:eastAsia="Arial" w:hAnsi="Arial"/>
                <w:sz w:val="17"/>
                <w:szCs w:val="17"/>
                <w:b w:val="1"/>
                <w:bCs w:val="1"/>
                <w:color w:val="auto"/>
              </w:rPr>
              <w:t>Audited Financial Statements</w:t>
            </w:r>
          </w:p>
        </w:tc>
        <w:tc>
          <w:tcPr>
            <w:tcW w:w="56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5"/>
        </w:trPr>
        <w:tc>
          <w:tcPr>
            <w:tcW w:w="4600" w:type="dxa"/>
            <w:vAlign w:val="bottom"/>
            <w:gridSpan w:val="7"/>
            <w:vMerge w:val="continue"/>
          </w:tcPr>
          <w:p>
            <w:pPr>
              <w:spacing w:after="0"/>
              <w:rPr>
                <w:sz w:val="15"/>
                <w:szCs w:val="15"/>
                <w:color w:val="auto"/>
              </w:rPr>
            </w:pPr>
          </w:p>
        </w:tc>
        <w:tc>
          <w:tcPr>
            <w:tcW w:w="5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00" w:type="dxa"/>
            <w:vAlign w:val="bottom"/>
            <w:gridSpan w:val="7"/>
          </w:tcPr>
          <w:p>
            <w:pPr>
              <w:spacing w:after="0" w:line="180" w:lineRule="exact"/>
              <w:rPr>
                <w:rFonts w:ascii="Arial" w:cs="Arial" w:eastAsia="Arial" w:hAnsi="Arial"/>
                <w:sz w:val="17"/>
                <w:szCs w:val="17"/>
                <w:color w:val="0000EE"/>
              </w:rPr>
            </w:pPr>
            <w:hyperlink w:anchor="page170">
              <w:r>
                <w:rPr>
                  <w:rFonts w:ascii="Arial" w:cs="Arial" w:eastAsia="Arial" w:hAnsi="Arial"/>
                  <w:sz w:val="17"/>
                  <w:szCs w:val="17"/>
                  <w:color w:val="0000EE"/>
                </w:rPr>
                <w:t>Report of Independent Registered Public Accounting Firm</w:t>
              </w:r>
            </w:hyperlink>
          </w:p>
        </w:tc>
        <w:tc>
          <w:tcPr>
            <w:tcW w:w="5620" w:type="dxa"/>
            <w:vAlign w:val="bottom"/>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c>
          <w:tcPr>
            <w:tcW w:w="0" w:type="dxa"/>
            <w:vAlign w:val="bottom"/>
          </w:tcPr>
          <w:p>
            <w:pPr>
              <w:spacing w:after="0"/>
              <w:rPr>
                <w:sz w:val="1"/>
                <w:szCs w:val="1"/>
                <w:color w:val="auto"/>
              </w:rPr>
            </w:pPr>
          </w:p>
        </w:tc>
      </w:tr>
      <w:tr>
        <w:trPr>
          <w:trHeight w:val="214"/>
        </w:trPr>
        <w:tc>
          <w:tcPr>
            <w:tcW w:w="19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1"/>
        </w:trPr>
        <w:tc>
          <w:tcPr>
            <w:tcW w:w="4600" w:type="dxa"/>
            <w:vAlign w:val="bottom"/>
            <w:gridSpan w:val="7"/>
          </w:tcPr>
          <w:p>
            <w:pPr>
              <w:spacing w:after="0" w:line="180" w:lineRule="exact"/>
              <w:rPr>
                <w:rFonts w:ascii="Arial" w:cs="Arial" w:eastAsia="Arial" w:hAnsi="Arial"/>
                <w:sz w:val="17"/>
                <w:szCs w:val="17"/>
                <w:color w:val="0000EE"/>
              </w:rPr>
            </w:pPr>
            <w:hyperlink w:anchor="page171">
              <w:r>
                <w:rPr>
                  <w:rFonts w:ascii="Arial" w:cs="Arial" w:eastAsia="Arial" w:hAnsi="Arial"/>
                  <w:sz w:val="17"/>
                  <w:szCs w:val="17"/>
                  <w:color w:val="0000EE"/>
                </w:rPr>
                <w:t>Consolidated Statements of Comprehensive Loss</w:t>
              </w:r>
            </w:hyperlink>
          </w:p>
        </w:tc>
        <w:tc>
          <w:tcPr>
            <w:tcW w:w="5620" w:type="dxa"/>
            <w:vAlign w:val="bottom"/>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c>
          <w:tcPr>
            <w:tcW w:w="0" w:type="dxa"/>
            <w:vAlign w:val="bottom"/>
          </w:tcPr>
          <w:p>
            <w:pPr>
              <w:spacing w:after="0"/>
              <w:rPr>
                <w:sz w:val="1"/>
                <w:szCs w:val="1"/>
                <w:color w:val="auto"/>
              </w:rPr>
            </w:pPr>
          </w:p>
        </w:tc>
      </w:tr>
      <w:tr>
        <w:trPr>
          <w:trHeight w:val="214"/>
        </w:trPr>
        <w:tc>
          <w:tcPr>
            <w:tcW w:w="19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1"/>
        </w:trPr>
        <w:tc>
          <w:tcPr>
            <w:tcW w:w="4600" w:type="dxa"/>
            <w:vAlign w:val="bottom"/>
            <w:gridSpan w:val="7"/>
          </w:tcPr>
          <w:p>
            <w:pPr>
              <w:spacing w:after="0" w:line="180" w:lineRule="exact"/>
              <w:rPr>
                <w:rFonts w:ascii="Arial" w:cs="Arial" w:eastAsia="Arial" w:hAnsi="Arial"/>
                <w:sz w:val="17"/>
                <w:szCs w:val="17"/>
                <w:color w:val="0000EE"/>
              </w:rPr>
            </w:pPr>
            <w:hyperlink w:anchor="page172">
              <w:r>
                <w:rPr>
                  <w:rFonts w:ascii="Arial" w:cs="Arial" w:eastAsia="Arial" w:hAnsi="Arial"/>
                  <w:sz w:val="17"/>
                  <w:szCs w:val="17"/>
                  <w:color w:val="0000EE"/>
                </w:rPr>
                <w:t>Consolidated Balance Sheet</w:t>
              </w:r>
            </w:hyperlink>
          </w:p>
        </w:tc>
        <w:tc>
          <w:tcPr>
            <w:tcW w:w="5620" w:type="dxa"/>
            <w:vAlign w:val="bottom"/>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c>
          <w:tcPr>
            <w:tcW w:w="0" w:type="dxa"/>
            <w:vAlign w:val="bottom"/>
          </w:tcPr>
          <w:p>
            <w:pPr>
              <w:spacing w:after="0"/>
              <w:rPr>
                <w:sz w:val="1"/>
                <w:szCs w:val="1"/>
                <w:color w:val="auto"/>
              </w:rPr>
            </w:pPr>
          </w:p>
        </w:tc>
      </w:tr>
      <w:tr>
        <w:trPr>
          <w:trHeight w:val="214"/>
        </w:trPr>
        <w:tc>
          <w:tcPr>
            <w:tcW w:w="1920" w:type="dxa"/>
            <w:vAlign w:val="bottom"/>
            <w:tcBorders>
              <w:top w:val="single" w:sz="8" w:color="0000EE"/>
            </w:tcBorders>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1"/>
        </w:trPr>
        <w:tc>
          <w:tcPr>
            <w:tcW w:w="4600" w:type="dxa"/>
            <w:vAlign w:val="bottom"/>
            <w:gridSpan w:val="7"/>
          </w:tcPr>
          <w:p>
            <w:pPr>
              <w:spacing w:after="0" w:line="180" w:lineRule="exact"/>
              <w:rPr>
                <w:rFonts w:ascii="Arial" w:cs="Arial" w:eastAsia="Arial" w:hAnsi="Arial"/>
                <w:sz w:val="17"/>
                <w:szCs w:val="17"/>
                <w:color w:val="0000EE"/>
              </w:rPr>
            </w:pPr>
            <w:hyperlink w:anchor="page173">
              <w:r>
                <w:rPr>
                  <w:rFonts w:ascii="Arial" w:cs="Arial" w:eastAsia="Arial" w:hAnsi="Arial"/>
                  <w:sz w:val="17"/>
                  <w:szCs w:val="17"/>
                  <w:color w:val="0000EE"/>
                </w:rPr>
                <w:t>Consolidated Statement of Cash Flows</w:t>
              </w:r>
            </w:hyperlink>
          </w:p>
        </w:tc>
        <w:tc>
          <w:tcPr>
            <w:tcW w:w="5620" w:type="dxa"/>
            <w:vAlign w:val="bottom"/>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c>
          <w:tcPr>
            <w:tcW w:w="0" w:type="dxa"/>
            <w:vAlign w:val="bottom"/>
          </w:tcPr>
          <w:p>
            <w:pPr>
              <w:spacing w:after="0"/>
              <w:rPr>
                <w:sz w:val="1"/>
                <w:szCs w:val="1"/>
                <w:color w:val="auto"/>
              </w:rPr>
            </w:pPr>
          </w:p>
        </w:tc>
      </w:tr>
      <w:tr>
        <w:trPr>
          <w:trHeight w:val="214"/>
        </w:trPr>
        <w:tc>
          <w:tcPr>
            <w:tcW w:w="19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1"/>
        </w:trPr>
        <w:tc>
          <w:tcPr>
            <w:tcW w:w="4600" w:type="dxa"/>
            <w:vAlign w:val="bottom"/>
            <w:gridSpan w:val="7"/>
          </w:tcPr>
          <w:p>
            <w:pPr>
              <w:spacing w:after="0" w:line="180" w:lineRule="exact"/>
              <w:rPr>
                <w:rFonts w:ascii="Arial" w:cs="Arial" w:eastAsia="Arial" w:hAnsi="Arial"/>
                <w:sz w:val="17"/>
                <w:szCs w:val="17"/>
                <w:color w:val="0000EE"/>
              </w:rPr>
            </w:pPr>
            <w:hyperlink w:anchor="page174">
              <w:r>
                <w:rPr>
                  <w:rFonts w:ascii="Arial" w:cs="Arial" w:eastAsia="Arial" w:hAnsi="Arial"/>
                  <w:sz w:val="17"/>
                  <w:szCs w:val="17"/>
                  <w:color w:val="0000EE"/>
                </w:rPr>
                <w:t>Consolidated Statement of Changes in Equity</w:t>
              </w:r>
            </w:hyperlink>
          </w:p>
        </w:tc>
        <w:tc>
          <w:tcPr>
            <w:tcW w:w="5620" w:type="dxa"/>
            <w:vAlign w:val="bottom"/>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c>
          <w:tcPr>
            <w:tcW w:w="0" w:type="dxa"/>
            <w:vAlign w:val="bottom"/>
          </w:tcPr>
          <w:p>
            <w:pPr>
              <w:spacing w:after="0"/>
              <w:rPr>
                <w:sz w:val="1"/>
                <w:szCs w:val="1"/>
                <w:color w:val="auto"/>
              </w:rPr>
            </w:pPr>
          </w:p>
        </w:tc>
      </w:tr>
      <w:tr>
        <w:trPr>
          <w:trHeight w:val="214"/>
        </w:trPr>
        <w:tc>
          <w:tcPr>
            <w:tcW w:w="19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1"/>
        </w:trPr>
        <w:tc>
          <w:tcPr>
            <w:tcW w:w="4600" w:type="dxa"/>
            <w:vAlign w:val="bottom"/>
            <w:gridSpan w:val="7"/>
          </w:tcPr>
          <w:p>
            <w:pPr>
              <w:spacing w:after="0" w:line="180" w:lineRule="exact"/>
              <w:rPr>
                <w:rFonts w:ascii="Arial" w:cs="Arial" w:eastAsia="Arial" w:hAnsi="Arial"/>
                <w:sz w:val="17"/>
                <w:szCs w:val="17"/>
                <w:color w:val="0000EE"/>
              </w:rPr>
            </w:pPr>
            <w:hyperlink w:anchor="page175">
              <w:r>
                <w:rPr>
                  <w:rFonts w:ascii="Arial" w:cs="Arial" w:eastAsia="Arial" w:hAnsi="Arial"/>
                  <w:sz w:val="17"/>
                  <w:szCs w:val="17"/>
                  <w:color w:val="0000EE"/>
                </w:rPr>
                <w:t>Notes to the Consolidated Financial Statements</w:t>
              </w:r>
            </w:hyperlink>
          </w:p>
        </w:tc>
        <w:tc>
          <w:tcPr>
            <w:tcW w:w="5620" w:type="dxa"/>
            <w:vAlign w:val="bottom"/>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c>
          <w:tcPr>
            <w:tcW w:w="0" w:type="dxa"/>
            <w:vAlign w:val="bottom"/>
          </w:tcPr>
          <w:p>
            <w:pPr>
              <w:spacing w:after="0"/>
              <w:rPr>
                <w:sz w:val="1"/>
                <w:szCs w:val="1"/>
                <w:color w:val="auto"/>
              </w:rPr>
            </w:pPr>
          </w:p>
        </w:tc>
      </w:tr>
      <w:tr>
        <w:trPr>
          <w:trHeight w:val="226"/>
        </w:trPr>
        <w:tc>
          <w:tcPr>
            <w:tcW w:w="192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90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50"/>
        </w:trPr>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00" w:type="dxa"/>
            <w:vAlign w:val="bottom"/>
            <w:gridSpan w:val="2"/>
          </w:tcPr>
          <w:p>
            <w:pPr>
              <w:jc w:val="right"/>
              <w:ind w:right="5016"/>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ectPr>
          <w:pgSz w:w="11900" w:h="16838" w:orient="portrait"/>
          <w:cols w:equalWidth="0" w:num="1">
            <w:col w:w="10940"/>
          </w:cols>
          <w:pgMar w:left="240" w:top="445" w:right="71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Shareholders and Board of Directors of Mereo BioPharma Group plc</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1"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We have audited the accompanying consolidated balance sheets of Mereo BioPharma Group plc (the “Company”) as of December 31, 2018 and 2017, and the related consolidated statements of comprehensive loss, changes in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International Financial Reporting Standards as issued by the International Accounting Standards Board.</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Basis for Opinion</w:t>
      </w:r>
    </w:p>
    <w:p>
      <w:pPr>
        <w:spacing w:after="0" w:line="121"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440" w:right="140" w:firstLine="423"/>
        <w:spacing w:after="0" w:line="28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6" w:lineRule="exact"/>
        <w:rPr>
          <w:sz w:val="20"/>
          <w:szCs w:val="20"/>
          <w:color w:val="auto"/>
        </w:rPr>
      </w:pPr>
    </w:p>
    <w:p>
      <w:pPr>
        <w:ind w:left="440" w:right="100" w:firstLine="423"/>
        <w:spacing w:after="0" w:line="261"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 Ernst &amp; Young LLP</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served as the Company’s auditor since 2015</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Reading, United Kingdom</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April 29, 2019</w:t>
      </w:r>
    </w:p>
    <w:p>
      <w:pPr>
        <w:spacing w:after="0" w:line="14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940"/>
          </w:cols>
          <w:pgMar w:left="240" w:top="446" w:right="71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 of comprehensive loss</w:t>
      </w:r>
    </w:p>
    <w:p>
      <w:pPr>
        <w:spacing w:after="0" w:line="3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for the years ended December 31, 2016, 2017 and 2018</w:t>
      </w:r>
    </w:p>
    <w:p>
      <w:pPr>
        <w:spacing w:after="0" w:line="222"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Notes</w:t>
            </w:r>
          </w:p>
        </w:tc>
        <w:tc>
          <w:tcPr>
            <w:tcW w:w="32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900" w:type="dxa"/>
            <w:vAlign w:val="bottom"/>
            <w:tcBorders>
              <w:top w:val="single" w:sz="8" w:color="auto"/>
            </w:tcBorders>
          </w:tcPr>
          <w:p>
            <w:pPr>
              <w:jc w:val="right"/>
              <w:ind w:right="236"/>
              <w:spacing w:after="0" w:line="13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5"/>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(in £)</w:t>
            </w: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(24,562,502)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(34,606,649)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7"/>
              </w:rPr>
              <w:t>(22,703,553)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Administrative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6"/>
          </w:tcPr>
          <w:p>
            <w:pPr>
              <w:jc w:val="right"/>
              <w:ind w:right="40"/>
              <w:spacing w:after="0"/>
              <w:rPr>
                <w:sz w:val="20"/>
                <w:szCs w:val="20"/>
                <w:color w:val="auto"/>
              </w:rPr>
            </w:pPr>
            <w:r>
              <w:rPr>
                <w:rFonts w:ascii="Arial" w:cs="Arial" w:eastAsia="Arial" w:hAnsi="Arial"/>
                <w:sz w:val="17"/>
                <w:szCs w:val="17"/>
                <w:color w:val="auto"/>
                <w:w w:val="98"/>
              </w:rPr>
              <w:t xml:space="preserve">(11,616,816)   (10,697,194)   </w:t>
            </w:r>
            <w:r>
              <w:rPr>
                <w:rFonts w:ascii="Arial" w:cs="Arial" w:eastAsia="Arial" w:hAnsi="Arial"/>
                <w:sz w:val="17"/>
                <w:szCs w:val="17"/>
                <w:b w:val="1"/>
                <w:bCs w:val="1"/>
                <w:color w:val="auto"/>
                <w:w w:val="98"/>
              </w:rPr>
              <w:t>(12,504,887)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(36,179,318)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(45,303,843)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7"/>
              </w:rPr>
              <w:t>(35,208,440)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Finance income</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900" w:type="dxa"/>
            <w:vAlign w:val="bottom"/>
          </w:tcPr>
          <w:p>
            <w:pPr>
              <w:jc w:val="right"/>
              <w:spacing w:after="0"/>
              <w:rPr>
                <w:sz w:val="20"/>
                <w:szCs w:val="20"/>
                <w:color w:val="auto"/>
              </w:rPr>
            </w:pPr>
            <w:r>
              <w:rPr>
                <w:rFonts w:ascii="Arial" w:cs="Arial" w:eastAsia="Arial" w:hAnsi="Arial"/>
                <w:sz w:val="17"/>
                <w:szCs w:val="17"/>
                <w:color w:val="auto"/>
              </w:rPr>
              <w:t>374,906</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826,855</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306,831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Finance charge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(179,765)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(1,089,925)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(2,360,648)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Net foreign exchange gain/(loss)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2,262,626</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(1,384,225)</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(43,863)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before tax</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(33,721,551)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(46,951,138)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7"/>
              </w:rPr>
              <w:t>(37,306,120)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Taxation</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5,331,271</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8,152,084</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5,277,380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attributable to equity holders of the parent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(28,390,280)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(38,799,054)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7"/>
              </w:rPr>
              <w:t>(32,028,740)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Other comprehensive income for the year, net of tax</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w w:val="98"/>
              </w:rPr>
              <w:t>Total comprehensive loss for the year, net of tax and attributable to the equity holders of the</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7"/>
              </w:rPr>
              <w:t>(32,028,740)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parent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(28,390,280)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(38,799,054)</w:t>
            </w: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Basic and diluted loss per share</w:t>
            </w: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10</w:t>
            </w: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(0.63)</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(0.56)</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The accompanying notes form an integral part of these consolidated financial statements.</w:t>
      </w:r>
    </w:p>
    <w:p>
      <w:pPr>
        <w:spacing w:after="0" w:line="15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000"/>
          </w:cols>
          <w:pgMar w:left="240" w:top="446" w:right="65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balance sheet</w:t>
      </w:r>
    </w:p>
    <w:p>
      <w:pPr>
        <w:spacing w:after="0" w:line="3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as at December 31, 2017 and 2018</w:t>
      </w:r>
    </w:p>
    <w:p>
      <w:pPr>
        <w:spacing w:after="0" w:line="222"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2"/>
              </w:rPr>
              <w:t>Notes</w:t>
            </w:r>
          </w:p>
        </w:tc>
        <w:tc>
          <w:tcPr>
            <w:tcW w:w="23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920" w:type="dxa"/>
            <w:vAlign w:val="bottom"/>
            <w:tcBorders>
              <w:top w:val="single" w:sz="8" w:color="auto"/>
            </w:tcBorders>
          </w:tcPr>
          <w:p>
            <w:pPr>
              <w:jc w:val="right"/>
              <w:ind w:right="235"/>
              <w:spacing w:after="0" w:line="13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254"/>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(in £)</w:t>
            </w: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b w:val="1"/>
                <w:bCs w:val="1"/>
                <w:color w:val="auto"/>
              </w:rPr>
              <w:t>Non-current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153,361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148,934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Intangible assets</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33,005,229</w:t>
            </w:r>
          </w:p>
        </w:tc>
        <w:tc>
          <w:tcPr>
            <w:tcW w:w="3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32,632,229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33,158,590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32,781,164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Prepayments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1,970,781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1,066,932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R&amp;D tax credits</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9</w:t>
            </w:r>
          </w:p>
        </w:tc>
        <w:tc>
          <w:tcPr>
            <w:tcW w:w="920" w:type="dxa"/>
            <w:vAlign w:val="bottom"/>
          </w:tcPr>
          <w:p>
            <w:pPr>
              <w:jc w:val="right"/>
              <w:spacing w:after="0"/>
              <w:rPr>
                <w:sz w:val="20"/>
                <w:szCs w:val="20"/>
                <w:color w:val="auto"/>
              </w:rPr>
            </w:pPr>
            <w:r>
              <w:rPr>
                <w:rFonts w:ascii="Arial" w:cs="Arial" w:eastAsia="Arial" w:hAnsi="Arial"/>
                <w:sz w:val="17"/>
                <w:szCs w:val="17"/>
                <w:color w:val="auto"/>
              </w:rPr>
              <w:t>8,152,084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5,277,380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Other receivables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509,350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608,893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Short-term investments</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16</w:t>
            </w:r>
          </w:p>
        </w:tc>
        <w:tc>
          <w:tcPr>
            <w:tcW w:w="920" w:type="dxa"/>
            <w:vAlign w:val="bottom"/>
          </w:tcPr>
          <w:p>
            <w:pPr>
              <w:jc w:val="right"/>
              <w:spacing w:after="0"/>
              <w:rPr>
                <w:sz w:val="20"/>
                <w:szCs w:val="20"/>
                <w:color w:val="auto"/>
              </w:rPr>
            </w:pPr>
            <w:r>
              <w:rPr>
                <w:rFonts w:ascii="Arial" w:cs="Arial" w:eastAsia="Arial" w:hAnsi="Arial"/>
                <w:sz w:val="17"/>
                <w:szCs w:val="17"/>
                <w:color w:val="auto"/>
              </w:rPr>
              <w:t>2,500,000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2,500,000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Cash and short-term deposits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50,044,672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25,041,945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63,176,887</w:t>
            </w:r>
          </w:p>
        </w:tc>
        <w:tc>
          <w:tcPr>
            <w:tcW w:w="3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34,495,150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96,335,477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67,276,314</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Equity and liabilities</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Issued capital</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17</w:t>
            </w:r>
          </w:p>
        </w:tc>
        <w:tc>
          <w:tcPr>
            <w:tcW w:w="920" w:type="dxa"/>
            <w:vAlign w:val="bottom"/>
          </w:tcPr>
          <w:p>
            <w:pPr>
              <w:jc w:val="right"/>
              <w:spacing w:after="0"/>
              <w:rPr>
                <w:sz w:val="20"/>
                <w:szCs w:val="20"/>
                <w:color w:val="auto"/>
              </w:rPr>
            </w:pPr>
            <w:r>
              <w:rPr>
                <w:rFonts w:ascii="Arial" w:cs="Arial" w:eastAsia="Arial" w:hAnsi="Arial"/>
                <w:sz w:val="17"/>
                <w:szCs w:val="17"/>
                <w:color w:val="auto"/>
              </w:rPr>
              <w:t>213,285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213,721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Share premium</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118,226,956</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5"/>
              </w:rPr>
              <w:t>118,492,073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Other capital reserves</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17</w:t>
            </w:r>
          </w:p>
        </w:tc>
        <w:tc>
          <w:tcPr>
            <w:tcW w:w="920" w:type="dxa"/>
            <w:vAlign w:val="bottom"/>
          </w:tcPr>
          <w:p>
            <w:pPr>
              <w:jc w:val="right"/>
              <w:spacing w:after="0"/>
              <w:rPr>
                <w:sz w:val="20"/>
                <w:szCs w:val="20"/>
                <w:color w:val="auto"/>
              </w:rPr>
            </w:pPr>
            <w:r>
              <w:rPr>
                <w:rFonts w:ascii="Arial" w:cs="Arial" w:eastAsia="Arial" w:hAnsi="Arial"/>
                <w:sz w:val="17"/>
                <w:szCs w:val="17"/>
                <w:color w:val="auto"/>
              </w:rPr>
              <w:t>16,359,169</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18,592,618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Employee Benefit Trust shares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w:t>
            </w:r>
          </w:p>
        </w:tc>
        <w:tc>
          <w:tcPr>
            <w:tcW w:w="1280" w:type="dxa"/>
            <w:vAlign w:val="bottom"/>
            <w:gridSpan w:val="3"/>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(306,838)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Other reserves</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17</w:t>
            </w:r>
          </w:p>
        </w:tc>
        <w:tc>
          <w:tcPr>
            <w:tcW w:w="920" w:type="dxa"/>
            <w:vAlign w:val="bottom"/>
          </w:tcPr>
          <w:p>
            <w:pPr>
              <w:jc w:val="right"/>
              <w:spacing w:after="0"/>
              <w:rPr>
                <w:sz w:val="20"/>
                <w:szCs w:val="20"/>
                <w:color w:val="auto"/>
              </w:rPr>
            </w:pPr>
            <w:r>
              <w:rPr>
                <w:rFonts w:ascii="Arial" w:cs="Arial" w:eastAsia="Arial" w:hAnsi="Arial"/>
                <w:sz w:val="17"/>
                <w:szCs w:val="17"/>
                <w:color w:val="auto"/>
              </w:rPr>
              <w:t>7,000,000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7,000,000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Accumulated loss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w w:val="99"/>
              </w:rPr>
              <w:t>(79,315,920)</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0"/>
              </w:rPr>
              <w:t>(111,220,794)</w:t>
            </w:r>
          </w:p>
        </w:tc>
        <w:tc>
          <w:tcPr>
            <w:tcW w:w="0" w:type="dxa"/>
            <w:vAlign w:val="bottom"/>
          </w:tcPr>
          <w:p>
            <w:pPr>
              <w:spacing w:after="0"/>
              <w:rPr>
                <w:sz w:val="1"/>
                <w:szCs w:val="1"/>
                <w:color w:val="auto"/>
              </w:rPr>
            </w:pPr>
          </w:p>
        </w:tc>
      </w:tr>
      <w:tr>
        <w:trPr>
          <w:trHeight w:val="219"/>
        </w:trPr>
        <w:tc>
          <w:tcPr>
            <w:tcW w:w="7660" w:type="dxa"/>
            <w:vAlign w:val="bottom"/>
            <w:gridSpan w:val="2"/>
          </w:tcPr>
          <w:p>
            <w:pPr>
              <w:spacing w:after="0"/>
              <w:rPr>
                <w:sz w:val="20"/>
                <w:szCs w:val="20"/>
                <w:color w:val="auto"/>
              </w:rPr>
            </w:pPr>
            <w:r>
              <w:rPr>
                <w:rFonts w:ascii="Arial" w:cs="Arial" w:eastAsia="Arial" w:hAnsi="Arial"/>
                <w:sz w:val="17"/>
                <w:szCs w:val="17"/>
                <w:b w:val="1"/>
                <w:bCs w:val="1"/>
                <w:color w:val="auto"/>
              </w:rPr>
              <w:t>Total equity</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62,483,490</w:t>
            </w:r>
          </w:p>
        </w:tc>
        <w:tc>
          <w:tcPr>
            <w:tcW w:w="3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32,770,780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Non-current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Provisions</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19</w:t>
            </w:r>
          </w:p>
        </w:tc>
        <w:tc>
          <w:tcPr>
            <w:tcW w:w="920" w:type="dxa"/>
            <w:vAlign w:val="bottom"/>
          </w:tcPr>
          <w:p>
            <w:pPr>
              <w:jc w:val="right"/>
              <w:spacing w:after="0"/>
              <w:rPr>
                <w:sz w:val="20"/>
                <w:szCs w:val="20"/>
                <w:color w:val="auto"/>
              </w:rPr>
            </w:pPr>
            <w:r>
              <w:rPr>
                <w:rFonts w:ascii="Arial" w:cs="Arial" w:eastAsia="Arial" w:hAnsi="Arial"/>
                <w:sz w:val="17"/>
                <w:szCs w:val="17"/>
                <w:color w:val="auto"/>
              </w:rPr>
              <w:t>4,075,386</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2,641,353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Interest-bearing loans and borrowings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w:t>
            </w:r>
          </w:p>
        </w:tc>
        <w:tc>
          <w:tcPr>
            <w:tcW w:w="1240" w:type="dxa"/>
            <w:vAlign w:val="bottom"/>
            <w:gridSpan w:val="2"/>
            <w:shd w:val="clear" w:color="auto" w:fill="CCEEFF"/>
          </w:tcPr>
          <w:p>
            <w:pPr>
              <w:jc w:val="right"/>
              <w:ind w:right="251"/>
              <w:spacing w:after="0"/>
              <w:rPr>
                <w:sz w:val="20"/>
                <w:szCs w:val="20"/>
                <w:color w:val="auto"/>
              </w:rPr>
            </w:pPr>
            <w:r>
              <w:rPr>
                <w:rFonts w:ascii="Arial" w:cs="Arial" w:eastAsia="Arial" w:hAnsi="Arial"/>
                <w:sz w:val="17"/>
                <w:szCs w:val="17"/>
                <w:color w:val="auto"/>
              </w:rPr>
              <w:t>18,812,511</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14,646,753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Warrant liability</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20</w:t>
            </w:r>
          </w:p>
        </w:tc>
        <w:tc>
          <w:tcPr>
            <w:tcW w:w="920" w:type="dxa"/>
            <w:vAlign w:val="bottom"/>
          </w:tcPr>
          <w:p>
            <w:pPr>
              <w:jc w:val="right"/>
              <w:spacing w:after="0"/>
              <w:rPr>
                <w:sz w:val="20"/>
                <w:szCs w:val="20"/>
                <w:color w:val="auto"/>
              </w:rPr>
            </w:pPr>
            <w:r>
              <w:rPr>
                <w:rFonts w:ascii="Arial" w:cs="Arial" w:eastAsia="Arial" w:hAnsi="Arial"/>
                <w:sz w:val="17"/>
                <w:szCs w:val="17"/>
                <w:color w:val="auto"/>
              </w:rPr>
              <w:t>1,346,484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1,005,613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w:t>
            </w:r>
          </w:p>
        </w:tc>
        <w:tc>
          <w:tcPr>
            <w:tcW w:w="1280" w:type="dxa"/>
            <w:vAlign w:val="bottom"/>
            <w:gridSpan w:val="3"/>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34,289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24,234,381</w:t>
            </w:r>
          </w:p>
        </w:tc>
        <w:tc>
          <w:tcPr>
            <w:tcW w:w="3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18,328,008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Trade and other payables</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22</w:t>
            </w:r>
          </w:p>
        </w:tc>
        <w:tc>
          <w:tcPr>
            <w:tcW w:w="920" w:type="dxa"/>
            <w:vAlign w:val="bottom"/>
          </w:tcPr>
          <w:p>
            <w:pPr>
              <w:jc w:val="right"/>
              <w:spacing w:after="0"/>
              <w:rPr>
                <w:sz w:val="20"/>
                <w:szCs w:val="20"/>
                <w:color w:val="auto"/>
              </w:rPr>
            </w:pPr>
            <w:r>
              <w:rPr>
                <w:rFonts w:ascii="Arial" w:cs="Arial" w:eastAsia="Arial" w:hAnsi="Arial"/>
                <w:sz w:val="17"/>
                <w:szCs w:val="17"/>
                <w:color w:val="auto"/>
              </w:rPr>
              <w:t>3,024,026</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4,570,307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Accruals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4,379,774</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4,437,321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7"/>
                <w:szCs w:val="17"/>
                <w:color w:val="auto"/>
              </w:rPr>
              <w:t>Provisions</w:t>
            </w:r>
          </w:p>
        </w:tc>
        <w:tc>
          <w:tcPr>
            <w:tcW w:w="600" w:type="dxa"/>
            <w:vAlign w:val="bottom"/>
            <w:gridSpan w:val="2"/>
          </w:tcPr>
          <w:p>
            <w:pPr>
              <w:jc w:val="right"/>
              <w:ind w:right="260"/>
              <w:spacing w:after="0"/>
              <w:rPr>
                <w:sz w:val="20"/>
                <w:szCs w:val="20"/>
                <w:color w:val="auto"/>
              </w:rPr>
            </w:pPr>
            <w:r>
              <w:rPr>
                <w:rFonts w:ascii="Arial" w:cs="Arial" w:eastAsia="Arial" w:hAnsi="Arial"/>
                <w:sz w:val="17"/>
                <w:szCs w:val="17"/>
                <w:color w:val="auto"/>
              </w:rPr>
              <w:t>19</w:t>
            </w:r>
          </w:p>
        </w:tc>
        <w:tc>
          <w:tcPr>
            <w:tcW w:w="920" w:type="dxa"/>
            <w:vAlign w:val="bottom"/>
          </w:tcPr>
          <w:p>
            <w:pPr>
              <w:jc w:val="right"/>
              <w:spacing w:after="0"/>
              <w:rPr>
                <w:sz w:val="20"/>
                <w:szCs w:val="20"/>
                <w:color w:val="auto"/>
              </w:rPr>
            </w:pPr>
            <w:r>
              <w:rPr>
                <w:rFonts w:ascii="Arial" w:cs="Arial" w:eastAsia="Arial" w:hAnsi="Arial"/>
                <w:sz w:val="17"/>
                <w:szCs w:val="17"/>
                <w:color w:val="auto"/>
              </w:rPr>
              <w:t>274,000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332,014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Interest-bearing loans and borrowings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1,939,806</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6,837,884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9,617,606</w:t>
            </w:r>
          </w:p>
        </w:tc>
        <w:tc>
          <w:tcPr>
            <w:tcW w:w="3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16,177,526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33,851,987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34,505,534</w:t>
            </w:r>
          </w:p>
        </w:tc>
        <w:tc>
          <w:tcPr>
            <w:tcW w:w="0" w:type="dxa"/>
            <w:vAlign w:val="bottom"/>
          </w:tcPr>
          <w:p>
            <w:pPr>
              <w:spacing w:after="0"/>
              <w:rPr>
                <w:sz w:val="1"/>
                <w:szCs w:val="1"/>
                <w:color w:val="auto"/>
              </w:rPr>
            </w:pPr>
          </w:p>
        </w:tc>
      </w:tr>
      <w:tr>
        <w:trPr>
          <w:trHeight w:val="213"/>
        </w:trPr>
        <w:tc>
          <w:tcPr>
            <w:tcW w:w="7660" w:type="dxa"/>
            <w:vAlign w:val="bottom"/>
            <w:gridSpan w:val="2"/>
          </w:tcPr>
          <w:p>
            <w:pPr>
              <w:spacing w:after="0"/>
              <w:rPr>
                <w:sz w:val="20"/>
                <w:szCs w:val="20"/>
                <w:color w:val="auto"/>
              </w:rPr>
            </w:pPr>
            <w:r>
              <w:rPr>
                <w:rFonts w:ascii="Arial" w:cs="Arial" w:eastAsia="Arial" w:hAnsi="Arial"/>
                <w:sz w:val="17"/>
                <w:szCs w:val="17"/>
                <w:b w:val="1"/>
                <w:bCs w:val="1"/>
                <w:color w:val="auto"/>
              </w:rPr>
              <w:t>Total equity and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96,335,477</w:t>
            </w:r>
          </w:p>
        </w:tc>
        <w:tc>
          <w:tcPr>
            <w:tcW w:w="3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67,276,314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The accompanying notes form an integral part of these consolidated financial statements.</w:t>
      </w:r>
    </w:p>
    <w:p>
      <w:pPr>
        <w:spacing w:after="0" w:line="15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000"/>
          </w:cols>
          <w:pgMar w:left="240" w:top="445" w:right="65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 of cash flows</w:t>
      </w:r>
    </w:p>
    <w:p>
      <w:pPr>
        <w:spacing w:after="0" w:line="3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for the years ended December 31, 2016, 2017 and 2018</w:t>
      </w:r>
    </w:p>
    <w:p>
      <w:pPr>
        <w:spacing w:after="0" w:line="222"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Notes</w:t>
            </w:r>
          </w:p>
        </w:tc>
        <w:tc>
          <w:tcPr>
            <w:tcW w:w="3200" w:type="dxa"/>
            <w:vAlign w:val="bottom"/>
            <w:gridSpan w:val="6"/>
          </w:tcPr>
          <w:p>
            <w:pPr>
              <w:jc w:val="center"/>
              <w:ind w:right="19"/>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900" w:type="dxa"/>
            <w:vAlign w:val="bottom"/>
            <w:tcBorders>
              <w:top w:val="single" w:sz="8" w:color="auto"/>
            </w:tcBorders>
          </w:tcPr>
          <w:p>
            <w:pPr>
              <w:jc w:val="right"/>
              <w:ind w:right="235"/>
              <w:spacing w:after="0" w:line="13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34"/>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(in £)</w:t>
            </w: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Loss before tax</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(33,721,551)</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(46,951,138)</w:t>
            </w: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(37,306,120)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loss before tax to net cash flows: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7"/>
                <w:szCs w:val="17"/>
                <w:color w:val="auto"/>
              </w:rPr>
              <w:t>Depreciation of property, plant and equipment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32,940</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36,076</w:t>
            </w:r>
          </w:p>
        </w:tc>
        <w:tc>
          <w:tcPr>
            <w:tcW w:w="1000" w:type="dxa"/>
            <w:vAlign w:val="bottom"/>
            <w:gridSpan w:val="2"/>
          </w:tcPr>
          <w:p>
            <w:pPr>
              <w:jc w:val="right"/>
              <w:ind w:right="19"/>
              <w:spacing w:after="0"/>
              <w:rPr>
                <w:sz w:val="20"/>
                <w:szCs w:val="20"/>
                <w:color w:val="auto"/>
              </w:rPr>
            </w:pPr>
            <w:r>
              <w:rPr>
                <w:rFonts w:ascii="Arial" w:cs="Arial" w:eastAsia="Arial" w:hAnsi="Arial"/>
                <w:sz w:val="17"/>
                <w:szCs w:val="17"/>
                <w:b w:val="1"/>
                <w:bCs w:val="1"/>
                <w:color w:val="auto"/>
              </w:rPr>
              <w:t>37,796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Share-based payment expense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6,494,018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3,651,898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2,189,293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7"/>
                <w:szCs w:val="17"/>
                <w:color w:val="auto"/>
              </w:rPr>
              <w:t>Net foreign exchange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(2,262,626)</w:t>
            </w:r>
          </w:p>
        </w:tc>
        <w:tc>
          <w:tcPr>
            <w:tcW w:w="900" w:type="dxa"/>
            <w:vAlign w:val="bottom"/>
          </w:tcPr>
          <w:p>
            <w:pPr>
              <w:jc w:val="right"/>
              <w:spacing w:after="0"/>
              <w:rPr>
                <w:sz w:val="20"/>
                <w:szCs w:val="20"/>
                <w:color w:val="auto"/>
              </w:rPr>
            </w:pPr>
            <w:r>
              <w:rPr>
                <w:rFonts w:ascii="Arial" w:cs="Arial" w:eastAsia="Arial" w:hAnsi="Arial"/>
                <w:sz w:val="17"/>
                <w:szCs w:val="17"/>
                <w:color w:val="auto"/>
              </w:rPr>
              <w:t>1,384,225</w:t>
            </w:r>
          </w:p>
        </w:tc>
        <w:tc>
          <w:tcPr>
            <w:tcW w:w="200" w:type="dxa"/>
            <w:vAlign w:val="bottom"/>
          </w:tcPr>
          <w:p>
            <w:pPr>
              <w:spacing w:after="0"/>
              <w:rPr>
                <w:sz w:val="18"/>
                <w:szCs w:val="18"/>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7"/>
                <w:szCs w:val="17"/>
                <w:b w:val="1"/>
                <w:bCs w:val="1"/>
                <w:color w:val="auto"/>
              </w:rPr>
              <w:t>43,863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social security contributions on employee share options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1,031,109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1,115,966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(1,446,019)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7"/>
                <w:szCs w:val="17"/>
                <w:color w:val="auto"/>
              </w:rPr>
              <w:t>Provision for deferred cash consideration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(374,906)</w:t>
            </w: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9"/>
              <w:spacing w:after="0"/>
              <w:rPr>
                <w:sz w:val="20"/>
                <w:szCs w:val="20"/>
                <w:color w:val="auto"/>
              </w:rPr>
            </w:pPr>
            <w:r>
              <w:rPr>
                <w:rFonts w:ascii="Arial" w:cs="Arial" w:eastAsia="Arial" w:hAnsi="Arial"/>
                <w:sz w:val="17"/>
                <w:szCs w:val="17"/>
                <w:b w:val="1"/>
                <w:bCs w:val="1"/>
                <w:color w:val="auto"/>
              </w:rPr>
              <w:t>443,000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earned</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(826,855)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(306,831)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7"/>
                <w:szCs w:val="17"/>
                <w:color w:val="auto"/>
              </w:rPr>
              <w:t>Finance charges</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900" w:type="dxa"/>
            <w:vAlign w:val="bottom"/>
          </w:tcPr>
          <w:p>
            <w:pPr>
              <w:jc w:val="right"/>
              <w:spacing w:after="0"/>
              <w:rPr>
                <w:sz w:val="20"/>
                <w:szCs w:val="20"/>
                <w:color w:val="auto"/>
              </w:rPr>
            </w:pPr>
            <w:r>
              <w:rPr>
                <w:rFonts w:ascii="Arial" w:cs="Arial" w:eastAsia="Arial" w:hAnsi="Arial"/>
                <w:sz w:val="17"/>
                <w:szCs w:val="17"/>
                <w:color w:val="auto"/>
              </w:rPr>
              <w:t>179,765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1,089,925</w:t>
            </w:r>
          </w:p>
        </w:tc>
        <w:tc>
          <w:tcPr>
            <w:tcW w:w="200" w:type="dxa"/>
            <w:vAlign w:val="bottom"/>
          </w:tcPr>
          <w:p>
            <w:pPr>
              <w:spacing w:after="0"/>
              <w:rPr>
                <w:sz w:val="18"/>
                <w:szCs w:val="18"/>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7"/>
                <w:szCs w:val="17"/>
                <w:b w:val="1"/>
                <w:bCs w:val="1"/>
                <w:color w:val="auto"/>
              </w:rPr>
              <w:t>1,917,649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Modification loss on bank loan</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18b</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730,037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Working capital adjustments: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(Decrease)/Increase in receivables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(1,219,202)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(839,751)</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804,306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7"/>
                <w:szCs w:val="17"/>
                <w:color w:val="auto"/>
              </w:rPr>
              <w:t>Increase in payables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(768,402)</w:t>
            </w:r>
          </w:p>
        </w:tc>
        <w:tc>
          <w:tcPr>
            <w:tcW w:w="900" w:type="dxa"/>
            <w:vAlign w:val="bottom"/>
          </w:tcPr>
          <w:p>
            <w:pPr>
              <w:jc w:val="right"/>
              <w:spacing w:after="0"/>
              <w:rPr>
                <w:sz w:val="20"/>
                <w:szCs w:val="20"/>
                <w:color w:val="auto"/>
              </w:rPr>
            </w:pPr>
            <w:r>
              <w:rPr>
                <w:rFonts w:ascii="Arial" w:cs="Arial" w:eastAsia="Arial" w:hAnsi="Arial"/>
                <w:sz w:val="17"/>
                <w:szCs w:val="17"/>
                <w:color w:val="auto"/>
              </w:rPr>
              <w:t>3,860,412</w:t>
            </w:r>
          </w:p>
        </w:tc>
        <w:tc>
          <w:tcPr>
            <w:tcW w:w="200" w:type="dxa"/>
            <w:vAlign w:val="bottom"/>
          </w:tcPr>
          <w:p>
            <w:pPr>
              <w:spacing w:after="0"/>
              <w:rPr>
                <w:sz w:val="18"/>
                <w:szCs w:val="18"/>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7"/>
                <w:szCs w:val="17"/>
                <w:b w:val="1"/>
                <w:bCs w:val="1"/>
                <w:color w:val="auto"/>
              </w:rPr>
              <w:t>1,603,828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Tax received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946,681</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5,331,271</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8,152,085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60" w:type="dxa"/>
            <w:vAlign w:val="bottom"/>
            <w:gridSpan w:val="2"/>
          </w:tcPr>
          <w:p>
            <w:pPr>
              <w:spacing w:after="0"/>
              <w:rPr>
                <w:sz w:val="20"/>
                <w:szCs w:val="20"/>
                <w:color w:val="auto"/>
              </w:rPr>
            </w:pPr>
            <w:r>
              <w:rPr>
                <w:rFonts w:ascii="Arial" w:cs="Arial" w:eastAsia="Arial" w:hAnsi="Arial"/>
                <w:sz w:val="17"/>
                <w:szCs w:val="17"/>
                <w:b w:val="1"/>
                <w:bCs w:val="1"/>
                <w:color w:val="auto"/>
              </w:rPr>
              <w:t>Net cash flows from operating activities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(29,662,174)</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(32,147,971)</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w w:val="96"/>
              </w:rPr>
              <w:t>(23,137,113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Purchase of property, plant and equipment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(3,467)</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(15,568)</w:t>
            </w: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(35,536)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Purchase of license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(2,280,000)</w:t>
            </w: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Disposal of property, plant and equipment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900" w:type="dxa"/>
            <w:vAlign w:val="bottom"/>
          </w:tcPr>
          <w:p>
            <w:pPr>
              <w:jc w:val="right"/>
              <w:spacing w:after="0"/>
              <w:rPr>
                <w:sz w:val="20"/>
                <w:szCs w:val="20"/>
                <w:color w:val="auto"/>
              </w:rPr>
            </w:pPr>
            <w:r>
              <w:rPr>
                <w:rFonts w:ascii="Arial" w:cs="Arial" w:eastAsia="Arial" w:hAnsi="Arial"/>
                <w:sz w:val="17"/>
                <w:szCs w:val="17"/>
                <w:color w:val="auto"/>
              </w:rPr>
              <w:t>1,175</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9"/>
              <w:spacing w:after="0"/>
              <w:rPr>
                <w:sz w:val="20"/>
                <w:szCs w:val="20"/>
                <w:color w:val="auto"/>
              </w:rPr>
            </w:pPr>
            <w:r>
              <w:rPr>
                <w:rFonts w:ascii="Arial" w:cs="Arial" w:eastAsia="Arial" w:hAnsi="Arial"/>
                <w:sz w:val="17"/>
                <w:szCs w:val="17"/>
                <w:b w:val="1"/>
                <w:bCs w:val="1"/>
                <w:color w:val="auto"/>
              </w:rPr>
              <w:t>2,166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Short-term investments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(2,500,000)</w:t>
            </w: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Interest earned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374,906</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1,051,620</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284,928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flows from (used in) investing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372,614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(3,743,948)</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251,558</w:t>
            </w:r>
          </w:p>
        </w:tc>
        <w:tc>
          <w:tcPr>
            <w:tcW w:w="0" w:type="dxa"/>
            <w:vAlign w:val="bottom"/>
          </w:tcPr>
          <w:p>
            <w:pPr>
              <w:spacing w:after="0"/>
              <w:rPr>
                <w:sz w:val="1"/>
                <w:szCs w:val="1"/>
                <w:color w:val="auto"/>
              </w:rPr>
            </w:pPr>
          </w:p>
        </w:tc>
      </w:tr>
      <w:tr>
        <w:trPr>
          <w:trHeight w:val="213"/>
        </w:trPr>
        <w:tc>
          <w:tcPr>
            <w:tcW w:w="6860" w:type="dxa"/>
            <w:vAlign w:val="bottom"/>
            <w:gridSpan w:val="2"/>
          </w:tcPr>
          <w:p>
            <w:pPr>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issue of ordinary shares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67,888,820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15,000,000</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273,064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Transaction costs on issue of shares</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(2,995,864)</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(729,632)</w:t>
            </w: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(7,511)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issue of convertible loan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3,463,563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Proceeds from issue of bank loan</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18b</w:t>
            </w: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20,000,000</w:t>
            </w:r>
          </w:p>
        </w:tc>
        <w:tc>
          <w:tcPr>
            <w:tcW w:w="1000" w:type="dxa"/>
            <w:vAlign w:val="bottom"/>
            <w:gridSpan w:val="2"/>
          </w:tcPr>
          <w:p>
            <w:pPr>
              <w:jc w:val="right"/>
              <w:ind w:right="19"/>
              <w:spacing w:after="0"/>
              <w:rPr>
                <w:sz w:val="20"/>
                <w:szCs w:val="20"/>
                <w:color w:val="auto"/>
              </w:rPr>
            </w:pPr>
            <w:r>
              <w:rPr>
                <w:rFonts w:ascii="Arial" w:cs="Arial" w:eastAsia="Arial" w:hAnsi="Arial"/>
                <w:sz w:val="17"/>
                <w:szCs w:val="17"/>
                <w:b w:val="1"/>
                <w:bCs w:val="1"/>
                <w:color w:val="auto"/>
              </w:rPr>
              <w:t>455,000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Transaction costs on bank loan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(920,859)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Interest paid on bank loan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(327,123)</w:t>
            </w: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(1,644,610)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TAP agreement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78,445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Purchase of treasury shares</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27</w:t>
            </w: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(306,838)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flows from (used in) 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68,356,519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33,743,245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(2,073,309)</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7"/>
                <w:szCs w:val="17"/>
                <w:color w:val="auto"/>
              </w:rPr>
              <w:t>Net (decrease) in cash and cash equivalents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8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39,066,959</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(2,148,674)</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w w:val="91"/>
              </w:rPr>
              <w:t>(24,958,864)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January 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12,247,986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53,577,571</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50,044,672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2,262,626</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(1,384,225)</w:t>
            </w:r>
          </w:p>
        </w:tc>
        <w:tc>
          <w:tcPr>
            <w:tcW w:w="1000" w:type="dxa"/>
            <w:vAlign w:val="bottom"/>
            <w:gridSpan w:val="2"/>
          </w:tcPr>
          <w:p>
            <w:pPr>
              <w:jc w:val="right"/>
              <w:spacing w:after="0"/>
              <w:rPr>
                <w:sz w:val="20"/>
                <w:szCs w:val="20"/>
                <w:color w:val="auto"/>
              </w:rPr>
            </w:pPr>
            <w:r>
              <w:rPr>
                <w:rFonts w:ascii="Arial" w:cs="Arial" w:eastAsia="Arial" w:hAnsi="Arial"/>
                <w:sz w:val="17"/>
                <w:szCs w:val="17"/>
                <w:b w:val="1"/>
                <w:bCs w:val="1"/>
                <w:color w:val="auto"/>
              </w:rPr>
              <w:t>(43,863)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at December 31</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53,577,571</w:t>
            </w: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50,044,672</w:t>
            </w: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25,041,945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The accompanying notes form an integral part of these consolidated financial statements.</w:t>
      </w:r>
    </w:p>
    <w:p>
      <w:pPr>
        <w:spacing w:after="0" w:line="15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000"/>
          </w:cols>
          <w:pgMar w:left="240" w:top="445" w:right="65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 of changes in equity</w:t>
      </w:r>
    </w:p>
    <w:p>
      <w:pPr>
        <w:spacing w:after="0" w:line="3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for the years ended December 31, 2016, 2017 and 2018</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Issued</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8"/>
              </w:rPr>
              <w:t>Share premium</w:t>
            </w:r>
          </w:p>
        </w:tc>
        <w:tc>
          <w:tcPr>
            <w:tcW w:w="1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Other capital</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Employee</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Other reserves</w:t>
            </w:r>
          </w:p>
        </w:tc>
        <w:tc>
          <w:tcPr>
            <w:tcW w:w="16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reserves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Benefit Trust</w:t>
            </w: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(in £)</w:t>
            </w:r>
          </w:p>
        </w:tc>
        <w:tc>
          <w:tcPr>
            <w:tcW w:w="8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January 1, 2016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213,285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118,226,956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16,359,169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7,000,000</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(79,315,920)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62,483,490</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7"/>
                <w:szCs w:val="17"/>
                <w:color w:val="auto"/>
              </w:rPr>
              <w:t>Total comprehensive loss for the year</w:t>
            </w: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380" w:type="dxa"/>
            <w:vAlign w:val="bottom"/>
            <w:gridSpan w:val="2"/>
            <w:vMerge w:val="continue"/>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(28,390,280)</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(28,390,280)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Issue of share capital (Note 17)</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107,709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67,781,112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67,888,821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7"/>
                <w:szCs w:val="17"/>
                <w:color w:val="auto"/>
                <w:w w:val="97"/>
              </w:rPr>
              <w:t>Share-based payments – share options (Note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80" w:type="dxa"/>
            <w:vAlign w:val="bottom"/>
            <w:gridSpan w:val="2"/>
          </w:tcPr>
          <w:p>
            <w:pPr>
              <w:ind w:left="160"/>
              <w:spacing w:after="0"/>
              <w:rPr>
                <w:sz w:val="20"/>
                <w:szCs w:val="20"/>
                <w:color w:val="auto"/>
              </w:rPr>
            </w:pPr>
            <w:r>
              <w:rPr>
                <w:rFonts w:ascii="Arial" w:cs="Arial" w:eastAsia="Arial" w:hAnsi="Arial"/>
                <w:sz w:val="17"/>
                <w:szCs w:val="17"/>
                <w:color w:val="auto"/>
              </w:rPr>
              <w:t>25)</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6,185,067</w:t>
            </w:r>
          </w:p>
        </w:tc>
        <w:tc>
          <w:tcPr>
            <w:tcW w:w="2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6,185,067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Share-based payments – LTIPs (Note 25)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133,601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133,601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7"/>
                <w:szCs w:val="17"/>
                <w:color w:val="auto"/>
                <w:w w:val="91"/>
              </w:rPr>
              <w:t>Share-based payments – deferred bonus shares</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ind w:left="140"/>
              <w:spacing w:after="0"/>
              <w:rPr>
                <w:sz w:val="20"/>
                <w:szCs w:val="20"/>
                <w:color w:val="auto"/>
              </w:rPr>
            </w:pPr>
            <w:r>
              <w:rPr>
                <w:rFonts w:ascii="Arial" w:cs="Arial" w:eastAsia="Arial" w:hAnsi="Arial"/>
                <w:sz w:val="17"/>
                <w:szCs w:val="17"/>
                <w:color w:val="auto"/>
              </w:rPr>
              <w:t>(Note 25)</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175,350</w:t>
            </w:r>
          </w:p>
        </w:tc>
        <w:tc>
          <w:tcPr>
            <w:tcW w:w="2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175,350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Issue of share capital (Note 17)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26,092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15,977,271</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(16,003,363)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w w:val="98"/>
              </w:rPr>
              <w:t>Equity element of convertible loan (Note 18a)</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516,802</w:t>
            </w: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516,802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Share capital reduction (Note 17)</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7"/>
                <w:szCs w:val="17"/>
                <w:color w:val="auto"/>
                <w:w w:val="95"/>
              </w:rPr>
              <w:t>Transaction costs on issuance of share capital</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ind w:left="140"/>
              <w:spacing w:after="0"/>
              <w:rPr>
                <w:sz w:val="20"/>
                <w:szCs w:val="20"/>
                <w:color w:val="auto"/>
              </w:rPr>
            </w:pPr>
            <w:r>
              <w:rPr>
                <w:rFonts w:ascii="Arial" w:cs="Arial" w:eastAsia="Arial" w:hAnsi="Arial"/>
                <w:sz w:val="17"/>
                <w:szCs w:val="17"/>
                <w:color w:val="auto"/>
              </w:rPr>
              <w:t>(Note 17)</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(2,995,864)</w:t>
            </w:r>
          </w:p>
        </w:tc>
        <w:tc>
          <w:tcPr>
            <w:tcW w:w="14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(2,995,864)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December 31, 2016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193,022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99,975,399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12,667,562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7,000,000</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(40,579,241)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79,256,742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Loss for the year to December 31, 2017</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7"/>
                <w:szCs w:val="17"/>
                <w:color w:val="auto"/>
              </w:rPr>
              <w:t>(38,799,054)</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(38,799,054)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w w:val="97"/>
              </w:rPr>
              <w:t>Share-based payments – share options (Note</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3,027,963</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3,027,963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Share-based payments – LTIPs (Note 25)</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298,287</w:t>
            </w: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298,287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w w:val="91"/>
              </w:rPr>
              <w:t>Share-based payments – deferred bonus shares</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(Note 25)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325,648</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325,648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Share-based payments – deferred equity</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ind w:left="140"/>
              <w:spacing w:after="0"/>
              <w:rPr>
                <w:sz w:val="20"/>
                <w:szCs w:val="20"/>
                <w:color w:val="auto"/>
              </w:rPr>
            </w:pPr>
            <w:r>
              <w:rPr>
                <w:rFonts w:ascii="Arial" w:cs="Arial" w:eastAsia="Arial" w:hAnsi="Arial"/>
                <w:sz w:val="17"/>
                <w:szCs w:val="17"/>
                <w:color w:val="auto"/>
              </w:rPr>
              <w:t>consideration (Note 25)</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1,331,288</w:t>
            </w:r>
          </w:p>
        </w:tc>
        <w:tc>
          <w:tcPr>
            <w:tcW w:w="2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1,331,288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Issue of share capital on April 4, 2017 (Note</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17)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15,125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14,984,875</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15,000,000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Issue of share capital on conversion of loan</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ind w:left="140"/>
              <w:spacing w:after="0"/>
              <w:rPr>
                <w:sz w:val="20"/>
                <w:szCs w:val="20"/>
                <w:color w:val="auto"/>
              </w:rPr>
            </w:pPr>
            <w:r>
              <w:rPr>
                <w:rFonts w:ascii="Arial" w:cs="Arial" w:eastAsia="Arial" w:hAnsi="Arial"/>
                <w:sz w:val="17"/>
                <w:szCs w:val="17"/>
                <w:color w:val="auto"/>
              </w:rPr>
              <w:t>note (Note 17)</w:t>
            </w:r>
          </w:p>
        </w:tc>
        <w:tc>
          <w:tcPr>
            <w:tcW w:w="620" w:type="dxa"/>
            <w:vAlign w:val="bottom"/>
          </w:tcPr>
          <w:p>
            <w:pPr>
              <w:jc w:val="right"/>
              <w:spacing w:after="0"/>
              <w:rPr>
                <w:sz w:val="20"/>
                <w:szCs w:val="20"/>
                <w:color w:val="auto"/>
              </w:rPr>
            </w:pPr>
            <w:r>
              <w:rPr>
                <w:rFonts w:ascii="Arial" w:cs="Arial" w:eastAsia="Arial" w:hAnsi="Arial"/>
                <w:sz w:val="17"/>
                <w:szCs w:val="17"/>
                <w:color w:val="auto"/>
              </w:rPr>
              <w:t>1,899</w:t>
            </w: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1,396,654</w:t>
            </w:r>
          </w:p>
        </w:tc>
        <w:tc>
          <w:tcPr>
            <w:tcW w:w="14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1,398,553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w w:val="93"/>
              </w:rPr>
              <w:t>Issue of share capital for Novartis bonus shares</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(Note 17)</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1,081,133</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(1,082,899)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w w:val="98"/>
              </w:rPr>
              <w:t>Equity element of convertible loan (Note 18a)</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7"/>
                <w:szCs w:val="17"/>
                <w:color w:val="auto"/>
              </w:rPr>
              <w:t>(208,680)</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(208,680)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Conversion of convertible loan (Note 18a)</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62,375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62,375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Issue of share capital on October 31, 2017</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ind w:left="140"/>
              <w:spacing w:after="0"/>
              <w:rPr>
                <w:sz w:val="20"/>
                <w:szCs w:val="20"/>
                <w:color w:val="auto"/>
              </w:rPr>
            </w:pPr>
            <w:r>
              <w:rPr>
                <w:rFonts w:ascii="Arial" w:cs="Arial" w:eastAsia="Arial" w:hAnsi="Arial"/>
                <w:sz w:val="17"/>
                <w:szCs w:val="17"/>
                <w:color w:val="auto"/>
              </w:rPr>
              <w:t>(Note 17)</w:t>
            </w:r>
          </w:p>
        </w:tc>
        <w:tc>
          <w:tcPr>
            <w:tcW w:w="620" w:type="dxa"/>
            <w:vAlign w:val="bottom"/>
          </w:tcPr>
          <w:p>
            <w:pPr>
              <w:jc w:val="right"/>
              <w:spacing w:after="0"/>
              <w:rPr>
                <w:sz w:val="20"/>
                <w:szCs w:val="20"/>
                <w:color w:val="auto"/>
              </w:rPr>
            </w:pPr>
            <w:r>
              <w:rPr>
                <w:rFonts w:ascii="Arial" w:cs="Arial" w:eastAsia="Arial" w:hAnsi="Arial"/>
                <w:sz w:val="17"/>
                <w:szCs w:val="17"/>
                <w:color w:val="auto"/>
              </w:rPr>
              <w:t>1,473</w:t>
            </w: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1,518,527</w:t>
            </w:r>
          </w:p>
        </w:tc>
        <w:tc>
          <w:tcPr>
            <w:tcW w:w="14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1,520,000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w w:val="95"/>
              </w:rPr>
              <w:t>Transaction costs on issuance of share capital</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(Note 17)</w:t>
            </w: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(729,632)</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(729,632)</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At December 31, 2017</w:t>
            </w: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380" w:type="dxa"/>
            <w:vAlign w:val="bottom"/>
            <w:gridSpan w:val="2"/>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213,285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118,226,956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16,359,169</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7,000,000</w:t>
            </w:r>
          </w:p>
        </w:tc>
        <w:tc>
          <w:tcPr>
            <w:tcW w:w="1320" w:type="dxa"/>
            <w:vAlign w:val="bottom"/>
            <w:gridSpan w:val="3"/>
          </w:tcPr>
          <w:p>
            <w:pPr>
              <w:jc w:val="right"/>
              <w:ind w:right="140"/>
              <w:spacing w:after="0"/>
              <w:rPr>
                <w:sz w:val="20"/>
                <w:szCs w:val="20"/>
                <w:color w:val="auto"/>
              </w:rPr>
            </w:pPr>
            <w:r>
              <w:rPr>
                <w:rFonts w:ascii="Arial" w:cs="Arial" w:eastAsia="Arial" w:hAnsi="Arial"/>
                <w:sz w:val="17"/>
                <w:szCs w:val="17"/>
                <w:color w:val="auto"/>
              </w:rPr>
              <w:t>(79,315,920)</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62,483,490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Loss for the year to December 31, 2018</w:t>
            </w: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(32,028,740)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(32,028,740)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Adoption of IFRS 9 (Note 2.2)</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320" w:type="dxa"/>
            <w:vAlign w:val="bottom"/>
            <w:gridSpan w:val="3"/>
          </w:tcPr>
          <w:p>
            <w:pPr>
              <w:jc w:val="right"/>
              <w:ind w:right="200"/>
              <w:spacing w:after="0"/>
              <w:rPr>
                <w:sz w:val="20"/>
                <w:szCs w:val="20"/>
                <w:color w:val="auto"/>
              </w:rPr>
            </w:pPr>
            <w:r>
              <w:rPr>
                <w:rFonts w:ascii="Arial" w:cs="Arial" w:eastAsia="Arial" w:hAnsi="Arial"/>
                <w:sz w:val="17"/>
                <w:szCs w:val="17"/>
                <w:color w:val="auto"/>
              </w:rPr>
              <w:t>123,866</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123,866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w w:val="97"/>
              </w:rPr>
              <w:t>Share-based payments – share options (Note</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25)</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1,869,955</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1,869,955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Share-based payments – LTIPs (Note 25)</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319,338</w:t>
            </w: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319,338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Issue of share capital on June 1, 2018 (Note</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17)</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150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150,078</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150,228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Issue of share capital on August 3, 2018 on</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tcPr>
          <w:p>
            <w:pPr>
              <w:ind w:left="140"/>
              <w:spacing w:after="0"/>
              <w:rPr>
                <w:sz w:val="20"/>
                <w:szCs w:val="20"/>
                <w:color w:val="auto"/>
              </w:rPr>
            </w:pPr>
            <w:r>
              <w:rPr>
                <w:rFonts w:ascii="Arial" w:cs="Arial" w:eastAsia="Arial" w:hAnsi="Arial"/>
                <w:sz w:val="17"/>
                <w:szCs w:val="17"/>
                <w:color w:val="auto"/>
              </w:rPr>
              <w:t>exercise of options (Note 17)</w:t>
            </w:r>
          </w:p>
        </w:tc>
        <w:tc>
          <w:tcPr>
            <w:tcW w:w="620" w:type="dxa"/>
            <w:vAlign w:val="bottom"/>
          </w:tcPr>
          <w:p>
            <w:pPr>
              <w:jc w:val="right"/>
              <w:spacing w:after="0"/>
              <w:rPr>
                <w:sz w:val="20"/>
                <w:szCs w:val="20"/>
                <w:color w:val="auto"/>
              </w:rPr>
            </w:pPr>
            <w:r>
              <w:rPr>
                <w:rFonts w:ascii="Arial" w:cs="Arial" w:eastAsia="Arial" w:hAnsi="Arial"/>
                <w:sz w:val="17"/>
                <w:szCs w:val="17"/>
                <w:color w:val="auto"/>
              </w:rPr>
              <w:t>30</w:t>
            </w: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12,870</w:t>
            </w:r>
          </w:p>
        </w:tc>
        <w:tc>
          <w:tcPr>
            <w:tcW w:w="14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12,900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w w:val="97"/>
              </w:rPr>
              <w:t>Issue of share capital on October 22, 2018 on</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 of options (Note 17)</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256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109,680</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109,936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w w:val="94"/>
              </w:rPr>
              <w:t>Issue of warrants for TAP agreement (Note 17)</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7"/>
                <w:szCs w:val="17"/>
                <w:color w:val="auto"/>
              </w:rPr>
              <w:t>44,156</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44,156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w w:val="95"/>
              </w:rPr>
              <w:t>Transaction costs on issuance of share capital</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(Note 17)</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(7,511)</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Purchase of treasury shares (Note 27)</w:t>
            </w:r>
          </w:p>
        </w:tc>
        <w:tc>
          <w:tcPr>
            <w:tcW w:w="620" w:type="dxa"/>
            <w:vAlign w:val="bottom"/>
          </w:tcPr>
          <w:p>
            <w:pPr>
              <w:ind w:lef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(306,838)</w:t>
            </w:r>
          </w:p>
        </w:tc>
        <w:tc>
          <w:tcPr>
            <w:tcW w:w="860" w:type="dxa"/>
            <w:vAlign w:val="bottom"/>
          </w:tcPr>
          <w:p>
            <w:pPr>
              <w:ind w:left="6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(306,838)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December 31, 2018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213,721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118,492,073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18,592,618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(306,838)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7,000,000</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(111,220,794)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32,770,780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right"/>
              <w:ind w:right="980"/>
              <w:spacing w:after="0"/>
              <w:rPr>
                <w:sz w:val="20"/>
                <w:szCs w:val="20"/>
                <w:color w:val="auto"/>
              </w:rPr>
            </w:pPr>
            <w:r>
              <w:rPr>
                <w:rFonts w:ascii="Arial" w:cs="Arial" w:eastAsia="Arial" w:hAnsi="Arial"/>
                <w:sz w:val="17"/>
                <w:szCs w:val="17"/>
                <w:color w:val="auto"/>
                <w:w w:val="93"/>
              </w:rPr>
              <w:t>F-6</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45" w:right="65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 Corporate information</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Mereo BioPharma Group plc (the “Company”) is a clinical-stage, U.K.-based biopharmaceutical company focused on rare diseases.</w:t>
      </w:r>
    </w:p>
    <w:p>
      <w:pPr>
        <w:spacing w:after="0" w:line="219" w:lineRule="exact"/>
        <w:rPr>
          <w:sz w:val="20"/>
          <w:szCs w:val="20"/>
          <w:color w:val="auto"/>
        </w:rPr>
      </w:pPr>
    </w:p>
    <w:p>
      <w:pPr>
        <w:ind w:left="440" w:right="80" w:firstLine="423"/>
        <w:spacing w:after="0" w:line="285" w:lineRule="auto"/>
        <w:rPr>
          <w:sz w:val="20"/>
          <w:szCs w:val="20"/>
          <w:color w:val="auto"/>
        </w:rPr>
      </w:pPr>
      <w:r>
        <w:rPr>
          <w:rFonts w:ascii="Arial" w:cs="Arial" w:eastAsia="Arial" w:hAnsi="Arial"/>
          <w:sz w:val="16"/>
          <w:szCs w:val="16"/>
          <w:color w:val="auto"/>
        </w:rPr>
        <w:t>The Company is a public limited company incorporated and domiciled in the U.K., and registered in England, with our shares publicly traded on the Alternative Investment Market of the London Stock Exchange under the ticker symbol “MPH”. As of April 24, 2019, we are also listed on the Nasdaq Global Exchange via American Depositary Receipts (ADRs) under the ticker symbol “MREO” following the completion of the merger with OncoMed Pharmaceuticals, Inc. (“OncoMed”). Our registered office is located at Fourth Floor, 1 Cavendish Place, London W1G 0QF.</w:t>
      </w:r>
    </w:p>
    <w:p>
      <w:pPr>
        <w:spacing w:after="0" w:line="162" w:lineRule="exact"/>
        <w:rPr>
          <w:sz w:val="20"/>
          <w:szCs w:val="20"/>
          <w:color w:val="auto"/>
        </w:rPr>
      </w:pPr>
    </w:p>
    <w:p>
      <w:pPr>
        <w:ind w:left="440" w:right="680" w:firstLine="423"/>
        <w:spacing w:after="0" w:line="284" w:lineRule="auto"/>
        <w:rPr>
          <w:sz w:val="20"/>
          <w:szCs w:val="20"/>
          <w:color w:val="auto"/>
        </w:rPr>
      </w:pPr>
      <w:r>
        <w:rPr>
          <w:rFonts w:ascii="Arial" w:cs="Arial" w:eastAsia="Arial" w:hAnsi="Arial"/>
          <w:sz w:val="17"/>
          <w:szCs w:val="17"/>
          <w:color w:val="auto"/>
        </w:rPr>
        <w:t>The consolidated financial statements of Mereo BioPharma Group plc and its subsidiaries (collectively, the “Group”) for the year ended December 31, 2018 were authorized for issue in accordance with a resolution of the directors on April 28, 2019.</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 Significant accounting policies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2.1 Basis of preparation</w:t>
      </w:r>
    </w:p>
    <w:p>
      <w:pPr>
        <w:spacing w:after="0" w:line="115" w:lineRule="exact"/>
        <w:rPr>
          <w:sz w:val="20"/>
          <w:szCs w:val="20"/>
          <w:color w:val="auto"/>
        </w:rPr>
      </w:pPr>
    </w:p>
    <w:p>
      <w:pPr>
        <w:ind w:left="440" w:right="80" w:firstLine="423"/>
        <w:spacing w:after="0" w:line="284" w:lineRule="auto"/>
        <w:rPr>
          <w:sz w:val="20"/>
          <w:szCs w:val="20"/>
          <w:color w:val="auto"/>
        </w:rPr>
      </w:pPr>
      <w:r>
        <w:rPr>
          <w:rFonts w:ascii="Arial" w:cs="Arial" w:eastAsia="Arial" w:hAnsi="Arial"/>
          <w:sz w:val="17"/>
          <w:szCs w:val="17"/>
          <w:color w:val="auto"/>
        </w:rPr>
        <w:t>The Group’s annual financial statements have been prepared in accordance with International Financial Reporting Standards (IFRS) as issued by the International Accounting Standards Board (IASB).</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financial information is presented in pounds sterling (“Sterling”).</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2.2 Adoption of new accounting policies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policies have been adopted since the start of the period:</w:t>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a) IFRS 9 Financial Instruments.</w:t>
      </w:r>
    </w:p>
    <w:p>
      <w:pPr>
        <w:spacing w:after="0" w:line="115" w:lineRule="exact"/>
        <w:rPr>
          <w:sz w:val="20"/>
          <w:szCs w:val="20"/>
          <w:color w:val="auto"/>
        </w:rPr>
      </w:pPr>
    </w:p>
    <w:p>
      <w:pPr>
        <w:ind w:left="440" w:firstLine="423"/>
        <w:spacing w:after="0" w:line="281" w:lineRule="auto"/>
        <w:rPr>
          <w:sz w:val="20"/>
          <w:szCs w:val="20"/>
          <w:color w:val="auto"/>
        </w:rPr>
      </w:pPr>
      <w:r>
        <w:rPr>
          <w:rFonts w:ascii="Arial" w:cs="Arial" w:eastAsia="Arial" w:hAnsi="Arial"/>
          <w:sz w:val="16"/>
          <w:szCs w:val="16"/>
          <w:color w:val="auto"/>
        </w:rPr>
        <w:t>In the current period the Group has applied IFRS 9 Financial Instruments (as revised in July 2014) and the related consequential amendments to other IFRS. IFRS 9 introduces new requirements for 1) the classification and measurement of financial assets and financial liabilities, 2) impairment for financial assets, 3) general hedge accounting and 4) new accounting for certain modifications and exchanges of financial liabilities measured at amortized cost. The only impact on the Group is in relation to the non-substantial modification of the convertible loan notes, as detailed below. The Group has applied IFRS 9 in full without restating comparatives with an initial date of application of January 1, 2018.</w:t>
      </w:r>
    </w:p>
    <w:p>
      <w:pPr>
        <w:spacing w:after="0" w:line="166"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In relation to the non-substantial modification of financial liabilities, IFRS 9 requires the recognition of a modification gain or loss for exchanges or modifications of financial liabilities that do not result in derecognition of the financial liability. As a result, under IFRS 9 the carrying value of the convertible loan notes at the date of modification, as more fully described in Note 18a, was adjusted to recognize the modification gain in the retained earnings as of the date of initial application of IFRS 9 (January 1, 2018).</w:t>
      </w:r>
    </w:p>
    <w:p>
      <w:pPr>
        <w:spacing w:after="0" w:line="377"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Interest-bearing loans and borrowings – convertible loan notes</w:t>
      </w:r>
    </w:p>
    <w:p>
      <w:pPr>
        <w:spacing w:after="0" w:line="241" w:lineRule="exact"/>
        <w:rPr>
          <w:sz w:val="20"/>
          <w:szCs w:val="20"/>
          <w:color w:val="auto"/>
        </w:rPr>
      </w:pPr>
    </w:p>
    <w:tbl>
      <w:tblPr>
        <w:tblLayout w:type="fixed"/>
        <w:tblInd w:w="212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 £)</w:t>
            </w:r>
          </w:p>
        </w:tc>
      </w:tr>
      <w:tr>
        <w:trPr>
          <w:trHeight w:val="20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At January 1, 2018 calculated under IAS 39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1,977,393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7"/>
                <w:szCs w:val="17"/>
                <w:color w:val="auto"/>
              </w:rPr>
              <w:t>Amounts restated through retained earnings</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(123,865)</w:t>
            </w:r>
          </w:p>
        </w:tc>
      </w:tr>
      <w:tr>
        <w:trPr>
          <w:trHeight w:val="207"/>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At January 1, 2018 under IFRS 9</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1,853,528</w:t>
            </w:r>
          </w:p>
        </w:tc>
        <w:tc>
          <w:tcPr>
            <w:tcW w:w="100" w:type="dxa"/>
            <w:vAlign w:val="bottom"/>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right="420" w:firstLine="423"/>
        <w:spacing w:after="0" w:line="284" w:lineRule="auto"/>
        <w:rPr>
          <w:sz w:val="20"/>
          <w:szCs w:val="20"/>
          <w:color w:val="auto"/>
        </w:rPr>
      </w:pPr>
      <w:r>
        <w:rPr>
          <w:rFonts w:ascii="Arial" w:cs="Arial" w:eastAsia="Arial" w:hAnsi="Arial"/>
          <w:sz w:val="17"/>
          <w:szCs w:val="17"/>
          <w:color w:val="auto"/>
        </w:rPr>
        <w:t>The Group has considered the adoption of IFRS 9 on receivables and determined the expected credit loss to be immaterial, and therefore no adjustment has been made for this.</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b) IFRS 15 Revenue from Contracts with Customers</w:t>
      </w:r>
    </w:p>
    <w:p>
      <w:pPr>
        <w:spacing w:after="0" w:line="115" w:lineRule="exact"/>
        <w:rPr>
          <w:sz w:val="20"/>
          <w:szCs w:val="20"/>
          <w:color w:val="auto"/>
        </w:rPr>
      </w:pPr>
    </w:p>
    <w:p>
      <w:pPr>
        <w:ind w:left="440" w:right="360" w:firstLine="423"/>
        <w:spacing w:after="0" w:line="354" w:lineRule="auto"/>
        <w:rPr>
          <w:sz w:val="20"/>
          <w:szCs w:val="20"/>
          <w:color w:val="auto"/>
        </w:rPr>
      </w:pPr>
      <w:r>
        <w:rPr>
          <w:rFonts w:ascii="Arial" w:cs="Arial" w:eastAsia="Arial" w:hAnsi="Arial"/>
          <w:sz w:val="15"/>
          <w:szCs w:val="15"/>
          <w:color w:val="auto"/>
        </w:rPr>
        <w:t>In the current period the Group has adopted IFRS 15 Revenue from Contracts with Customers. The new revenue standard is applicable to all entities and will supersede all current revenue recognition requirements under IFRS. There has been no impact on Group reporting in the period.</w:t>
      </w:r>
    </w:p>
    <w:p>
      <w:pPr>
        <w:spacing w:after="0" w:line="4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920"/>
          </w:cols>
          <w:pgMar w:left="240" w:top="445" w:right="7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 IFRS 16 Leases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General impact of application of IFRS 16 Leases</w:t>
      </w:r>
    </w:p>
    <w:p>
      <w:pPr>
        <w:spacing w:after="0" w:line="121" w:lineRule="exact"/>
        <w:rPr>
          <w:sz w:val="20"/>
          <w:szCs w:val="20"/>
          <w:color w:val="auto"/>
        </w:rPr>
      </w:pPr>
    </w:p>
    <w:p>
      <w:pPr>
        <w:ind w:left="440" w:right="20" w:firstLine="423"/>
        <w:spacing w:after="0" w:line="304" w:lineRule="auto"/>
        <w:rPr>
          <w:sz w:val="20"/>
          <w:szCs w:val="20"/>
          <w:color w:val="auto"/>
        </w:rPr>
      </w:pPr>
      <w:r>
        <w:rPr>
          <w:rFonts w:ascii="Arial" w:cs="Arial" w:eastAsia="Arial" w:hAnsi="Arial"/>
          <w:sz w:val="15"/>
          <w:szCs w:val="15"/>
          <w:color w:val="auto"/>
        </w:rPr>
        <w:t>IFRS 16 provides a comprehensive model for the identification of lease arrangements and their treatment in the financial statements for both lessors and lessees. IFRS 16 will supersede the current lease guidance including IAS 17 Leases and the related Interpretations when it becomes effective for accounting periods beginning on or after January 1, 2019. The date of initial application of IFRS 16 for the Group will be January 1, 2019. The Group has chosen the modified retrospective application of IFRS 16 in accordance with IFRS 16:C5(b). Consequently, the Group will not restate the comparative information. In contrast to lessee accounting, IFRS 16 substantially carries forward the lessor accounting requirements in IAS 17.</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Impact of the new definition of a lease</w:t>
      </w:r>
    </w:p>
    <w:p>
      <w:pPr>
        <w:spacing w:after="0" w:line="121" w:lineRule="exact"/>
        <w:rPr>
          <w:sz w:val="20"/>
          <w:szCs w:val="20"/>
          <w:color w:val="auto"/>
        </w:rPr>
      </w:pPr>
    </w:p>
    <w:p>
      <w:pPr>
        <w:ind w:left="440" w:right="20" w:firstLine="423"/>
        <w:spacing w:after="0" w:line="269" w:lineRule="auto"/>
        <w:rPr>
          <w:sz w:val="20"/>
          <w:szCs w:val="20"/>
          <w:color w:val="auto"/>
        </w:rPr>
      </w:pPr>
      <w:r>
        <w:rPr>
          <w:rFonts w:ascii="Arial" w:cs="Arial" w:eastAsia="Arial" w:hAnsi="Arial"/>
          <w:sz w:val="17"/>
          <w:szCs w:val="17"/>
          <w:color w:val="auto"/>
        </w:rPr>
        <w:t>The Group will make use of the practical expedient available on transition to IFRS 16 not to reassess whether a contract is or contains a lease. Accordingly, the definition of a lease in accordance with IAS 17 and IFRIC 4 will continue to apply to those leases entered or modified before 1 January 2019.</w:t>
      </w:r>
    </w:p>
    <w:p>
      <w:pPr>
        <w:spacing w:after="0" w:line="171" w:lineRule="exact"/>
        <w:rPr>
          <w:sz w:val="20"/>
          <w:szCs w:val="20"/>
          <w:color w:val="auto"/>
        </w:rPr>
      </w:pPr>
    </w:p>
    <w:p>
      <w:pPr>
        <w:ind w:left="440" w:right="340" w:firstLine="423"/>
        <w:spacing w:after="0" w:line="316" w:lineRule="auto"/>
        <w:rPr>
          <w:sz w:val="20"/>
          <w:szCs w:val="20"/>
          <w:color w:val="auto"/>
        </w:rPr>
      </w:pPr>
      <w:r>
        <w:rPr>
          <w:rFonts w:ascii="Arial" w:cs="Arial" w:eastAsia="Arial" w:hAnsi="Arial"/>
          <w:sz w:val="16"/>
          <w:szCs w:val="16"/>
          <w:color w:val="auto"/>
        </w:rPr>
        <w:t>The change in definition of a lease mainly relates to the concept of control. IFRS 16 distinguishes between leases and service contracts on the basis of whether the use of an identified asset is controlled by the customer. Control is considered to exist if the customer has:</w:t>
      </w:r>
    </w:p>
    <w:p>
      <w:pPr>
        <w:spacing w:after="0" w:line="46" w:lineRule="exact"/>
        <w:rPr>
          <w:sz w:val="20"/>
          <w:szCs w:val="20"/>
          <w:color w:val="auto"/>
        </w:rPr>
      </w:pPr>
    </w:p>
    <w:p>
      <w:pPr>
        <w:ind w:left="1260" w:hanging="415"/>
        <w:spacing w:after="0"/>
        <w:tabs>
          <w:tab w:leader="none" w:pos="12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right to obtain substantially all of the economic benefits from the use of an identified asset;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right to direct the use of that asset.</w:t>
      </w:r>
    </w:p>
    <w:p>
      <w:pPr>
        <w:spacing w:after="0" w:line="219"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The Group will apply the definition of a lease and related guidance set out in IFRS 16 to all lease contracts entered into or modified on or after January 1, 2019 (whether it is a lessor or a lessee in the lease contract). In preparation for the first-time application of IFRS 16, the Group has carried out an implementation project. The project has shown that the new definition in IFRS 16 will not change significantly the scope of contracts that meet the definition of a lease for the Group.</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Impact on lessee accounting</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IFRS 16 will change how the Group accounts for leases previously classified as operating leases under IAS 17, which were off-balance sheet.</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On initial application of IFRS 16, for all leases (except as noted below), the Group will:</w:t>
      </w:r>
    </w:p>
    <w:p>
      <w:pPr>
        <w:spacing w:after="0" w:line="128" w:lineRule="exact"/>
        <w:rPr>
          <w:sz w:val="20"/>
          <w:szCs w:val="20"/>
          <w:color w:val="auto"/>
        </w:rPr>
      </w:pPr>
    </w:p>
    <w:p>
      <w:pPr>
        <w:ind w:left="840" w:right="160" w:hanging="409"/>
        <w:spacing w:after="0" w:line="284" w:lineRule="auto"/>
        <w:tabs>
          <w:tab w:leader="none" w:pos="8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recognize right-of-use assets and lease liabilities in the consolidated statement of financial position, initially measured at the present value of the future lease payments;</w:t>
      </w:r>
    </w:p>
    <w:p>
      <w:pPr>
        <w:spacing w:after="0" w:line="68" w:lineRule="exact"/>
        <w:rPr>
          <w:rFonts w:ascii="Arial" w:cs="Arial" w:eastAsia="Arial" w:hAnsi="Arial"/>
          <w:sz w:val="17"/>
          <w:szCs w:val="17"/>
          <w:color w:val="auto"/>
        </w:rPr>
      </w:pPr>
    </w:p>
    <w:p>
      <w:pPr>
        <w:ind w:left="840" w:hanging="409"/>
        <w:spacing w:after="0"/>
        <w:tabs>
          <w:tab w:leader="none" w:pos="8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recognize depreciation of right-of-use assets and interest on lease liabilities in the consolidated statement of profit or loss;</w:t>
      </w:r>
    </w:p>
    <w:p>
      <w:pPr>
        <w:spacing w:after="0" w:line="128" w:lineRule="exact"/>
        <w:rPr>
          <w:rFonts w:ascii="Arial" w:cs="Arial" w:eastAsia="Arial" w:hAnsi="Arial"/>
          <w:sz w:val="17"/>
          <w:szCs w:val="17"/>
          <w:color w:val="auto"/>
        </w:rPr>
      </w:pPr>
    </w:p>
    <w:p>
      <w:pPr>
        <w:ind w:left="840" w:right="440" w:hanging="409"/>
        <w:spacing w:after="0" w:line="284" w:lineRule="auto"/>
        <w:tabs>
          <w:tab w:leader="none" w:pos="8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separate the total amount of cash paid into a principal portion (presented within financing activities) and interest (presented within operating activities) in the consolidated cash flow statement.</w:t>
      </w:r>
    </w:p>
    <w:p>
      <w:pPr>
        <w:spacing w:after="0" w:line="159" w:lineRule="exact"/>
        <w:rPr>
          <w:sz w:val="20"/>
          <w:szCs w:val="20"/>
          <w:color w:val="auto"/>
        </w:rPr>
      </w:pPr>
    </w:p>
    <w:p>
      <w:pPr>
        <w:ind w:left="440" w:right="80" w:firstLine="423"/>
        <w:spacing w:after="0" w:line="316" w:lineRule="auto"/>
        <w:rPr>
          <w:sz w:val="20"/>
          <w:szCs w:val="20"/>
          <w:color w:val="auto"/>
        </w:rPr>
      </w:pPr>
      <w:r>
        <w:rPr>
          <w:rFonts w:ascii="Arial" w:cs="Arial" w:eastAsia="Arial" w:hAnsi="Arial"/>
          <w:sz w:val="16"/>
          <w:szCs w:val="16"/>
          <w:color w:val="auto"/>
        </w:rPr>
        <w:t>Lease incentives (e.g. rent-free period) will be recognized as part of the measurement of the right-of-use assets and lease liabilities whereas under IAS 17 they resulted in the recognition of a lease liability incentive, amortized as a reduction of rental expenses on a straight-line basis.</w:t>
      </w:r>
    </w:p>
    <w:p>
      <w:pPr>
        <w:spacing w:after="0" w:line="137" w:lineRule="exact"/>
        <w:rPr>
          <w:sz w:val="20"/>
          <w:szCs w:val="20"/>
          <w:color w:val="auto"/>
        </w:rPr>
      </w:pPr>
    </w:p>
    <w:p>
      <w:pPr>
        <w:ind w:left="440" w:right="120" w:firstLine="423"/>
        <w:spacing w:after="0" w:line="284" w:lineRule="auto"/>
        <w:rPr>
          <w:sz w:val="20"/>
          <w:szCs w:val="20"/>
          <w:color w:val="auto"/>
        </w:rPr>
      </w:pPr>
      <w:r>
        <w:rPr>
          <w:rFonts w:ascii="Arial" w:cs="Arial" w:eastAsia="Arial" w:hAnsi="Arial"/>
          <w:sz w:val="17"/>
          <w:szCs w:val="17"/>
          <w:color w:val="auto"/>
        </w:rPr>
        <w:t>Under IFRS 16, right-of-use assets will be tested for impairment in accordance with IAS 36 Impairment of Assets. This will replace the previous requirement to recognize a provision for onerous lease contracts.</w:t>
      </w:r>
    </w:p>
    <w:p>
      <w:pPr>
        <w:spacing w:after="0" w:line="159" w:lineRule="exact"/>
        <w:rPr>
          <w:sz w:val="20"/>
          <w:szCs w:val="20"/>
          <w:color w:val="auto"/>
        </w:rPr>
      </w:pPr>
    </w:p>
    <w:p>
      <w:pPr>
        <w:ind w:left="440" w:right="40" w:firstLine="423"/>
        <w:spacing w:after="0" w:line="284" w:lineRule="auto"/>
        <w:rPr>
          <w:sz w:val="20"/>
          <w:szCs w:val="20"/>
          <w:color w:val="auto"/>
        </w:rPr>
      </w:pPr>
      <w:r>
        <w:rPr>
          <w:rFonts w:ascii="Arial" w:cs="Arial" w:eastAsia="Arial" w:hAnsi="Arial"/>
          <w:sz w:val="17"/>
          <w:szCs w:val="17"/>
          <w:color w:val="auto"/>
        </w:rPr>
        <w:t>For short-term leases (lease term of 12 months or less) and leases of low-value assets (such as personal computers and office furniture), the Group will opt to recognize a lease expense on a straight-line basis as permitted by IFRS 16.</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As at December 31, 2018, the Group had non-cancellable operating lease commitments of £535,665.</w:t>
      </w:r>
    </w:p>
    <w:p>
      <w:pPr>
        <w:spacing w:after="0" w:line="219" w:lineRule="exact"/>
        <w:rPr>
          <w:sz w:val="20"/>
          <w:szCs w:val="20"/>
          <w:color w:val="auto"/>
        </w:rPr>
      </w:pPr>
    </w:p>
    <w:p>
      <w:pPr>
        <w:ind w:left="440" w:right="180" w:firstLine="423"/>
        <w:spacing w:after="0" w:line="321" w:lineRule="auto"/>
        <w:rPr>
          <w:sz w:val="20"/>
          <w:szCs w:val="20"/>
          <w:color w:val="auto"/>
        </w:rPr>
      </w:pPr>
      <w:r>
        <w:rPr>
          <w:rFonts w:ascii="Arial" w:cs="Arial" w:eastAsia="Arial" w:hAnsi="Arial"/>
          <w:sz w:val="15"/>
          <w:szCs w:val="15"/>
          <w:color w:val="auto"/>
        </w:rPr>
        <w:t>The non-cancellable operating lease commitment and the expected lease liability balance to be recognized upon transition differs as a result of IFRS 16’s requirement to include, within the lease term, the non-cancellable period of a lease, together with periods covered by an option to extend, if that option is reasonably certain to be exercised and periods covered by an option to terminate, if that option is reasonably certain to not be exercised.</w:t>
      </w:r>
    </w:p>
    <w:p>
      <w:pPr>
        <w:spacing w:after="0" w:line="7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980"/>
          </w:cols>
          <w:pgMar w:left="240" w:top="445" w:right="67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120" w:firstLine="423"/>
        <w:spacing w:after="0" w:line="261" w:lineRule="auto"/>
        <w:rPr>
          <w:sz w:val="20"/>
          <w:szCs w:val="20"/>
          <w:color w:val="auto"/>
        </w:rPr>
      </w:pPr>
      <w:r>
        <w:rPr>
          <w:rFonts w:ascii="Arial" w:cs="Arial" w:eastAsia="Arial" w:hAnsi="Arial"/>
          <w:sz w:val="17"/>
          <w:szCs w:val="17"/>
          <w:color w:val="auto"/>
        </w:rPr>
        <w:t>A preliminary assessment indicates that all of these arrangements relate to leases other than short-term leases and leases of low-value assets, and hence the Group will recognise a right-of-use asset of £2,551,810 and a corresponding lease liability of £2,533,647 in respect of all these leases. The impact on 2019 profit or loss is to decrease other expenses by £1,093,920, to increase depreciation by £696,948 and to increase interest expense by £322,662. Lease liability incentives of £32,090 previously recognized in respect of the operating leases will be derecognized and the amount factored into the measurement of the right-to-use assets and lease liabilities.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preliminary assessment indicates that £nil of these arrangements relate to short-term leases and leases of low-value assets.</w:t>
      </w:r>
    </w:p>
    <w:p>
      <w:pPr>
        <w:spacing w:after="0" w:line="219"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Under IAS 17, all lease payments on operating leases are presented as part of cash flows from operating activities. The impact of the changes under IFRS 16 to the 2019 statement of cash flows would be to reduce the cash used in operating activities by £932,268 and to increase net cash used in financing activities by the same amount.</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2.3 Going concern</w:t>
      </w:r>
    </w:p>
    <w:p>
      <w:pPr>
        <w:spacing w:after="0" w:line="115" w:lineRule="exact"/>
        <w:rPr>
          <w:sz w:val="20"/>
          <w:szCs w:val="20"/>
          <w:color w:val="auto"/>
        </w:rPr>
      </w:pPr>
    </w:p>
    <w:p>
      <w:pPr>
        <w:ind w:left="440" w:right="40" w:firstLine="423"/>
        <w:spacing w:after="0" w:line="310" w:lineRule="auto"/>
        <w:rPr>
          <w:sz w:val="20"/>
          <w:szCs w:val="20"/>
          <w:color w:val="auto"/>
        </w:rPr>
      </w:pPr>
      <w:r>
        <w:rPr>
          <w:rFonts w:ascii="Arial" w:cs="Arial" w:eastAsia="Arial" w:hAnsi="Arial"/>
          <w:sz w:val="15"/>
          <w:szCs w:val="15"/>
          <w:color w:val="auto"/>
        </w:rPr>
        <w:t>Though the Group continues to make losses, the directors believe it is appropriate to prepare the financial information on the going concern basis. This is because the Group’s research into new products continues to progress according to plan and the funding secured to date, together with the funds that have come into the Group since the year end by way of the completed merger with OncoMed (as described more fully in Note 29) will allow it to meet its liabilities as they fall due for at least 12 months from the date of authorization for the issue of these consolidated financial statements.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2.4 Basis of consolidation</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consolidated financial information comprises the financial statements of Mereo BioPharma Group plc and its subsidiaries as at December 31,</w:t>
      </w:r>
    </w:p>
    <w:p>
      <w:pPr>
        <w:spacing w:after="0" w:line="47" w:lineRule="exact"/>
        <w:rPr>
          <w:sz w:val="20"/>
          <w:szCs w:val="20"/>
          <w:color w:val="auto"/>
        </w:rPr>
      </w:pPr>
    </w:p>
    <w:p>
      <w:pPr>
        <w:ind w:left="440" w:right="540"/>
        <w:spacing w:after="0" w:line="300" w:lineRule="auto"/>
        <w:rPr>
          <w:sz w:val="20"/>
          <w:szCs w:val="20"/>
          <w:color w:val="auto"/>
        </w:rPr>
      </w:pPr>
      <w:r>
        <w:rPr>
          <w:rFonts w:ascii="Arial" w:cs="Arial" w:eastAsia="Arial" w:hAnsi="Arial"/>
          <w:sz w:val="16"/>
          <w:szCs w:val="16"/>
          <w:color w:val="auto"/>
        </w:rPr>
        <w:t>2018.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149"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Subsidiaries are fully consolidated from the date on which control is transferred to the Group. They are deconsolidated from the date that control ceases. Intercompany transactions, balances and unrealized gains on transactions between Group companies are eliminated in preparing the consolidated financial statements. Accounting policies of subsidiaries are consistent with the policies adopted by the Group.</w:t>
      </w:r>
    </w:p>
    <w:p>
      <w:pPr>
        <w:spacing w:after="0" w:line="171" w:lineRule="exact"/>
        <w:rPr>
          <w:sz w:val="20"/>
          <w:szCs w:val="20"/>
          <w:color w:val="auto"/>
        </w:rPr>
      </w:pPr>
    </w:p>
    <w:p>
      <w:pPr>
        <w:ind w:left="440" w:right="120" w:firstLine="423"/>
        <w:spacing w:after="0" w:line="293" w:lineRule="auto"/>
        <w:rPr>
          <w:sz w:val="20"/>
          <w:szCs w:val="20"/>
          <w:color w:val="auto"/>
        </w:rPr>
      </w:pPr>
      <w:r>
        <w:rPr>
          <w:rFonts w:ascii="Arial" w:cs="Arial" w:eastAsia="Arial" w:hAnsi="Arial"/>
          <w:sz w:val="16"/>
          <w:szCs w:val="16"/>
          <w:color w:val="auto"/>
        </w:rPr>
        <w:t>The Company has an employee share trust to facilitate share transactions pursuant to employee share schemes. Although the trust is a separate legal entity from the Group, it is consolidated into the Group’s results in accordance with the IFRS 10 rules on special purpose vehicles. The Company is deemed to control the trust principally because the trust cannot operate without the funding the Group provides.</w:t>
      </w:r>
    </w:p>
    <w:p>
      <w:pPr>
        <w:spacing w:after="0" w:line="15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All Group subsidiaries prepare yearly financial information to December 31 consistent with the Company.</w:t>
      </w:r>
    </w:p>
    <w:p>
      <w:pPr>
        <w:spacing w:after="0" w:line="322" w:lineRule="exact"/>
        <w:rPr>
          <w:sz w:val="20"/>
          <w:szCs w:val="20"/>
          <w:color w:val="auto"/>
        </w:rPr>
      </w:pPr>
    </w:p>
    <w:p>
      <w:pPr>
        <w:jc w:val="center"/>
        <w:ind w:right="6320"/>
        <w:spacing w:after="0"/>
        <w:rPr>
          <w:sz w:val="20"/>
          <w:szCs w:val="20"/>
          <w:color w:val="auto"/>
        </w:rPr>
      </w:pPr>
      <w:r>
        <w:rPr>
          <w:rFonts w:ascii="Arial" w:cs="Arial" w:eastAsia="Arial" w:hAnsi="Arial"/>
          <w:sz w:val="17"/>
          <w:szCs w:val="17"/>
          <w:b w:val="1"/>
          <w:bCs w:val="1"/>
          <w:i w:val="1"/>
          <w:iCs w:val="1"/>
          <w:color w:val="auto"/>
        </w:rPr>
        <w:t>2.5 Summary of significant accounting policies</w:t>
      </w:r>
    </w:p>
    <w:p>
      <w:pPr>
        <w:spacing w:after="0" w:line="115" w:lineRule="exact"/>
        <w:rPr>
          <w:sz w:val="20"/>
          <w:szCs w:val="20"/>
          <w:color w:val="auto"/>
        </w:rPr>
      </w:pPr>
    </w:p>
    <w:p>
      <w:pPr>
        <w:jc w:val="center"/>
        <w:ind w:right="8680"/>
        <w:spacing w:after="0"/>
        <w:rPr>
          <w:sz w:val="20"/>
          <w:szCs w:val="20"/>
          <w:color w:val="auto"/>
        </w:rPr>
      </w:pPr>
      <w:r>
        <w:rPr>
          <w:rFonts w:ascii="Arial" w:cs="Arial" w:eastAsia="Arial" w:hAnsi="Arial"/>
          <w:sz w:val="17"/>
          <w:szCs w:val="17"/>
          <w:i w:val="1"/>
          <w:iCs w:val="1"/>
          <w:color w:val="auto"/>
        </w:rPr>
        <w:t>a) Taxes</w:t>
      </w:r>
    </w:p>
    <w:p>
      <w:pPr>
        <w:spacing w:after="0" w:line="109" w:lineRule="exact"/>
        <w:rPr>
          <w:sz w:val="20"/>
          <w:szCs w:val="20"/>
          <w:color w:val="auto"/>
        </w:rPr>
      </w:pPr>
    </w:p>
    <w:p>
      <w:pPr>
        <w:jc w:val="center"/>
        <w:ind w:right="8660"/>
        <w:spacing w:after="0"/>
        <w:rPr>
          <w:sz w:val="20"/>
          <w:szCs w:val="20"/>
          <w:color w:val="auto"/>
        </w:rPr>
      </w:pPr>
      <w:r>
        <w:rPr>
          <w:rFonts w:ascii="Arial" w:cs="Arial" w:eastAsia="Arial" w:hAnsi="Arial"/>
          <w:sz w:val="17"/>
          <w:szCs w:val="17"/>
          <w:b w:val="1"/>
          <w:bCs w:val="1"/>
          <w:color w:val="auto"/>
        </w:rPr>
        <w:t>Current income tax</w:t>
      </w:r>
    </w:p>
    <w:p>
      <w:pPr>
        <w:spacing w:after="0" w:line="121" w:lineRule="exact"/>
        <w:rPr>
          <w:sz w:val="20"/>
          <w:szCs w:val="20"/>
          <w:color w:val="auto"/>
        </w:rPr>
      </w:pPr>
    </w:p>
    <w:p>
      <w:pPr>
        <w:ind w:left="440" w:right="60" w:firstLine="423"/>
        <w:spacing w:after="0" w:line="321" w:lineRule="auto"/>
        <w:rPr>
          <w:sz w:val="20"/>
          <w:szCs w:val="20"/>
          <w:color w:val="auto"/>
        </w:rPr>
      </w:pPr>
      <w:r>
        <w:rPr>
          <w:rFonts w:ascii="Arial" w:cs="Arial" w:eastAsia="Arial" w:hAnsi="Arial"/>
          <w:sz w:val="15"/>
          <w:szCs w:val="15"/>
          <w:color w:val="auto"/>
        </w:rPr>
        <w:t>Current income tax assets and liabilities are measured at the amount expected to be recovered from or paid to the taxation authorities, and include R&amp;D tax credits receivable under the HM Revenue and Customs (HMRC) small or medium enterprise (SME) scheme, which provides additional taxation relief for qualifying expenditure on R&amp;D activities, and allows for the surrender of tax losses in exchange for a cash payment from HMRC.</w:t>
      </w:r>
    </w:p>
    <w:p>
      <w:pPr>
        <w:spacing w:after="0" w:line="137" w:lineRule="exact"/>
        <w:rPr>
          <w:sz w:val="20"/>
          <w:szCs w:val="20"/>
          <w:color w:val="auto"/>
        </w:rPr>
      </w:pPr>
    </w:p>
    <w:p>
      <w:pPr>
        <w:jc w:val="center"/>
        <w:ind w:left="440" w:right="660"/>
        <w:spacing w:after="0" w:line="459" w:lineRule="auto"/>
        <w:rPr>
          <w:sz w:val="20"/>
          <w:szCs w:val="20"/>
          <w:color w:val="auto"/>
        </w:rPr>
      </w:pPr>
      <w:r>
        <w:rPr>
          <w:rFonts w:ascii="Arial" w:cs="Arial" w:eastAsia="Arial" w:hAnsi="Arial"/>
          <w:sz w:val="17"/>
          <w:szCs w:val="17"/>
          <w:color w:val="auto"/>
        </w:rPr>
        <w:t>Current income tax relating to items recognized directly in equity is recognized in equity and not in the statement of comprehensive loss. F-9</w:t>
      </w:r>
    </w:p>
    <w:p>
      <w:pPr>
        <w:sectPr>
          <w:pgSz w:w="11900" w:h="16838" w:orient="portrait"/>
          <w:cols w:equalWidth="0" w:num="1">
            <w:col w:w="10960"/>
          </w:cols>
          <w:pgMar w:left="240" w:top="445" w:right="69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Income tax credit</w:t>
      </w:r>
    </w:p>
    <w:p>
      <w:pPr>
        <w:spacing w:after="0" w:line="121" w:lineRule="exact"/>
        <w:rPr>
          <w:sz w:val="20"/>
          <w:szCs w:val="20"/>
          <w:color w:val="auto"/>
        </w:rPr>
      </w:pPr>
    </w:p>
    <w:p>
      <w:pPr>
        <w:ind w:left="440" w:right="220" w:firstLine="423"/>
        <w:spacing w:after="0" w:line="316" w:lineRule="auto"/>
        <w:rPr>
          <w:sz w:val="20"/>
          <w:szCs w:val="20"/>
          <w:color w:val="auto"/>
        </w:rPr>
      </w:pPr>
      <w:r>
        <w:rPr>
          <w:rFonts w:ascii="Arial" w:cs="Arial" w:eastAsia="Arial" w:hAnsi="Arial"/>
          <w:sz w:val="16"/>
          <w:szCs w:val="16"/>
          <w:color w:val="auto"/>
        </w:rPr>
        <w:t>The Group benefits from the U.K. R&amp;D tax credit regime whereby a portion of the Group’s losses can be surrendered for a cash rebate of up to 33.35% of eligible expenditures. Such credits are accounted for within the tax provision, in the year in which the expenditures were incurred.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Deferred tax</w:t>
      </w:r>
    </w:p>
    <w:p>
      <w:pPr>
        <w:spacing w:after="0" w:line="121" w:lineRule="exact"/>
        <w:rPr>
          <w:sz w:val="20"/>
          <w:szCs w:val="20"/>
          <w:color w:val="auto"/>
        </w:rPr>
      </w:pPr>
    </w:p>
    <w:p>
      <w:pPr>
        <w:ind w:left="440" w:right="420" w:firstLine="423"/>
        <w:spacing w:after="0" w:line="284" w:lineRule="auto"/>
        <w:rPr>
          <w:sz w:val="20"/>
          <w:szCs w:val="20"/>
          <w:color w:val="auto"/>
        </w:rPr>
      </w:pPr>
      <w:r>
        <w:rPr>
          <w:rFonts w:ascii="Arial" w:cs="Arial" w:eastAsia="Arial" w:hAnsi="Arial"/>
          <w:sz w:val="17"/>
          <w:szCs w:val="17"/>
          <w:color w:val="auto"/>
        </w:rPr>
        <w:t>Deferred tax is provided using the liability method on temporary differences between the tax bases of assets and liabilities and their carrying amounts for financial reporting purposes at the reporting date.</w:t>
      </w:r>
    </w:p>
    <w:p>
      <w:pPr>
        <w:spacing w:after="0" w:line="159" w:lineRule="exact"/>
        <w:rPr>
          <w:sz w:val="20"/>
          <w:szCs w:val="20"/>
          <w:color w:val="auto"/>
        </w:rPr>
      </w:pPr>
    </w:p>
    <w:p>
      <w:pPr>
        <w:ind w:left="440" w:right="60" w:firstLine="423"/>
        <w:spacing w:after="0" w:line="279" w:lineRule="auto"/>
        <w:rPr>
          <w:sz w:val="20"/>
          <w:szCs w:val="20"/>
          <w:color w:val="auto"/>
        </w:rPr>
      </w:pPr>
      <w:r>
        <w:rPr>
          <w:rFonts w:ascii="Arial" w:cs="Arial" w:eastAsia="Arial" w:hAnsi="Arial"/>
          <w:sz w:val="16"/>
          <w:szCs w:val="16"/>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utilized. The carrying amount of deferred income tax assets is reviewed at the end of each reporting period and reduced to the extent that it is no longer probable that sufficient taxable profit will be available to allow all or part of the deferred income tax asset to be utilized. Unrecognized deferred income tax assets are reassessed at the end of each reporting period and are recognized to the extent that it has become probable that future taxable profit will allow the deferred tax asset to be recovered.</w:t>
      </w:r>
    </w:p>
    <w:p>
      <w:pPr>
        <w:spacing w:after="0" w:line="167" w:lineRule="exact"/>
        <w:rPr>
          <w:sz w:val="20"/>
          <w:szCs w:val="20"/>
          <w:color w:val="auto"/>
        </w:rPr>
      </w:pPr>
    </w:p>
    <w:p>
      <w:pPr>
        <w:ind w:left="440" w:right="240" w:firstLine="423"/>
        <w:spacing w:after="0" w:line="284" w:lineRule="auto"/>
        <w:rPr>
          <w:sz w:val="20"/>
          <w:szCs w:val="20"/>
          <w:color w:val="auto"/>
        </w:rPr>
      </w:pPr>
      <w:r>
        <w:rPr>
          <w:rFonts w:ascii="Arial" w:cs="Arial" w:eastAsia="Arial" w:hAnsi="Arial"/>
          <w:sz w:val="17"/>
          <w:szCs w:val="17"/>
          <w:color w:val="auto"/>
        </w:rPr>
        <w:t>Deferred tax assets and liabilities are measured on an undiscounted basis at the tax rates that are expected to apply to the year when the asset is realized, based on tax rates (and tax laws) enacted or substantively enacted at the end of the reporting period.</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b) Foreign currencies</w:t>
      </w:r>
    </w:p>
    <w:p>
      <w:pPr>
        <w:spacing w:after="0" w:line="115" w:lineRule="exact"/>
        <w:rPr>
          <w:sz w:val="20"/>
          <w:szCs w:val="20"/>
          <w:color w:val="auto"/>
        </w:rPr>
      </w:pPr>
    </w:p>
    <w:p>
      <w:pPr>
        <w:ind w:left="440" w:right="200" w:firstLine="423"/>
        <w:spacing w:after="0" w:line="284" w:lineRule="auto"/>
        <w:rPr>
          <w:sz w:val="20"/>
          <w:szCs w:val="20"/>
          <w:color w:val="auto"/>
        </w:rPr>
      </w:pPr>
      <w:r>
        <w:rPr>
          <w:rFonts w:ascii="Arial" w:cs="Arial" w:eastAsia="Arial" w:hAnsi="Arial"/>
          <w:sz w:val="17"/>
          <w:szCs w:val="17"/>
          <w:color w:val="auto"/>
        </w:rPr>
        <w:t>The functional currency of the Company and its subsidiaries is Sterling. Transactions in foreign currencies are initially recorded by the Group’s entities at the rate ruling on the date the transaction first qualifies for recognition.</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Differences arising on settlement or translation of monetary items are recognized in profit or loss.</w:t>
      </w:r>
    </w:p>
    <w:p>
      <w:pPr>
        <w:spacing w:after="0" w:line="219" w:lineRule="exact"/>
        <w:rPr>
          <w:sz w:val="20"/>
          <w:szCs w:val="20"/>
          <w:color w:val="auto"/>
        </w:rPr>
      </w:pPr>
    </w:p>
    <w:p>
      <w:pPr>
        <w:ind w:left="440" w:right="240" w:firstLine="423"/>
        <w:spacing w:after="0" w:line="284" w:lineRule="auto"/>
        <w:rPr>
          <w:sz w:val="20"/>
          <w:szCs w:val="20"/>
          <w:color w:val="auto"/>
        </w:rPr>
      </w:pPr>
      <w:r>
        <w:rPr>
          <w:rFonts w:ascii="Arial" w:cs="Arial" w:eastAsia="Arial" w:hAnsi="Arial"/>
          <w:sz w:val="17"/>
          <w:szCs w:val="17"/>
          <w:color w:val="auto"/>
        </w:rPr>
        <w:t>Gains or losses on the retranslation of foreign currency balances at the year end are recognized in the consolidated statement of comprehensive loss under net foreign exchange gains/(losses).</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 Property, plant and equipment</w:t>
      </w:r>
    </w:p>
    <w:p>
      <w:pPr>
        <w:spacing w:after="0" w:line="115"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Depreciation is calculated on a straight-line basis over the estimated useful lives of the assets, as follows:</w:t>
      </w:r>
    </w:p>
    <w:p>
      <w:pPr>
        <w:spacing w:after="0" w:line="128" w:lineRule="exact"/>
        <w:rPr>
          <w:sz w:val="20"/>
          <w:szCs w:val="20"/>
          <w:color w:val="auto"/>
        </w:rPr>
      </w:pPr>
    </w:p>
    <w:tbl>
      <w:tblPr>
        <w:tblLayout w:type="fixed"/>
        <w:tblInd w:w="840"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auto"/>
              </w:rPr>
              <w:t>•</w:t>
            </w:r>
          </w:p>
        </w:tc>
        <w:tc>
          <w:tcPr>
            <w:tcW w:w="2100" w:type="dxa"/>
            <w:vAlign w:val="bottom"/>
          </w:tcPr>
          <w:p>
            <w:pPr>
              <w:ind w:left="180"/>
              <w:spacing w:after="0"/>
              <w:rPr>
                <w:sz w:val="20"/>
                <w:szCs w:val="20"/>
                <w:color w:val="auto"/>
              </w:rPr>
            </w:pPr>
            <w:r>
              <w:rPr>
                <w:rFonts w:ascii="Arial" w:cs="Arial" w:eastAsia="Arial" w:hAnsi="Arial"/>
                <w:sz w:val="17"/>
                <w:szCs w:val="17"/>
                <w:color w:val="auto"/>
              </w:rPr>
              <w:t>Leasehold improvements</w:t>
            </w:r>
          </w:p>
        </w:tc>
        <w:tc>
          <w:tcPr>
            <w:tcW w:w="940" w:type="dxa"/>
            <w:vAlign w:val="bottom"/>
          </w:tcPr>
          <w:p>
            <w:pPr>
              <w:ind w:left="200"/>
              <w:spacing w:after="0"/>
              <w:rPr>
                <w:sz w:val="20"/>
                <w:szCs w:val="20"/>
                <w:color w:val="auto"/>
              </w:rPr>
            </w:pPr>
            <w:r>
              <w:rPr>
                <w:rFonts w:ascii="Arial" w:cs="Arial" w:eastAsia="Arial" w:hAnsi="Arial"/>
                <w:sz w:val="17"/>
                <w:szCs w:val="17"/>
                <w:color w:val="auto"/>
              </w:rPr>
              <w:t>ten years</w:t>
            </w:r>
          </w:p>
        </w:tc>
      </w:tr>
      <w:tr>
        <w:trPr>
          <w:trHeight w:val="324"/>
        </w:trPr>
        <w:tc>
          <w:tcPr>
            <w:tcW w:w="240" w:type="dxa"/>
            <w:vAlign w:val="bottom"/>
          </w:tcPr>
          <w:p>
            <w:pPr>
              <w:spacing w:after="0"/>
              <w:rPr>
                <w:sz w:val="20"/>
                <w:szCs w:val="20"/>
                <w:color w:val="auto"/>
              </w:rPr>
            </w:pPr>
            <w:r>
              <w:rPr>
                <w:rFonts w:ascii="Arial" w:cs="Arial" w:eastAsia="Arial" w:hAnsi="Arial"/>
                <w:sz w:val="17"/>
                <w:szCs w:val="17"/>
                <w:color w:val="auto"/>
              </w:rPr>
              <w:t>•</w:t>
            </w:r>
          </w:p>
        </w:tc>
        <w:tc>
          <w:tcPr>
            <w:tcW w:w="2100" w:type="dxa"/>
            <w:vAlign w:val="bottom"/>
          </w:tcPr>
          <w:p>
            <w:pPr>
              <w:ind w:left="180"/>
              <w:spacing w:after="0"/>
              <w:rPr>
                <w:sz w:val="20"/>
                <w:szCs w:val="20"/>
                <w:color w:val="auto"/>
              </w:rPr>
            </w:pPr>
            <w:r>
              <w:rPr>
                <w:rFonts w:ascii="Arial" w:cs="Arial" w:eastAsia="Arial" w:hAnsi="Arial"/>
                <w:sz w:val="17"/>
                <w:szCs w:val="17"/>
                <w:color w:val="auto"/>
              </w:rPr>
              <w:t>Office equipment</w:t>
            </w:r>
          </w:p>
        </w:tc>
        <w:tc>
          <w:tcPr>
            <w:tcW w:w="940" w:type="dxa"/>
            <w:vAlign w:val="bottom"/>
          </w:tcPr>
          <w:p>
            <w:pPr>
              <w:ind w:left="200"/>
              <w:spacing w:after="0"/>
              <w:rPr>
                <w:sz w:val="20"/>
                <w:szCs w:val="20"/>
                <w:color w:val="auto"/>
              </w:rPr>
            </w:pPr>
            <w:r>
              <w:rPr>
                <w:rFonts w:ascii="Arial" w:cs="Arial" w:eastAsia="Arial" w:hAnsi="Arial"/>
                <w:sz w:val="17"/>
                <w:szCs w:val="17"/>
                <w:color w:val="auto"/>
                <w:w w:val="98"/>
              </w:rPr>
              <w:t>five years</w:t>
            </w:r>
          </w:p>
        </w:tc>
      </w:tr>
      <w:tr>
        <w:trPr>
          <w:trHeight w:val="324"/>
        </w:trPr>
        <w:tc>
          <w:tcPr>
            <w:tcW w:w="240" w:type="dxa"/>
            <w:vAlign w:val="bottom"/>
          </w:tcPr>
          <w:p>
            <w:pPr>
              <w:spacing w:after="0"/>
              <w:rPr>
                <w:sz w:val="20"/>
                <w:szCs w:val="20"/>
                <w:color w:val="auto"/>
              </w:rPr>
            </w:pPr>
            <w:r>
              <w:rPr>
                <w:rFonts w:ascii="Arial" w:cs="Arial" w:eastAsia="Arial" w:hAnsi="Arial"/>
                <w:sz w:val="17"/>
                <w:szCs w:val="17"/>
                <w:color w:val="auto"/>
              </w:rPr>
              <w:t>•</w:t>
            </w:r>
          </w:p>
        </w:tc>
        <w:tc>
          <w:tcPr>
            <w:tcW w:w="2100" w:type="dxa"/>
            <w:vAlign w:val="bottom"/>
          </w:tcPr>
          <w:p>
            <w:pPr>
              <w:ind w:left="180"/>
              <w:spacing w:after="0"/>
              <w:rPr>
                <w:sz w:val="20"/>
                <w:szCs w:val="20"/>
                <w:color w:val="auto"/>
              </w:rPr>
            </w:pPr>
            <w:r>
              <w:rPr>
                <w:rFonts w:ascii="Arial" w:cs="Arial" w:eastAsia="Arial" w:hAnsi="Arial"/>
                <w:sz w:val="17"/>
                <w:szCs w:val="17"/>
                <w:color w:val="auto"/>
              </w:rPr>
              <w:t>IT equipment</w:t>
            </w:r>
          </w:p>
        </w:tc>
        <w:tc>
          <w:tcPr>
            <w:tcW w:w="940" w:type="dxa"/>
            <w:vAlign w:val="bottom"/>
          </w:tcPr>
          <w:p>
            <w:pPr>
              <w:ind w:left="180"/>
              <w:spacing w:after="0"/>
              <w:rPr>
                <w:sz w:val="20"/>
                <w:szCs w:val="20"/>
                <w:color w:val="auto"/>
              </w:rPr>
            </w:pPr>
            <w:r>
              <w:rPr>
                <w:rFonts w:ascii="Arial" w:cs="Arial" w:eastAsia="Arial" w:hAnsi="Arial"/>
                <w:sz w:val="17"/>
                <w:szCs w:val="17"/>
                <w:color w:val="auto"/>
                <w:w w:val="86"/>
              </w:rPr>
              <w:t>three years</w:t>
            </w:r>
          </w:p>
        </w:tc>
      </w:tr>
    </w:tbl>
    <w:p>
      <w:pPr>
        <w:spacing w:after="0" w:line="195" w:lineRule="exact"/>
        <w:rPr>
          <w:sz w:val="20"/>
          <w:szCs w:val="20"/>
          <w:color w:val="auto"/>
        </w:rPr>
      </w:pPr>
    </w:p>
    <w:p>
      <w:pPr>
        <w:ind w:left="440" w:right="100" w:firstLine="423"/>
        <w:spacing w:after="0" w:line="321" w:lineRule="auto"/>
        <w:rPr>
          <w:sz w:val="20"/>
          <w:szCs w:val="20"/>
          <w:color w:val="auto"/>
        </w:rPr>
      </w:pPr>
      <w:r>
        <w:rPr>
          <w:rFonts w:ascii="Arial" w:cs="Arial" w:eastAsia="Arial" w:hAnsi="Arial"/>
          <w:sz w:val="15"/>
          <w:szCs w:val="15"/>
          <w:color w:val="auto"/>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loss when the asset is derecognized.</w:t>
      </w:r>
    </w:p>
    <w:p>
      <w:pPr>
        <w:spacing w:after="0" w:line="137" w:lineRule="exact"/>
        <w:rPr>
          <w:sz w:val="20"/>
          <w:szCs w:val="20"/>
          <w:color w:val="auto"/>
        </w:rPr>
      </w:pPr>
    </w:p>
    <w:p>
      <w:pPr>
        <w:ind w:left="440" w:right="560" w:firstLine="423"/>
        <w:spacing w:after="0" w:line="284" w:lineRule="auto"/>
        <w:rPr>
          <w:sz w:val="20"/>
          <w:szCs w:val="20"/>
          <w:color w:val="auto"/>
        </w:rPr>
      </w:pPr>
      <w:r>
        <w:rPr>
          <w:rFonts w:ascii="Arial" w:cs="Arial" w:eastAsia="Arial" w:hAnsi="Arial"/>
          <w:sz w:val="17"/>
          <w:szCs w:val="17"/>
          <w:color w:val="auto"/>
        </w:rPr>
        <w:t>The residual values, useful lives and methods of depreciation of property, plant and equipment are reviewed at each financial year end and adjusted prospectively, if appropriate.</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d) Leases</w:t>
      </w:r>
    </w:p>
    <w:p>
      <w:pPr>
        <w:spacing w:after="0" w:line="115" w:lineRule="exact"/>
        <w:rPr>
          <w:sz w:val="20"/>
          <w:szCs w:val="20"/>
          <w:color w:val="auto"/>
        </w:rPr>
      </w:pPr>
    </w:p>
    <w:p>
      <w:pPr>
        <w:jc w:val="both"/>
        <w:ind w:left="440" w:right="100" w:firstLine="423"/>
        <w:spacing w:after="0" w:line="269" w:lineRule="auto"/>
        <w:rPr>
          <w:sz w:val="20"/>
          <w:szCs w:val="20"/>
          <w:color w:val="auto"/>
        </w:rPr>
      </w:pPr>
      <w:r>
        <w:rPr>
          <w:rFonts w:ascii="Arial" w:cs="Arial" w:eastAsia="Arial" w:hAnsi="Arial"/>
          <w:sz w:val="17"/>
          <w:szCs w:val="17"/>
          <w:color w:val="auto"/>
        </w:rPr>
        <w:t>Leases in which a significant portion of the risks and rewards of ownership are retained by the lessor are classified as operating leases. Payments made under operating leases (net of any incentives received from the lessor) are charged to the statement of comprehensive loss on a straight-line basis over the period of the lease.</w:t>
      </w:r>
    </w:p>
    <w:p>
      <w:pPr>
        <w:spacing w:after="0" w:line="171"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The Group leases its premises (see Note 26). The Company recognizes any lease incentives on a straight-line basis over the entire period of the lease, assuming that any break clauses available will not be exercised. By not exercising any break clauses, the Group receives a 50% rent discount from the landlord for a fixed period of time as described in Note 26.</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960"/>
          </w:cols>
          <w:pgMar w:left="240" w:top="445" w:right="69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360" w:firstLine="423"/>
        <w:spacing w:after="0" w:line="269" w:lineRule="auto"/>
        <w:rPr>
          <w:sz w:val="20"/>
          <w:szCs w:val="20"/>
          <w:color w:val="auto"/>
        </w:rPr>
      </w:pPr>
      <w:r>
        <w:rPr>
          <w:rFonts w:ascii="Arial" w:cs="Arial" w:eastAsia="Arial" w:hAnsi="Arial"/>
          <w:sz w:val="17"/>
          <w:szCs w:val="17"/>
          <w:color w:val="auto"/>
        </w:rPr>
        <w:t>The determination of whether an arrangement is, or contains, a lease is based on the substance of the arrangement at the inception date. The arrangement is assessed for whether fulfilment of the arrangement is dependent on the use of a specific asset or assets or the arrangement conveys a right to use the asset or assets, even if that right is not explicitly specified in an arrangement.</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e) Intangible assets</w:t>
      </w:r>
    </w:p>
    <w:p>
      <w:pPr>
        <w:spacing w:after="0" w:line="115" w:lineRule="exact"/>
        <w:rPr>
          <w:sz w:val="20"/>
          <w:szCs w:val="20"/>
          <w:color w:val="auto"/>
        </w:rPr>
      </w:pPr>
    </w:p>
    <w:p>
      <w:pPr>
        <w:ind w:left="440" w:firstLine="423"/>
        <w:spacing w:after="0" w:line="296" w:lineRule="auto"/>
        <w:rPr>
          <w:sz w:val="20"/>
          <w:szCs w:val="20"/>
          <w:color w:val="auto"/>
        </w:rPr>
      </w:pPr>
      <w:r>
        <w:rPr>
          <w:rFonts w:ascii="Arial" w:cs="Arial" w:eastAsia="Arial" w:hAnsi="Arial"/>
          <w:sz w:val="15"/>
          <w:szCs w:val="15"/>
          <w:color w:val="auto"/>
        </w:rPr>
        <w:t>Intangible assets, relating to intellectual property rights acquired through licensing or assigning patents and know-how, are initially recognized at cost which has been determined as the fair value of the consideration paid and payable. Consideration comprises cash paid together with the net present value of any provision for deferred cash consideration (see Note 2.5p) and the fair value of consideration settled in shares. The fair value of consideration is regularly reviewed based on the probability of achieving the contractual milestones. Where share transfer occurs, the cost is measured at fair value of the shares issued or to be issued in accordance with IFRS 2. Intangible assets are held at cost less accumulated amortization and provision for impairment, if any. Where a finite useful life of the acquired intangible asset cannot be determined or the intangible asset is not yet available for use, the asset is tested annually for impairment by allocating the assets to the cash-generating units to which they relate. Amortization would commence when product candidates underpinned by the intellectual property rights become available for commercial use. No amortization has been charged to date, as the product candidates underpinned by the intellectual property rights are not yet available for commercial use.</w:t>
      </w:r>
    </w:p>
    <w:p>
      <w:pPr>
        <w:spacing w:after="0" w:line="261"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f) Fair value measurement</w:t>
      </w:r>
    </w:p>
    <w:p>
      <w:pPr>
        <w:spacing w:after="0" w:line="115" w:lineRule="exact"/>
        <w:rPr>
          <w:sz w:val="20"/>
          <w:szCs w:val="20"/>
          <w:color w:val="auto"/>
        </w:rPr>
      </w:pPr>
    </w:p>
    <w:p>
      <w:pPr>
        <w:ind w:left="440" w:right="120" w:firstLine="423"/>
        <w:spacing w:after="0" w:line="269"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81" w:lineRule="exact"/>
        <w:rPr>
          <w:sz w:val="20"/>
          <w:szCs w:val="20"/>
          <w:color w:val="auto"/>
        </w:rPr>
      </w:pPr>
    </w:p>
    <w:p>
      <w:pPr>
        <w:ind w:left="1260" w:hanging="415"/>
        <w:spacing w:after="0"/>
        <w:tabs>
          <w:tab w:leader="none" w:pos="12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the principal market for the asset or liability; or</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the absence of a principal market, in the most advantageous market for the asset or liability.</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principal or the most advantageous market must be accessible by the Group.</w:t>
      </w:r>
    </w:p>
    <w:p>
      <w:pPr>
        <w:spacing w:after="0" w:line="219" w:lineRule="exact"/>
        <w:rPr>
          <w:sz w:val="20"/>
          <w:szCs w:val="20"/>
          <w:color w:val="auto"/>
        </w:rPr>
      </w:pPr>
    </w:p>
    <w:p>
      <w:pPr>
        <w:ind w:left="440" w:right="260" w:firstLine="423"/>
        <w:spacing w:after="0" w:line="284" w:lineRule="auto"/>
        <w:rPr>
          <w:sz w:val="20"/>
          <w:szCs w:val="20"/>
          <w:color w:val="auto"/>
        </w:rPr>
      </w:pPr>
      <w:r>
        <w:rPr>
          <w:rFonts w:ascii="Arial" w:cs="Arial" w:eastAsia="Arial" w:hAnsi="Arial"/>
          <w:sz w:val="17"/>
          <w:szCs w:val="17"/>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59" w:lineRule="exact"/>
        <w:rPr>
          <w:sz w:val="20"/>
          <w:szCs w:val="20"/>
          <w:color w:val="auto"/>
        </w:rPr>
      </w:pPr>
    </w:p>
    <w:p>
      <w:pPr>
        <w:ind w:left="440" w:right="240" w:firstLine="423"/>
        <w:spacing w:after="0" w:line="284" w:lineRule="auto"/>
        <w:rPr>
          <w:sz w:val="20"/>
          <w:szCs w:val="20"/>
          <w:color w:val="auto"/>
        </w:rPr>
      </w:pPr>
      <w:r>
        <w:rPr>
          <w:rFonts w:ascii="Arial" w:cs="Arial" w:eastAsia="Arial" w:hAnsi="Arial"/>
          <w:sz w:val="17"/>
          <w:szCs w:val="17"/>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59" w:lineRule="exact"/>
        <w:rPr>
          <w:sz w:val="20"/>
          <w:szCs w:val="20"/>
          <w:color w:val="auto"/>
        </w:rPr>
      </w:pPr>
    </w:p>
    <w:p>
      <w:pPr>
        <w:ind w:left="440" w:right="240" w:firstLine="423"/>
        <w:spacing w:after="0" w:line="284" w:lineRule="auto"/>
        <w:rPr>
          <w:sz w:val="20"/>
          <w:szCs w:val="20"/>
          <w:color w:val="auto"/>
        </w:rPr>
      </w:pPr>
      <w:r>
        <w:rPr>
          <w:rFonts w:ascii="Arial" w:cs="Arial" w:eastAsia="Arial" w:hAnsi="Arial"/>
          <w:sz w:val="17"/>
          <w:szCs w:val="17"/>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68" w:lineRule="exact"/>
        <w:rPr>
          <w:sz w:val="20"/>
          <w:szCs w:val="20"/>
          <w:color w:val="auto"/>
        </w:rPr>
      </w:pPr>
    </w:p>
    <w:p>
      <w:pPr>
        <w:ind w:left="1260" w:hanging="415"/>
        <w:spacing w:after="0"/>
        <w:tabs>
          <w:tab w:leader="none" w:pos="12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Level 1 — quoted (unadjusted) market prices in active markets for identical assets or liabilities.</w:t>
      </w:r>
    </w:p>
    <w:p>
      <w:pPr>
        <w:spacing w:after="0" w:line="128" w:lineRule="exact"/>
        <w:rPr>
          <w:rFonts w:ascii="Arial" w:cs="Arial" w:eastAsia="Arial" w:hAnsi="Arial"/>
          <w:sz w:val="17"/>
          <w:szCs w:val="17"/>
          <w:color w:val="auto"/>
        </w:rPr>
      </w:pPr>
    </w:p>
    <w:p>
      <w:pPr>
        <w:ind w:left="1260" w:right="340" w:hanging="415"/>
        <w:spacing w:after="0" w:line="284" w:lineRule="auto"/>
        <w:tabs>
          <w:tab w:leader="none" w:pos="12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Level 2 — valuation techniques for which the lowest level input that is significant to the fair value measurement is directly or indirectly observable.</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Level 3 — valuation techniques for which the lowest level input that is significant to the fair value measurement is unobservable.</w:t>
      </w:r>
    </w:p>
    <w:p>
      <w:pPr>
        <w:spacing w:after="0" w:line="219" w:lineRule="exact"/>
        <w:rPr>
          <w:sz w:val="20"/>
          <w:szCs w:val="20"/>
          <w:color w:val="auto"/>
        </w:rPr>
      </w:pPr>
    </w:p>
    <w:p>
      <w:pPr>
        <w:ind w:left="440" w:right="20" w:firstLine="423"/>
        <w:spacing w:after="0" w:line="269" w:lineRule="auto"/>
        <w:rPr>
          <w:sz w:val="20"/>
          <w:szCs w:val="20"/>
          <w:color w:val="auto"/>
        </w:rPr>
      </w:pPr>
      <w:r>
        <w:rPr>
          <w:rFonts w:ascii="Arial" w:cs="Arial" w:eastAsia="Arial" w:hAnsi="Arial"/>
          <w:sz w:val="17"/>
          <w:szCs w:val="17"/>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g) Impairment of non-financial assets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Further disclosures relating to impairment of non-financial assets are also provided in the following notes:</w:t>
      </w:r>
    </w:p>
    <w:p>
      <w:pPr>
        <w:spacing w:after="0" w:line="128" w:lineRule="exact"/>
        <w:rPr>
          <w:sz w:val="20"/>
          <w:szCs w:val="20"/>
          <w:color w:val="auto"/>
        </w:rPr>
      </w:pPr>
    </w:p>
    <w:p>
      <w:pPr>
        <w:ind w:left="1260" w:hanging="415"/>
        <w:spacing w:after="0"/>
        <w:tabs>
          <w:tab w:leader="none" w:pos="12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Disclosures for significant assumptions Note 3</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Property, plant and equipment Note 11</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Intangible assets not yet available for use Notes 12 and 13</w:t>
      </w:r>
    </w:p>
    <w:p>
      <w:pPr>
        <w:spacing w:after="0" w:line="15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980"/>
          </w:cols>
          <w:pgMar w:left="240" w:top="445" w:right="67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firstLine="423"/>
        <w:spacing w:after="0" w:line="304" w:lineRule="auto"/>
        <w:rPr>
          <w:sz w:val="20"/>
          <w:szCs w:val="20"/>
          <w:color w:val="auto"/>
        </w:rPr>
      </w:pPr>
      <w:r>
        <w:rPr>
          <w:rFonts w:ascii="Arial" w:cs="Arial" w:eastAsia="Arial" w:hAnsi="Arial"/>
          <w:sz w:val="15"/>
          <w:szCs w:val="15"/>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w:t>
      </w:r>
    </w:p>
    <w:p>
      <w:pPr>
        <w:spacing w:after="0" w:line="151" w:lineRule="exact"/>
        <w:rPr>
          <w:sz w:val="20"/>
          <w:szCs w:val="20"/>
          <w:color w:val="auto"/>
        </w:rPr>
      </w:pPr>
    </w:p>
    <w:p>
      <w:pPr>
        <w:ind w:left="440" w:firstLine="423"/>
        <w:spacing w:after="0" w:line="285" w:lineRule="auto"/>
        <w:rPr>
          <w:sz w:val="20"/>
          <w:szCs w:val="20"/>
          <w:color w:val="auto"/>
        </w:rPr>
      </w:pPr>
      <w:r>
        <w:rPr>
          <w:rFonts w:ascii="Arial" w:cs="Arial" w:eastAsia="Arial" w:hAnsi="Arial"/>
          <w:sz w:val="16"/>
          <w:szCs w:val="16"/>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5"/>
          <w:szCs w:val="15"/>
          <w:color w:val="auto"/>
        </w:rPr>
        <w:t>Impairment losses are recognized in the statement of comprehensive loss in expense categories consistent with the function of the impaired asset.</w:t>
      </w:r>
    </w:p>
    <w:p>
      <w:pPr>
        <w:spacing w:after="0" w:line="242" w:lineRule="exact"/>
        <w:rPr>
          <w:sz w:val="20"/>
          <w:szCs w:val="20"/>
          <w:color w:val="auto"/>
        </w:rPr>
      </w:pPr>
    </w:p>
    <w:p>
      <w:pPr>
        <w:ind w:left="440" w:right="40" w:firstLine="423"/>
        <w:spacing w:after="0" w:line="301" w:lineRule="auto"/>
        <w:rPr>
          <w:sz w:val="20"/>
          <w:szCs w:val="20"/>
          <w:color w:val="auto"/>
        </w:rPr>
      </w:pPr>
      <w:r>
        <w:rPr>
          <w:rFonts w:ascii="Arial" w:cs="Arial" w:eastAsia="Arial" w:hAnsi="Arial"/>
          <w:sz w:val="15"/>
          <w:szCs w:val="15"/>
          <w:color w:val="auto"/>
        </w:rPr>
        <w:t>An assessment is made at each reporting date to determine whether there is an indication that previously recognized impairment losses no longer exist or have decreased. If such indication exists, the Group estimates the asset’s or CGU’s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comprehensive loss unless the asset is carried at a revalued amount, in which case the reversal is treated as a revaluation increase.</w:t>
      </w:r>
    </w:p>
    <w:p>
      <w:pPr>
        <w:spacing w:after="0" w:line="152" w:lineRule="exact"/>
        <w:rPr>
          <w:sz w:val="20"/>
          <w:szCs w:val="20"/>
          <w:color w:val="auto"/>
        </w:rPr>
      </w:pPr>
    </w:p>
    <w:p>
      <w:pPr>
        <w:ind w:left="440" w:right="500" w:firstLine="423"/>
        <w:spacing w:after="0" w:line="316" w:lineRule="auto"/>
        <w:rPr>
          <w:sz w:val="20"/>
          <w:szCs w:val="20"/>
          <w:color w:val="auto"/>
        </w:rPr>
      </w:pPr>
      <w:r>
        <w:rPr>
          <w:rFonts w:ascii="Arial" w:cs="Arial" w:eastAsia="Arial" w:hAnsi="Arial"/>
          <w:sz w:val="16"/>
          <w:szCs w:val="16"/>
          <w:color w:val="auto"/>
        </w:rPr>
        <w:t>Intangible assets not yet available for use are tested for impairment annually as at December 31 at the CGU level, as appropriate, and when circumstances indicate that the carrying value may be impaired. An impairment test was performed at December 31, 2018.</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h) Cash and short-term deposits</w:t>
      </w:r>
    </w:p>
    <w:p>
      <w:pPr>
        <w:spacing w:after="0" w:line="115" w:lineRule="exact"/>
        <w:rPr>
          <w:sz w:val="20"/>
          <w:szCs w:val="20"/>
          <w:color w:val="auto"/>
        </w:rPr>
      </w:pPr>
    </w:p>
    <w:p>
      <w:pPr>
        <w:ind w:left="440" w:right="180"/>
        <w:spacing w:after="0" w:line="284" w:lineRule="auto"/>
        <w:rPr>
          <w:sz w:val="20"/>
          <w:szCs w:val="20"/>
          <w:color w:val="auto"/>
        </w:rPr>
      </w:pPr>
      <w:r>
        <w:rPr>
          <w:rFonts w:ascii="Arial" w:cs="Arial" w:eastAsia="Arial" w:hAnsi="Arial"/>
          <w:sz w:val="17"/>
          <w:szCs w:val="17"/>
          <w:color w:val="auto"/>
        </w:rPr>
        <w:t>Cash and short-term deposits in the balance sheet comprise cash at banks and on hand and short-term deposits with a maturity of three months or less, which are subject to an insignificant risk of changes in value.</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i) Short-term investments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Cash on deposit for terms greater than three months are recognized at fair value in the balance sheet.</w:t>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j) Provisions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General</w:t>
      </w:r>
    </w:p>
    <w:p>
      <w:pPr>
        <w:spacing w:after="0" w:line="121" w:lineRule="exact"/>
        <w:rPr>
          <w:sz w:val="20"/>
          <w:szCs w:val="20"/>
          <w:color w:val="auto"/>
        </w:rPr>
      </w:pPr>
    </w:p>
    <w:p>
      <w:pPr>
        <w:ind w:left="440" w:right="80" w:firstLine="423"/>
        <w:spacing w:after="0" w:line="261" w:lineRule="auto"/>
        <w:rPr>
          <w:sz w:val="20"/>
          <w:szCs w:val="20"/>
          <w:color w:val="auto"/>
        </w:rPr>
      </w:pPr>
      <w:r>
        <w:rPr>
          <w:rFonts w:ascii="Arial" w:cs="Arial" w:eastAsia="Arial" w:hAnsi="Arial"/>
          <w:sz w:val="17"/>
          <w:szCs w:val="17"/>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comprehensive loss net of any reimbursement.</w:t>
      </w:r>
    </w:p>
    <w:p>
      <w:pPr>
        <w:spacing w:after="0" w:line="180" w:lineRule="exact"/>
        <w:rPr>
          <w:sz w:val="20"/>
          <w:szCs w:val="20"/>
          <w:color w:val="auto"/>
        </w:rPr>
      </w:pPr>
    </w:p>
    <w:p>
      <w:pPr>
        <w:ind w:left="440" w:right="80" w:firstLine="423"/>
        <w:spacing w:after="0" w:line="316" w:lineRule="auto"/>
        <w:rPr>
          <w:sz w:val="20"/>
          <w:szCs w:val="20"/>
          <w:color w:val="auto"/>
        </w:rPr>
      </w:pPr>
      <w:r>
        <w:rPr>
          <w:rFonts w:ascii="Arial" w:cs="Arial" w:eastAsia="Arial" w:hAnsi="Arial"/>
          <w:sz w:val="16"/>
          <w:szCs w:val="16"/>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k) Share-based payments</w:t>
      </w:r>
    </w:p>
    <w:p>
      <w:pPr>
        <w:spacing w:after="0" w:line="115" w:lineRule="exact"/>
        <w:rPr>
          <w:sz w:val="20"/>
          <w:szCs w:val="20"/>
          <w:color w:val="auto"/>
        </w:rPr>
      </w:pPr>
    </w:p>
    <w:p>
      <w:pPr>
        <w:ind w:left="440" w:right="360" w:firstLine="423"/>
        <w:spacing w:after="0" w:line="284" w:lineRule="auto"/>
        <w:rPr>
          <w:sz w:val="20"/>
          <w:szCs w:val="20"/>
          <w:color w:val="auto"/>
        </w:rPr>
      </w:pPr>
      <w:r>
        <w:rPr>
          <w:rFonts w:ascii="Arial" w:cs="Arial" w:eastAsia="Arial" w:hAnsi="Arial"/>
          <w:sz w:val="17"/>
          <w:szCs w:val="17"/>
          <w:color w:val="auto"/>
        </w:rPr>
        <w:t>Employees (including senior executives) of the Group receive remuneration in the form of share-based payments, whereby employees render services as consideration for equity instruments (equity settled transactions).</w:t>
      </w:r>
    </w:p>
    <w:p>
      <w:pPr>
        <w:spacing w:after="0" w:line="159" w:lineRule="exact"/>
        <w:rPr>
          <w:sz w:val="20"/>
          <w:szCs w:val="20"/>
          <w:color w:val="auto"/>
        </w:rPr>
      </w:pPr>
    </w:p>
    <w:p>
      <w:pPr>
        <w:ind w:left="440" w:right="100" w:firstLine="423"/>
        <w:spacing w:after="0" w:line="310" w:lineRule="auto"/>
        <w:rPr>
          <w:sz w:val="20"/>
          <w:szCs w:val="20"/>
          <w:color w:val="auto"/>
        </w:rPr>
      </w:pPr>
      <w:r>
        <w:rPr>
          <w:rFonts w:ascii="Arial" w:cs="Arial" w:eastAsia="Arial" w:hAnsi="Arial"/>
          <w:sz w:val="15"/>
          <w:szCs w:val="15"/>
          <w:color w:val="auto"/>
        </w:rPr>
        <w:t>Incentives in the form of shares are provided to employees under the Share Option Plan. Executive officers are also provided with shares under a deferred bonus share plan (“DBSP Plan”) and a long-term incentive plan (“LTIP Plan”). In accordance with IFRS 2 Share-based Payment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w:t>
      </w:r>
    </w:p>
    <w:p>
      <w:pPr>
        <w:spacing w:after="0" w:line="8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0960"/>
          </w:cols>
          <w:pgMar w:left="240" w:top="446" w:right="69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color w:val="auto"/>
        </w:rPr>
        <w:t>of the options or awards at the date they were granted. For LTIP shares, the fair value excludes the impact of any non-market vesting conditions. The fair value of LTIP shares, which have market conditions attached, includes an adjustment based on the probability of the shares vesting at the end of the vesting period.</w:t>
      </w:r>
    </w:p>
    <w:p>
      <w:pPr>
        <w:spacing w:after="0" w:line="171" w:lineRule="exact"/>
        <w:rPr>
          <w:sz w:val="20"/>
          <w:szCs w:val="20"/>
          <w:color w:val="auto"/>
        </w:rPr>
      </w:pPr>
    </w:p>
    <w:p>
      <w:pPr>
        <w:ind w:left="440" w:right="280" w:firstLine="423"/>
        <w:spacing w:after="0" w:line="354" w:lineRule="auto"/>
        <w:rPr>
          <w:sz w:val="20"/>
          <w:szCs w:val="20"/>
          <w:color w:val="auto"/>
        </w:rPr>
      </w:pPr>
      <w:r>
        <w:rPr>
          <w:rFonts w:ascii="Arial" w:cs="Arial" w:eastAsia="Arial" w:hAnsi="Arial"/>
          <w:sz w:val="15"/>
          <w:szCs w:val="15"/>
          <w:color w:val="auto"/>
        </w:rPr>
        <w:t>Under the 2015 Plan, options were historically awarded to employees, NEDs and certain consultants. Share options awarded to non-employees under the 2015 Plan are accounted for as options awarded to employees as the value of non-employee services could be readily determined.</w:t>
      </w:r>
    </w:p>
    <w:p>
      <w:pPr>
        <w:spacing w:after="0" w:line="113" w:lineRule="exact"/>
        <w:rPr>
          <w:sz w:val="20"/>
          <w:szCs w:val="20"/>
          <w:color w:val="auto"/>
        </w:rPr>
      </w:pPr>
    </w:p>
    <w:p>
      <w:pPr>
        <w:ind w:left="440" w:right="280" w:firstLine="423"/>
        <w:spacing w:after="0" w:line="269" w:lineRule="auto"/>
        <w:rPr>
          <w:sz w:val="20"/>
          <w:szCs w:val="20"/>
          <w:color w:val="auto"/>
        </w:rPr>
      </w:pPr>
      <w:r>
        <w:rPr>
          <w:rFonts w:ascii="Arial" w:cs="Arial" w:eastAsia="Arial" w:hAnsi="Arial"/>
          <w:sz w:val="17"/>
          <w:szCs w:val="17"/>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171" w:lineRule="exact"/>
        <w:rPr>
          <w:sz w:val="20"/>
          <w:szCs w:val="20"/>
          <w:color w:val="auto"/>
        </w:rPr>
      </w:pPr>
    </w:p>
    <w:p>
      <w:pPr>
        <w:ind w:left="440" w:right="660" w:firstLine="423"/>
        <w:spacing w:after="0" w:line="284" w:lineRule="auto"/>
        <w:rPr>
          <w:sz w:val="20"/>
          <w:szCs w:val="20"/>
          <w:color w:val="auto"/>
        </w:rPr>
      </w:pPr>
      <w:r>
        <w:rPr>
          <w:rFonts w:ascii="Arial" w:cs="Arial" w:eastAsia="Arial" w:hAnsi="Arial"/>
          <w:sz w:val="17"/>
          <w:szCs w:val="17"/>
          <w:color w:val="auto"/>
        </w:rPr>
        <w:t>Purchases, where consideration is satisfied by issuing equity shares is accounted for as equity settled share-based payment transactions in accordance with IFRS 2. Fair value is determined by the share price at the date of purchase.</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l) Costs of issuing capital</w:t>
      </w:r>
    </w:p>
    <w:p>
      <w:pPr>
        <w:spacing w:after="0" w:line="115"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7"/>
          <w:szCs w:val="17"/>
          <w:color w:val="auto"/>
        </w:rPr>
        <w:t>The Group deducts directly attributable costs of issuing capital from the proceeds in accordance with IAS 39 Financial Instruments: Recognition and Measurement. 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284"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m) Convertible loan instrument</w:t>
      </w:r>
    </w:p>
    <w:p>
      <w:pPr>
        <w:spacing w:after="0" w:line="115" w:lineRule="exact"/>
        <w:rPr>
          <w:sz w:val="20"/>
          <w:szCs w:val="20"/>
          <w:color w:val="auto"/>
        </w:rPr>
      </w:pPr>
    </w:p>
    <w:p>
      <w:pPr>
        <w:ind w:left="440" w:right="240" w:firstLine="423"/>
        <w:spacing w:after="0" w:line="264" w:lineRule="auto"/>
        <w:rPr>
          <w:sz w:val="20"/>
          <w:szCs w:val="20"/>
          <w:color w:val="auto"/>
        </w:rPr>
      </w:pPr>
      <w:r>
        <w:rPr>
          <w:rFonts w:ascii="Arial" w:cs="Arial" w:eastAsia="Arial" w:hAnsi="Arial"/>
          <w:sz w:val="17"/>
          <w:szCs w:val="17"/>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of issue of the convertible loan note and the fair value assigned to the liability component, representing the embedded option to convert the liability into equity of the Group, is included in equity.</w:t>
      </w:r>
    </w:p>
    <w:p>
      <w:pPr>
        <w:spacing w:after="0" w:line="176"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176"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 10% different from the discounted present value of the remaining cash flows of the original debt instrument. Where such modifications are less than 10% different, the effective interest rate is adjusted to take account of the new terms.</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n) Employee Benefit Trust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Group operates an Employee Benefit Trust (EBT): Mereo BioPharma Group plc Employee Benefit Trust.</w:t>
      </w:r>
    </w:p>
    <w:p>
      <w:pPr>
        <w:spacing w:after="0" w:line="219" w:lineRule="exact"/>
        <w:rPr>
          <w:sz w:val="20"/>
          <w:szCs w:val="20"/>
          <w:color w:val="auto"/>
        </w:rPr>
      </w:pPr>
    </w:p>
    <w:p>
      <w:pPr>
        <w:ind w:left="440" w:right="340" w:firstLine="423"/>
        <w:spacing w:after="0" w:line="264" w:lineRule="auto"/>
        <w:rPr>
          <w:sz w:val="20"/>
          <w:szCs w:val="20"/>
          <w:color w:val="auto"/>
        </w:rPr>
      </w:pPr>
      <w:r>
        <w:rPr>
          <w:rFonts w:ascii="Arial" w:cs="Arial" w:eastAsia="Arial" w:hAnsi="Arial"/>
          <w:sz w:val="17"/>
          <w:szCs w:val="17"/>
          <w:color w:val="auto"/>
        </w:rPr>
        <w:t>The EBT has been established to fulfil awards made under the Deferred Bonus Share Plan and the Long Term Incentive Plan. The EBT is a Jersey-based trust which is funded by a loan from the Company, which it will utilize to buy shares at nominal value from the Company in sufficient quantity to fulfil the envisaged awards. The EBT will acquire shares in the Company and these will be deducted from the shareholders’ funds on the consolidated balance sheet at the cost of acquisition less proceeds on disposal.</w:t>
      </w:r>
    </w:p>
    <w:p>
      <w:pPr>
        <w:spacing w:after="0" w:line="176" w:lineRule="exact"/>
        <w:rPr>
          <w:sz w:val="20"/>
          <w:szCs w:val="20"/>
          <w:color w:val="auto"/>
        </w:rPr>
      </w:pPr>
    </w:p>
    <w:p>
      <w:pPr>
        <w:ind w:left="440" w:right="100" w:firstLine="423"/>
        <w:spacing w:after="0" w:line="284" w:lineRule="auto"/>
        <w:rPr>
          <w:sz w:val="20"/>
          <w:szCs w:val="20"/>
          <w:color w:val="auto"/>
        </w:rPr>
      </w:pPr>
      <w:r>
        <w:rPr>
          <w:rFonts w:ascii="Arial" w:cs="Arial" w:eastAsia="Arial" w:hAnsi="Arial"/>
          <w:sz w:val="17"/>
          <w:szCs w:val="17"/>
          <w:color w:val="auto"/>
        </w:rPr>
        <w:t>In compliance with IAS 32 Financial Instruments: Presentation Group, shares held by the EBT are included in the consolidated balance sheet as a reduction in equity. Gains and losses on Group shares are recognized directly in equity.</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000"/>
          </w:cols>
          <w:pgMar w:left="240" w:top="446" w:right="65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Group consolidated accounts treat the EBT as an extension of the Group and the Company as it is controlled and therefore consolidated.</w:t>
      </w:r>
    </w:p>
    <w:p>
      <w:pPr>
        <w:spacing w:after="0" w:line="334"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o) Research and development</w:t>
      </w:r>
    </w:p>
    <w:p>
      <w:pPr>
        <w:spacing w:after="0" w:line="115" w:lineRule="exact"/>
        <w:rPr>
          <w:sz w:val="20"/>
          <w:szCs w:val="20"/>
          <w:color w:val="auto"/>
        </w:rPr>
      </w:pPr>
    </w:p>
    <w:p>
      <w:pPr>
        <w:ind w:left="440" w:right="160" w:firstLine="423"/>
        <w:spacing w:after="0" w:line="310" w:lineRule="auto"/>
        <w:rPr>
          <w:sz w:val="20"/>
          <w:szCs w:val="20"/>
          <w:color w:val="auto"/>
        </w:rPr>
      </w:pPr>
      <w:r>
        <w:rPr>
          <w:rFonts w:ascii="Arial" w:cs="Arial" w:eastAsia="Arial" w:hAnsi="Arial"/>
          <w:sz w:val="15"/>
          <w:szCs w:val="15"/>
          <w:color w:val="auto"/>
        </w:rPr>
        <w:t>Expenditure on product development is capitalized as an intangible asset and amortized over the expected useful economic life of the product candidate concerned. Capitalization commences from the point at which technical feasibility and commercial viability of the product candidate can be demonstrated and the Group is satisfied that it is probable that future economic benefits will result from the product candidate once completed. Capitalization ceases when the product candidate receives regulatory approval for launch. No such costs have been capitalized to date.</w:t>
      </w:r>
    </w:p>
    <w:p>
      <w:pPr>
        <w:spacing w:after="0" w:line="145" w:lineRule="exact"/>
        <w:rPr>
          <w:sz w:val="20"/>
          <w:szCs w:val="20"/>
          <w:color w:val="auto"/>
        </w:rPr>
      </w:pPr>
    </w:p>
    <w:p>
      <w:pPr>
        <w:jc w:val="both"/>
        <w:ind w:left="440" w:right="220" w:firstLine="423"/>
        <w:spacing w:after="0" w:line="293" w:lineRule="auto"/>
        <w:rPr>
          <w:sz w:val="20"/>
          <w:szCs w:val="20"/>
          <w:color w:val="auto"/>
        </w:rPr>
      </w:pPr>
      <w:r>
        <w:rPr>
          <w:rFonts w:ascii="Arial" w:cs="Arial" w:eastAsia="Arial" w:hAnsi="Arial"/>
          <w:sz w:val="16"/>
          <w:szCs w:val="16"/>
          <w:color w:val="auto"/>
        </w:rPr>
        <w:t>Expenditure on R&amp;D activities that do not meet the above criteria, including ongoing costs associated with acquired intellectual property rights and intellectual property rights generated internally by the Group, is charged to the statement of comprehensive loss as incurred. Intellectual property and in-process research and development from asset acquisitions are recognized as intangible assets at cost.</w:t>
      </w:r>
    </w:p>
    <w:p>
      <w:pPr>
        <w:spacing w:after="0" w:line="258"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 Provision for deferred cash consideration</w:t>
      </w:r>
    </w:p>
    <w:p>
      <w:pPr>
        <w:spacing w:after="0" w:line="115"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Provision for deferred cash consideration consists of future payments which are contractually committed but not yet certain. In respect of products which are not yet approved, such deferred cash consideration excludes potential milestones, royalties or other payments that are deemed to be so uncertain as to be unquantifiable. Deferred cash consideration is recognized as a liability with the amounts calculated as the risk adjusted net present value of anticipated deferred payments.</w:t>
      </w:r>
    </w:p>
    <w:p>
      <w:pPr>
        <w:spacing w:after="0" w:line="176"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w:t>
      </w:r>
    </w:p>
    <w:p>
      <w:pPr>
        <w:spacing w:after="0" w:line="2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q) Bank loan and associated warrants</w:t>
      </w:r>
    </w:p>
    <w:p>
      <w:pPr>
        <w:spacing w:after="0" w:line="115"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After initial recognition, interest-bearing loans and borrowings are subsequently measured at amortized cost using the effective interest rate (EIR) method. The EIR amortization is included as a finance charge in the statement of comprehensive loss. This category applies to interest-bearing borrowings, trade and other payables.</w:t>
      </w:r>
    </w:p>
    <w:p>
      <w:pPr>
        <w:spacing w:after="0" w:line="171" w:lineRule="exact"/>
        <w:rPr>
          <w:sz w:val="20"/>
          <w:szCs w:val="20"/>
          <w:color w:val="auto"/>
        </w:rPr>
      </w:pPr>
    </w:p>
    <w:p>
      <w:pPr>
        <w:ind w:left="440" w:right="200" w:firstLine="423"/>
        <w:spacing w:after="0" w:line="284" w:lineRule="auto"/>
        <w:rPr>
          <w:sz w:val="20"/>
          <w:szCs w:val="20"/>
          <w:color w:val="auto"/>
        </w:rPr>
      </w:pPr>
      <w:r>
        <w:rPr>
          <w:rFonts w:ascii="Arial" w:cs="Arial" w:eastAsia="Arial" w:hAnsi="Arial"/>
          <w:sz w:val="17"/>
          <w:szCs w:val="17"/>
          <w:color w:val="auto"/>
        </w:rPr>
        <w:t>As the terms of the warrant instrument allow for a cashless exercise, in line with IAS 32 the associated warrants are measured at fair value with changes recorded through the statement of comprehensive loss (see Note 20).</w:t>
      </w:r>
    </w:p>
    <w:p>
      <w:pPr>
        <w:spacing w:after="0" w:line="159" w:lineRule="exact"/>
        <w:rPr>
          <w:sz w:val="20"/>
          <w:szCs w:val="20"/>
          <w:color w:val="auto"/>
        </w:rPr>
      </w:pPr>
    </w:p>
    <w:p>
      <w:pPr>
        <w:ind w:left="440" w:right="500" w:firstLine="423"/>
        <w:spacing w:after="0" w:line="285" w:lineRule="auto"/>
        <w:rPr>
          <w:sz w:val="20"/>
          <w:szCs w:val="20"/>
          <w:color w:val="auto"/>
        </w:rPr>
      </w:pPr>
      <w:r>
        <w:rPr>
          <w:rFonts w:ascii="Arial" w:cs="Arial" w:eastAsia="Arial" w:hAnsi="Arial"/>
          <w:sz w:val="16"/>
          <w:szCs w:val="16"/>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162"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 10% different from the discounted present value of the remaining cash flows of the original debt instrument. Where such modifications are less than 10% different, the effective interest rate is adjusted to take account of the new terms.</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r) The Alpha-1 Project (TAP) funding agreement and associated warrants</w:t>
      </w:r>
    </w:p>
    <w:p>
      <w:pPr>
        <w:spacing w:after="0" w:line="115" w:lineRule="exact"/>
        <w:rPr>
          <w:sz w:val="20"/>
          <w:szCs w:val="20"/>
          <w:color w:val="auto"/>
        </w:rPr>
      </w:pPr>
    </w:p>
    <w:p>
      <w:pPr>
        <w:ind w:left="440" w:firstLine="423"/>
        <w:spacing w:after="0" w:line="285" w:lineRule="auto"/>
        <w:rPr>
          <w:sz w:val="20"/>
          <w:szCs w:val="20"/>
          <w:color w:val="auto"/>
        </w:rPr>
      </w:pPr>
      <w:r>
        <w:rPr>
          <w:rFonts w:ascii="Arial" w:cs="Arial" w:eastAsia="Arial" w:hAnsi="Arial"/>
          <w:sz w:val="16"/>
          <w:szCs w:val="16"/>
          <w:color w:val="auto"/>
        </w:rPr>
        <w:t>The agreement is regarded as a compound instrument which includes both debt and equity components. As per IAS 32:31 the liability is measured first at fair value and the residual value allocated to the equity component. The difference between the funding payment amount received and the measurement of the liability will be allocated to the warrants and recognized in equity. The value of warrants in equity will not be subsequently re-measured, as the warrants will be settled by providing a fixed number of shares for a fixed amount of cash.</w:t>
      </w:r>
    </w:p>
    <w:p>
      <w:pPr>
        <w:spacing w:after="0" w:line="9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960"/>
          </w:cols>
          <w:pgMar w:left="240" w:top="445" w:right="69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3. Significant accounting judgments, estimates and assumptions</w:t>
      </w:r>
    </w:p>
    <w:p>
      <w:pPr>
        <w:spacing w:after="0" w:line="121" w:lineRule="exact"/>
        <w:rPr>
          <w:sz w:val="20"/>
          <w:szCs w:val="20"/>
          <w:color w:val="auto"/>
        </w:rPr>
      </w:pPr>
    </w:p>
    <w:p>
      <w:pPr>
        <w:ind w:left="440" w:right="400" w:firstLine="423"/>
        <w:spacing w:after="0" w:line="321" w:lineRule="auto"/>
        <w:rPr>
          <w:sz w:val="20"/>
          <w:szCs w:val="20"/>
          <w:color w:val="auto"/>
        </w:rPr>
      </w:pPr>
      <w:r>
        <w:rPr>
          <w:rFonts w:ascii="Arial" w:cs="Arial" w:eastAsia="Arial" w:hAnsi="Arial"/>
          <w:sz w:val="15"/>
          <w:szCs w:val="15"/>
          <w:color w:val="auto"/>
        </w:rPr>
        <w:t>The preparation of the consolidated accounts requires the management of the Group to make estimates and judgments that affect the reported amounts of assets, liabilities, revenues and expenses. The Group bases its estimates and judgments on historical experience and on various other assumptions that it considers to be reasonable. Actual results may differ from these estimates under different assumptions or conditions.</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Judgements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Share-based compensation</w:t>
      </w:r>
    </w:p>
    <w:p>
      <w:pPr>
        <w:spacing w:after="0" w:line="115" w:lineRule="exact"/>
        <w:rPr>
          <w:sz w:val="20"/>
          <w:szCs w:val="20"/>
          <w:color w:val="auto"/>
        </w:rPr>
      </w:pPr>
    </w:p>
    <w:p>
      <w:pPr>
        <w:jc w:val="both"/>
        <w:ind w:left="440" w:firstLine="423"/>
        <w:spacing w:after="0" w:line="293" w:lineRule="auto"/>
        <w:rPr>
          <w:sz w:val="20"/>
          <w:szCs w:val="20"/>
          <w:color w:val="auto"/>
        </w:rPr>
      </w:pPr>
      <w:r>
        <w:rPr>
          <w:rFonts w:ascii="Arial" w:cs="Arial" w:eastAsia="Arial" w:hAnsi="Arial"/>
          <w:sz w:val="16"/>
          <w:szCs w:val="16"/>
          <w:color w:val="auto"/>
        </w:rPr>
        <w:t>Incentives in the form of shares are provided to employees under a share option plan, long-term incentive plan and deferred bonus share plan. The fair value of the employee services received in exchange for the grant of the options is recognized as an expense. The expense is based upon a number of assumptions disclosed in Note 25. The selection of different assumptions could affect the results of the Group.</w:t>
      </w:r>
    </w:p>
    <w:p>
      <w:pPr>
        <w:spacing w:after="0" w:line="258"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Impairment of intangible assets and property, plant and equipment</w:t>
      </w:r>
    </w:p>
    <w:p>
      <w:pPr>
        <w:spacing w:after="0" w:line="115" w:lineRule="exact"/>
        <w:rPr>
          <w:sz w:val="20"/>
          <w:szCs w:val="20"/>
          <w:color w:val="auto"/>
        </w:rPr>
      </w:pPr>
    </w:p>
    <w:p>
      <w:pPr>
        <w:ind w:left="440" w:right="100" w:firstLine="423"/>
        <w:spacing w:after="0" w:line="304" w:lineRule="auto"/>
        <w:rPr>
          <w:sz w:val="20"/>
          <w:szCs w:val="20"/>
          <w:color w:val="auto"/>
        </w:rPr>
      </w:pPr>
      <w:r>
        <w:rPr>
          <w:rFonts w:ascii="Arial" w:cs="Arial" w:eastAsia="Arial" w:hAnsi="Arial"/>
          <w:sz w:val="15"/>
          <w:szCs w:val="15"/>
          <w:color w:val="auto"/>
        </w:rPr>
        <w:t>An assessment was made in respect of indicators of impairment in the carrying value of the Group’s intangible assets (see Note 13) and leasehold improvements, office equipment and IT equipment as at December 31, 2018.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 The assessment of intangible assets involves a number of judgments regarding the likelihood of successful product approval, the costs of reaching approval and the subsequent commercial profitability of the product once approved.</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Estimates</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Deferred license consideration</w:t>
      </w:r>
    </w:p>
    <w:p>
      <w:pPr>
        <w:spacing w:after="0" w:line="115" w:lineRule="exact"/>
        <w:rPr>
          <w:sz w:val="20"/>
          <w:szCs w:val="20"/>
          <w:color w:val="auto"/>
        </w:rPr>
      </w:pPr>
    </w:p>
    <w:p>
      <w:pPr>
        <w:ind w:left="440" w:right="280" w:firstLine="423"/>
        <w:spacing w:after="0" w:line="354" w:lineRule="auto"/>
        <w:rPr>
          <w:sz w:val="20"/>
          <w:szCs w:val="20"/>
          <w:color w:val="auto"/>
        </w:rPr>
      </w:pPr>
      <w:r>
        <w:rPr>
          <w:rFonts w:ascii="Arial" w:cs="Arial" w:eastAsia="Arial" w:hAnsi="Arial"/>
          <w:sz w:val="15"/>
          <w:szCs w:val="15"/>
          <w:color w:val="auto"/>
        </w:rPr>
        <w:t>Deferred consideration in the form of cash is recognized as a provision at each balance sheet date, to the extent its amount is quantifiable at the inception of the arrangement. The amount provided is based on a number of estimates regarding the timing and progress of the related research.</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Deferred consideration in the form of shares is recognized as a share-based payment when it is probable that shares will be transferred.</w:t>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Bank loan and associated warrants</w:t>
      </w:r>
    </w:p>
    <w:p>
      <w:pPr>
        <w:spacing w:after="0" w:line="115" w:lineRule="exact"/>
        <w:rPr>
          <w:sz w:val="20"/>
          <w:szCs w:val="20"/>
          <w:color w:val="auto"/>
        </w:rPr>
      </w:pPr>
    </w:p>
    <w:p>
      <w:pPr>
        <w:ind w:left="440" w:right="280" w:firstLine="423"/>
        <w:spacing w:after="0" w:line="284" w:lineRule="auto"/>
        <w:rPr>
          <w:sz w:val="20"/>
          <w:szCs w:val="20"/>
          <w:color w:val="auto"/>
        </w:rPr>
      </w:pPr>
      <w:r>
        <w:rPr>
          <w:rFonts w:ascii="Arial" w:cs="Arial" w:eastAsia="Arial" w:hAnsi="Arial"/>
          <w:sz w:val="17"/>
          <w:szCs w:val="17"/>
          <w:color w:val="auto"/>
        </w:rPr>
        <w:t>As part of the bank loan the Group has issued warrants to subscribe for shares. The fair value of the warrants issued is assessed at each balance sheet date based upon a number of estimates, as disclosed in Note 20.</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4. Segment information</w:t>
      </w:r>
    </w:p>
    <w:p>
      <w:pPr>
        <w:spacing w:after="0" w:line="121" w:lineRule="exact"/>
        <w:rPr>
          <w:sz w:val="20"/>
          <w:szCs w:val="20"/>
          <w:color w:val="auto"/>
        </w:rPr>
      </w:pPr>
    </w:p>
    <w:p>
      <w:pPr>
        <w:ind w:left="440" w:right="140" w:firstLine="423"/>
        <w:spacing w:after="0" w:line="293" w:lineRule="auto"/>
        <w:rPr>
          <w:sz w:val="20"/>
          <w:szCs w:val="20"/>
          <w:color w:val="auto"/>
        </w:rPr>
      </w:pPr>
      <w:r>
        <w:rPr>
          <w:rFonts w:ascii="Arial" w:cs="Arial" w:eastAsia="Arial" w:hAnsi="Arial"/>
          <w:sz w:val="16"/>
          <w:szCs w:val="16"/>
          <w:color w:val="auto"/>
        </w:rPr>
        <w:t>Management views the business as a single portfolio of product candidates. Only R&amp;D expenses are monitored at a product candidate level, however the Chief Operating Decision Maker (CODM) makes decisions over resource allocation at an overall portfolio level. The Group’s financing is managed and monitored on a consolidated basis. All non-current assets held by the Group are located in the U.K.</w:t>
      </w:r>
    </w:p>
    <w:p>
      <w:pPr>
        <w:spacing w:after="0" w:line="155" w:lineRule="exact"/>
        <w:rPr>
          <w:sz w:val="20"/>
          <w:szCs w:val="20"/>
          <w:color w:val="auto"/>
        </w:rPr>
      </w:pPr>
    </w:p>
    <w:p>
      <w:pPr>
        <w:ind w:left="440" w:right="80" w:firstLine="423"/>
        <w:spacing w:after="0" w:line="269" w:lineRule="auto"/>
        <w:rPr>
          <w:sz w:val="20"/>
          <w:szCs w:val="20"/>
          <w:color w:val="auto"/>
        </w:rPr>
      </w:pPr>
      <w:r>
        <w:rPr>
          <w:rFonts w:ascii="Arial" w:cs="Arial" w:eastAsia="Arial" w:hAnsi="Arial"/>
          <w:sz w:val="17"/>
          <w:szCs w:val="17"/>
          <w:color w:val="auto"/>
        </w:rPr>
        <w:t>The Company’s CODM is the executive management team (comprised of the Chief Executive Officer, Chief Financial Officer, Chief Medical Officer, General Counsel, the Head of Corporate Development and the Head of Patient Access and Commercial Planning) which manages the operating results of the business.</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000"/>
          </w:cols>
          <w:pgMar w:left="240" w:top="445" w:right="6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640" w:right="8000" w:hanging="209"/>
        <w:spacing w:after="0" w:line="436" w:lineRule="auto"/>
        <w:tabs>
          <w:tab w:leader="none" w:pos="601" w:val="left"/>
        </w:tabs>
        <w:numPr>
          <w:ilvl w:val="0"/>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Group information </w:t>
      </w:r>
      <w:r>
        <w:rPr>
          <w:rFonts w:ascii="Arial" w:cs="Arial" w:eastAsia="Arial" w:hAnsi="Arial"/>
          <w:sz w:val="15"/>
          <w:szCs w:val="15"/>
          <w:b w:val="1"/>
          <w:bCs w:val="1"/>
          <w:i w:val="1"/>
          <w:iCs w:val="1"/>
          <w:color w:val="auto"/>
        </w:rPr>
        <w:t>Information about subsidiaries</w:t>
      </w:r>
    </w:p>
    <w:p>
      <w:pPr>
        <w:ind w:left="860"/>
        <w:spacing w:after="0"/>
        <w:rPr>
          <w:rFonts w:ascii="Arial" w:cs="Arial" w:eastAsia="Arial" w:hAnsi="Arial"/>
          <w:sz w:val="15"/>
          <w:szCs w:val="15"/>
          <w:b w:val="1"/>
          <w:bCs w:val="1"/>
          <w:color w:val="auto"/>
        </w:rPr>
      </w:pPr>
      <w:r>
        <w:rPr>
          <w:rFonts w:ascii="Arial" w:cs="Arial" w:eastAsia="Arial" w:hAnsi="Arial"/>
          <w:sz w:val="17"/>
          <w:szCs w:val="17"/>
          <w:color w:val="auto"/>
        </w:rPr>
        <w:t>The consolidated financial statements of the Group include:</w:t>
      </w:r>
    </w:p>
    <w:p>
      <w:pPr>
        <w:spacing w:after="0" w:line="299"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9"/>
              </w:rPr>
              <w:t>% equity interest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Country of</w:t>
            </w:r>
          </w:p>
        </w:tc>
        <w:tc>
          <w:tcPr>
            <w:tcW w:w="132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00"/>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8"/>
                <w:szCs w:val="8"/>
                <w:color w:val="auto"/>
              </w:rPr>
            </w:pPr>
          </w:p>
        </w:tc>
        <w:tc>
          <w:tcPr>
            <w:tcW w:w="350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Principal activities</w:t>
            </w:r>
          </w:p>
        </w:tc>
        <w:tc>
          <w:tcPr>
            <w:tcW w:w="1160" w:type="dxa"/>
            <w:vAlign w:val="bottom"/>
            <w:gridSpan w:val="2"/>
            <w:vMerge w:val="continue"/>
          </w:tcPr>
          <w:p>
            <w:pPr>
              <w:spacing w:after="0"/>
              <w:rPr>
                <w:sz w:val="8"/>
                <w:szCs w:val="8"/>
                <w:color w:val="auto"/>
              </w:rPr>
            </w:pPr>
          </w:p>
        </w:tc>
        <w:tc>
          <w:tcPr>
            <w:tcW w:w="42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35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500" w:type="dxa"/>
            <w:vAlign w:val="bottom"/>
            <w:gridSpan w:val="2"/>
            <w:vMerge w:val="continue"/>
          </w:tcPr>
          <w:p>
            <w:pPr>
              <w:spacing w:after="0"/>
              <w:rPr>
                <w:sz w:val="13"/>
                <w:szCs w:val="13"/>
                <w:color w:val="auto"/>
              </w:rPr>
            </w:pPr>
          </w:p>
        </w:tc>
        <w:tc>
          <w:tcPr>
            <w:tcW w:w="1160" w:type="dxa"/>
            <w:vAlign w:val="bottom"/>
            <w:gridSpan w:val="2"/>
          </w:tcPr>
          <w:p>
            <w:pPr>
              <w:jc w:val="center"/>
              <w:ind w:right="360"/>
              <w:spacing w:after="0" w:line="152" w:lineRule="exact"/>
              <w:rPr>
                <w:sz w:val="20"/>
                <w:szCs w:val="20"/>
                <w:color w:val="auto"/>
              </w:rPr>
            </w:pPr>
            <w:r>
              <w:rPr>
                <w:rFonts w:ascii="Arial" w:cs="Arial" w:eastAsia="Arial" w:hAnsi="Arial"/>
                <w:sz w:val="14"/>
                <w:szCs w:val="14"/>
                <w:b w:val="1"/>
                <w:bCs w:val="1"/>
                <w:color w:val="auto"/>
                <w:w w:val="88"/>
              </w:rPr>
              <w:t>incorporation</w:t>
            </w:r>
          </w:p>
        </w:tc>
        <w:tc>
          <w:tcPr>
            <w:tcW w:w="4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Mereo BioPharma 1 Limited</w:t>
            </w:r>
          </w:p>
        </w:tc>
        <w:tc>
          <w:tcPr>
            <w:tcW w:w="200" w:type="dxa"/>
            <w:vAlign w:val="bottom"/>
            <w:shd w:val="clear" w:color="auto" w:fill="CCEEFF"/>
          </w:tcPr>
          <w:p>
            <w:pPr>
              <w:spacing w:after="0"/>
              <w:rPr>
                <w:sz w:val="16"/>
                <w:szCs w:val="16"/>
                <w:color w:val="auto"/>
              </w:rPr>
            </w:pPr>
          </w:p>
        </w:tc>
        <w:tc>
          <w:tcPr>
            <w:tcW w:w="3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Pharmaceutical R&amp;D</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6"/>
              </w:rPr>
              <w:t>U.K.</w:t>
            </w: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w w:val="84"/>
              </w:rPr>
              <w:t>100</w:t>
            </w: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w w:val="84"/>
              </w:rPr>
              <w:t>100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520" w:type="dxa"/>
            <w:vAlign w:val="bottom"/>
            <w:gridSpan w:val="2"/>
          </w:tcPr>
          <w:p>
            <w:pPr>
              <w:spacing w:after="0"/>
              <w:rPr>
                <w:sz w:val="20"/>
                <w:szCs w:val="20"/>
                <w:color w:val="auto"/>
              </w:rPr>
            </w:pPr>
            <w:r>
              <w:rPr>
                <w:rFonts w:ascii="Arial" w:cs="Arial" w:eastAsia="Arial" w:hAnsi="Arial"/>
                <w:sz w:val="17"/>
                <w:szCs w:val="17"/>
                <w:color w:val="auto"/>
              </w:rPr>
              <w:t>Mereo BioPharma 2 Limited</w:t>
            </w:r>
          </w:p>
        </w:tc>
        <w:tc>
          <w:tcPr>
            <w:tcW w:w="3700" w:type="dxa"/>
            <w:vAlign w:val="bottom"/>
            <w:gridSpan w:val="3"/>
          </w:tcPr>
          <w:p>
            <w:pPr>
              <w:ind w:left="200"/>
              <w:spacing w:after="0"/>
              <w:rPr>
                <w:sz w:val="20"/>
                <w:szCs w:val="20"/>
                <w:color w:val="auto"/>
              </w:rPr>
            </w:pPr>
            <w:r>
              <w:rPr>
                <w:rFonts w:ascii="Arial" w:cs="Arial" w:eastAsia="Arial" w:hAnsi="Arial"/>
                <w:sz w:val="17"/>
                <w:szCs w:val="17"/>
                <w:color w:val="auto"/>
              </w:rPr>
              <w:t>Pharmaceutical R&amp;D</w:t>
            </w: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96"/>
              </w:rPr>
              <w:t>U.K.</w:t>
            </w:r>
          </w:p>
        </w:tc>
        <w:tc>
          <w:tcPr>
            <w:tcW w:w="840" w:type="dxa"/>
            <w:vAlign w:val="bottom"/>
            <w:gridSpan w:val="2"/>
          </w:tcPr>
          <w:p>
            <w:pPr>
              <w:ind w:left="160"/>
              <w:spacing w:after="0"/>
              <w:rPr>
                <w:sz w:val="20"/>
                <w:szCs w:val="20"/>
                <w:color w:val="auto"/>
              </w:rPr>
            </w:pPr>
            <w:r>
              <w:rPr>
                <w:rFonts w:ascii="Arial" w:cs="Arial" w:eastAsia="Arial" w:hAnsi="Arial"/>
                <w:sz w:val="17"/>
                <w:szCs w:val="17"/>
                <w:color w:val="auto"/>
              </w:rPr>
              <w:t>100</w:t>
            </w:r>
          </w:p>
        </w:tc>
        <w:tc>
          <w:tcPr>
            <w:tcW w:w="480" w:type="dxa"/>
            <w:vAlign w:val="bottom"/>
            <w:gridSpan w:val="2"/>
          </w:tcPr>
          <w:p>
            <w:pPr>
              <w:ind w:left="180"/>
              <w:spacing w:after="0"/>
              <w:rPr>
                <w:sz w:val="20"/>
                <w:szCs w:val="20"/>
                <w:color w:val="auto"/>
              </w:rPr>
            </w:pPr>
            <w:r>
              <w:rPr>
                <w:rFonts w:ascii="Arial" w:cs="Arial" w:eastAsia="Arial" w:hAnsi="Arial"/>
                <w:sz w:val="17"/>
                <w:szCs w:val="17"/>
                <w:color w:val="auto"/>
                <w:w w:val="98"/>
              </w:rPr>
              <w:t>100</w:t>
            </w:r>
          </w:p>
        </w:tc>
        <w:tc>
          <w:tcPr>
            <w:tcW w:w="0" w:type="dxa"/>
            <w:vAlign w:val="bottom"/>
          </w:tcPr>
          <w:p>
            <w:pPr>
              <w:spacing w:after="0"/>
              <w:rPr>
                <w:sz w:val="1"/>
                <w:szCs w:val="1"/>
                <w:color w:val="auto"/>
              </w:rPr>
            </w:pPr>
          </w:p>
        </w:tc>
      </w:tr>
      <w:tr>
        <w:trPr>
          <w:trHeight w:val="207"/>
        </w:trPr>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Mereo BioPharma 3 Limited</w:t>
            </w:r>
          </w:p>
        </w:tc>
        <w:tc>
          <w:tcPr>
            <w:tcW w:w="37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Pharmaceutical R&amp;D</w:t>
            </w:r>
          </w:p>
        </w:tc>
        <w:tc>
          <w:tcPr>
            <w:tcW w:w="116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6"/>
              </w:rPr>
              <w:t>U.K.</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100</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8"/>
              </w:rPr>
              <w:t>100</w:t>
            </w:r>
          </w:p>
        </w:tc>
        <w:tc>
          <w:tcPr>
            <w:tcW w:w="0" w:type="dxa"/>
            <w:vAlign w:val="bottom"/>
          </w:tcPr>
          <w:p>
            <w:pPr>
              <w:spacing w:after="0"/>
              <w:rPr>
                <w:sz w:val="1"/>
                <w:szCs w:val="1"/>
                <w:color w:val="auto"/>
              </w:rPr>
            </w:pPr>
          </w:p>
        </w:tc>
      </w:tr>
      <w:tr>
        <w:trPr>
          <w:trHeight w:val="207"/>
        </w:trPr>
        <w:tc>
          <w:tcPr>
            <w:tcW w:w="3520" w:type="dxa"/>
            <w:vAlign w:val="bottom"/>
            <w:gridSpan w:val="2"/>
          </w:tcPr>
          <w:p>
            <w:pPr>
              <w:spacing w:after="0"/>
              <w:rPr>
                <w:sz w:val="20"/>
                <w:szCs w:val="20"/>
                <w:color w:val="auto"/>
              </w:rPr>
            </w:pPr>
            <w:r>
              <w:rPr>
                <w:rFonts w:ascii="Arial" w:cs="Arial" w:eastAsia="Arial" w:hAnsi="Arial"/>
                <w:sz w:val="17"/>
                <w:szCs w:val="17"/>
                <w:color w:val="auto"/>
              </w:rPr>
              <w:t>Mereo BioPharma 4 Limited</w:t>
            </w:r>
          </w:p>
        </w:tc>
        <w:tc>
          <w:tcPr>
            <w:tcW w:w="3700" w:type="dxa"/>
            <w:vAlign w:val="bottom"/>
            <w:gridSpan w:val="3"/>
          </w:tcPr>
          <w:p>
            <w:pPr>
              <w:ind w:left="200"/>
              <w:spacing w:after="0"/>
              <w:rPr>
                <w:sz w:val="20"/>
                <w:szCs w:val="20"/>
                <w:color w:val="auto"/>
              </w:rPr>
            </w:pPr>
            <w:r>
              <w:rPr>
                <w:rFonts w:ascii="Arial" w:cs="Arial" w:eastAsia="Arial" w:hAnsi="Arial"/>
                <w:sz w:val="17"/>
                <w:szCs w:val="17"/>
                <w:color w:val="auto"/>
              </w:rPr>
              <w:t>Pharmaceutical R&amp;D</w:t>
            </w: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96"/>
              </w:rPr>
              <w:t>U.K.</w:t>
            </w:r>
          </w:p>
        </w:tc>
        <w:tc>
          <w:tcPr>
            <w:tcW w:w="840" w:type="dxa"/>
            <w:vAlign w:val="bottom"/>
            <w:gridSpan w:val="2"/>
          </w:tcPr>
          <w:p>
            <w:pPr>
              <w:ind w:left="160"/>
              <w:spacing w:after="0"/>
              <w:rPr>
                <w:sz w:val="20"/>
                <w:szCs w:val="20"/>
                <w:color w:val="auto"/>
              </w:rPr>
            </w:pPr>
            <w:r>
              <w:rPr>
                <w:rFonts w:ascii="Arial" w:cs="Arial" w:eastAsia="Arial" w:hAnsi="Arial"/>
                <w:sz w:val="17"/>
                <w:szCs w:val="17"/>
                <w:color w:val="auto"/>
              </w:rPr>
              <w:t>100</w:t>
            </w:r>
          </w:p>
        </w:tc>
        <w:tc>
          <w:tcPr>
            <w:tcW w:w="480" w:type="dxa"/>
            <w:vAlign w:val="bottom"/>
            <w:gridSpan w:val="2"/>
          </w:tcPr>
          <w:p>
            <w:pPr>
              <w:ind w:left="180"/>
              <w:spacing w:after="0"/>
              <w:rPr>
                <w:sz w:val="20"/>
                <w:szCs w:val="20"/>
                <w:color w:val="auto"/>
              </w:rPr>
            </w:pPr>
            <w:r>
              <w:rPr>
                <w:rFonts w:ascii="Arial" w:cs="Arial" w:eastAsia="Arial" w:hAnsi="Arial"/>
                <w:sz w:val="17"/>
                <w:szCs w:val="17"/>
                <w:color w:val="auto"/>
                <w:w w:val="98"/>
              </w:rPr>
              <w:t>100</w:t>
            </w:r>
          </w:p>
        </w:tc>
        <w:tc>
          <w:tcPr>
            <w:tcW w:w="0" w:type="dxa"/>
            <w:vAlign w:val="bottom"/>
          </w:tcPr>
          <w:p>
            <w:pPr>
              <w:spacing w:after="0"/>
              <w:rPr>
                <w:sz w:val="1"/>
                <w:szCs w:val="1"/>
                <w:color w:val="auto"/>
              </w:rPr>
            </w:pPr>
          </w:p>
        </w:tc>
      </w:tr>
      <w:tr>
        <w:trPr>
          <w:trHeight w:val="207"/>
        </w:trPr>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Mereo BioPharma Ireland Limited</w:t>
            </w:r>
          </w:p>
        </w:tc>
        <w:tc>
          <w:tcPr>
            <w:tcW w:w="37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Pharmaceutical R&amp;D</w:t>
            </w:r>
          </w:p>
        </w:tc>
        <w:tc>
          <w:tcPr>
            <w:tcW w:w="116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2"/>
              </w:rPr>
              <w:t>Ireland</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8"/>
              </w:rPr>
              <w:t>100</w:t>
            </w:r>
          </w:p>
        </w:tc>
        <w:tc>
          <w:tcPr>
            <w:tcW w:w="0" w:type="dxa"/>
            <w:vAlign w:val="bottom"/>
          </w:tcPr>
          <w:p>
            <w:pPr>
              <w:spacing w:after="0"/>
              <w:rPr>
                <w:sz w:val="1"/>
                <w:szCs w:val="1"/>
                <w:color w:val="auto"/>
              </w:rPr>
            </w:pPr>
          </w:p>
        </w:tc>
      </w:tr>
      <w:tr>
        <w:trPr>
          <w:trHeight w:val="207"/>
        </w:trPr>
        <w:tc>
          <w:tcPr>
            <w:tcW w:w="3520" w:type="dxa"/>
            <w:vAlign w:val="bottom"/>
            <w:gridSpan w:val="2"/>
          </w:tcPr>
          <w:p>
            <w:pPr>
              <w:spacing w:after="0"/>
              <w:rPr>
                <w:sz w:val="20"/>
                <w:szCs w:val="20"/>
                <w:color w:val="auto"/>
              </w:rPr>
            </w:pPr>
            <w:r>
              <w:rPr>
                <w:rFonts w:ascii="Arial" w:cs="Arial" w:eastAsia="Arial" w:hAnsi="Arial"/>
                <w:sz w:val="17"/>
                <w:szCs w:val="17"/>
                <w:color w:val="auto"/>
              </w:rPr>
              <w:t>Mereo US Holdings Inc</w:t>
            </w:r>
          </w:p>
        </w:tc>
        <w:tc>
          <w:tcPr>
            <w:tcW w:w="3700" w:type="dxa"/>
            <w:vAlign w:val="bottom"/>
            <w:gridSpan w:val="3"/>
          </w:tcPr>
          <w:p>
            <w:pPr>
              <w:ind w:left="200"/>
              <w:spacing w:after="0"/>
              <w:rPr>
                <w:sz w:val="20"/>
                <w:szCs w:val="20"/>
                <w:color w:val="auto"/>
              </w:rPr>
            </w:pPr>
            <w:r>
              <w:rPr>
                <w:rFonts w:ascii="Arial" w:cs="Arial" w:eastAsia="Arial" w:hAnsi="Arial"/>
                <w:sz w:val="17"/>
                <w:szCs w:val="17"/>
                <w:color w:val="auto"/>
              </w:rPr>
              <w:t>Holding</w:t>
            </w: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96"/>
              </w:rPr>
              <w:t>U.S.</w:t>
            </w:r>
          </w:p>
        </w:tc>
        <w:tc>
          <w:tcPr>
            <w:tcW w:w="8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180"/>
              <w:spacing w:after="0"/>
              <w:rPr>
                <w:sz w:val="20"/>
                <w:szCs w:val="20"/>
                <w:color w:val="auto"/>
              </w:rPr>
            </w:pPr>
            <w:r>
              <w:rPr>
                <w:rFonts w:ascii="Arial" w:cs="Arial" w:eastAsia="Arial" w:hAnsi="Arial"/>
                <w:sz w:val="17"/>
                <w:szCs w:val="17"/>
                <w:color w:val="auto"/>
                <w:w w:val="98"/>
              </w:rPr>
              <w:t>100</w:t>
            </w:r>
          </w:p>
        </w:tc>
        <w:tc>
          <w:tcPr>
            <w:tcW w:w="0" w:type="dxa"/>
            <w:vAlign w:val="bottom"/>
          </w:tcPr>
          <w:p>
            <w:pPr>
              <w:spacing w:after="0"/>
              <w:rPr>
                <w:sz w:val="1"/>
                <w:szCs w:val="1"/>
                <w:color w:val="auto"/>
              </w:rPr>
            </w:pPr>
          </w:p>
        </w:tc>
      </w:tr>
      <w:tr>
        <w:trPr>
          <w:trHeight w:val="207"/>
        </w:trPr>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Mereo MergerCo One Inc.</w:t>
            </w:r>
          </w:p>
        </w:tc>
        <w:tc>
          <w:tcPr>
            <w:tcW w:w="37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Holding</w:t>
            </w:r>
          </w:p>
        </w:tc>
        <w:tc>
          <w:tcPr>
            <w:tcW w:w="116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6"/>
              </w:rPr>
              <w:t>U.S.</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8"/>
              </w:rPr>
              <w:t>100</w:t>
            </w:r>
          </w:p>
        </w:tc>
        <w:tc>
          <w:tcPr>
            <w:tcW w:w="0" w:type="dxa"/>
            <w:vAlign w:val="bottom"/>
          </w:tcPr>
          <w:p>
            <w:pPr>
              <w:spacing w:after="0"/>
              <w:rPr>
                <w:sz w:val="1"/>
                <w:szCs w:val="1"/>
                <w:color w:val="auto"/>
              </w:rPr>
            </w:pPr>
          </w:p>
        </w:tc>
      </w:tr>
      <w:tr>
        <w:trPr>
          <w:trHeight w:val="195"/>
        </w:trPr>
        <w:tc>
          <w:tcPr>
            <w:tcW w:w="3520" w:type="dxa"/>
            <w:vAlign w:val="bottom"/>
            <w:gridSpan w:val="2"/>
          </w:tcPr>
          <w:p>
            <w:pPr>
              <w:spacing w:after="0"/>
              <w:rPr>
                <w:sz w:val="20"/>
                <w:szCs w:val="20"/>
                <w:color w:val="auto"/>
              </w:rPr>
            </w:pPr>
            <w:r>
              <w:rPr>
                <w:rFonts w:ascii="Arial" w:cs="Arial" w:eastAsia="Arial" w:hAnsi="Arial"/>
                <w:sz w:val="17"/>
                <w:szCs w:val="17"/>
                <w:color w:val="auto"/>
                <w:w w:val="99"/>
              </w:rPr>
              <w:t>Mereo BioPharma Group plc Employee Benefit</w:t>
            </w:r>
          </w:p>
        </w:tc>
        <w:tc>
          <w:tcPr>
            <w:tcW w:w="3700" w:type="dxa"/>
            <w:vAlign w:val="bottom"/>
            <w:gridSpan w:val="3"/>
          </w:tcPr>
          <w:p>
            <w:pPr>
              <w:ind w:left="200"/>
              <w:spacing w:after="0"/>
              <w:rPr>
                <w:sz w:val="20"/>
                <w:szCs w:val="20"/>
                <w:color w:val="auto"/>
              </w:rPr>
            </w:pPr>
            <w:r>
              <w:rPr>
                <w:rFonts w:ascii="Arial" w:cs="Arial" w:eastAsia="Arial" w:hAnsi="Arial"/>
                <w:sz w:val="17"/>
                <w:szCs w:val="17"/>
                <w:color w:val="auto"/>
              </w:rPr>
              <w:t>Employee share scheme</w:t>
            </w: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87"/>
              </w:rPr>
              <w:t>Jersey</w:t>
            </w:r>
          </w:p>
        </w:tc>
        <w:tc>
          <w:tcPr>
            <w:tcW w:w="8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520" w:type="dxa"/>
            <w:vAlign w:val="bottom"/>
            <w:gridSpan w:val="2"/>
          </w:tcPr>
          <w:p>
            <w:pPr>
              <w:ind w:left="180"/>
              <w:spacing w:after="0"/>
              <w:rPr>
                <w:sz w:val="20"/>
                <w:szCs w:val="20"/>
                <w:color w:val="auto"/>
              </w:rPr>
            </w:pPr>
            <w:r>
              <w:rPr>
                <w:rFonts w:ascii="Arial" w:cs="Arial" w:eastAsia="Arial" w:hAnsi="Arial"/>
                <w:sz w:val="17"/>
                <w:szCs w:val="17"/>
                <w:color w:val="auto"/>
              </w:rPr>
              <w:t>Trust</w:t>
            </w:r>
          </w:p>
        </w:tc>
        <w:tc>
          <w:tcPr>
            <w:tcW w:w="2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6. Compensation of key management personnel of the Group</w:t>
      </w:r>
    </w:p>
    <w:p>
      <w:pPr>
        <w:spacing w:after="0" w:line="121" w:lineRule="exact"/>
        <w:rPr>
          <w:sz w:val="20"/>
          <w:szCs w:val="20"/>
          <w:color w:val="auto"/>
        </w:rPr>
      </w:pPr>
    </w:p>
    <w:p>
      <w:pPr>
        <w:jc w:val="both"/>
        <w:ind w:left="440" w:firstLine="423"/>
        <w:spacing w:after="0" w:line="269" w:lineRule="auto"/>
        <w:rPr>
          <w:sz w:val="20"/>
          <w:szCs w:val="20"/>
          <w:color w:val="auto"/>
        </w:rPr>
      </w:pPr>
      <w:r>
        <w:rPr>
          <w:rFonts w:ascii="Arial" w:cs="Arial" w:eastAsia="Arial" w:hAnsi="Arial"/>
          <w:sz w:val="17"/>
          <w:szCs w:val="17"/>
          <w:color w:val="auto"/>
        </w:rPr>
        <w:t>Key management includes directors (executive and non-executive) and executive officers being the General Counsel, the Chief Medical Officer, the Head of Corporate Development and the Head of Patient Access and Commercial Planning. The compensation paid or payable to key management is set out below:</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8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bottom w:val="single" w:sz="8" w:color="auto"/>
            </w:tcBorders>
          </w:tcPr>
          <w:p>
            <w:pPr>
              <w:jc w:val="center"/>
              <w:ind w:left="56"/>
              <w:spacing w:after="0" w:line="13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center"/>
              <w:ind w:left="319"/>
              <w:spacing w:after="0" w:line="13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174"/>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(in £)</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Short-term benefits</w:t>
            </w:r>
          </w:p>
        </w:tc>
        <w:tc>
          <w:tcPr>
            <w:tcW w:w="2400" w:type="dxa"/>
            <w:vAlign w:val="bottom"/>
            <w:gridSpan w:val="6"/>
            <w:shd w:val="clear" w:color="auto" w:fill="CCEEFF"/>
          </w:tcPr>
          <w:p>
            <w:pPr>
              <w:jc w:val="right"/>
              <w:spacing w:after="0"/>
              <w:rPr>
                <w:sz w:val="20"/>
                <w:szCs w:val="20"/>
                <w:color w:val="auto"/>
              </w:rPr>
            </w:pPr>
            <w:r>
              <w:rPr>
                <w:rFonts w:ascii="Arial" w:cs="Arial" w:eastAsia="Arial" w:hAnsi="Arial"/>
                <w:sz w:val="17"/>
                <w:szCs w:val="17"/>
                <w:color w:val="auto"/>
              </w:rPr>
              <w:t>2,111,712</w:t>
            </w: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2,756,979</w:t>
            </w:r>
          </w:p>
        </w:tc>
        <w:tc>
          <w:tcPr>
            <w:tcW w:w="3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3,176,168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7"/>
                <w:szCs w:val="17"/>
                <w:color w:val="auto"/>
              </w:rPr>
              <w:t>Post-employment benefits</w:t>
            </w:r>
          </w:p>
        </w:tc>
        <w:tc>
          <w:tcPr>
            <w:tcW w:w="2400" w:type="dxa"/>
            <w:vAlign w:val="bottom"/>
            <w:gridSpan w:val="6"/>
          </w:tcPr>
          <w:p>
            <w:pPr>
              <w:jc w:val="right"/>
              <w:spacing w:after="0"/>
              <w:rPr>
                <w:sz w:val="20"/>
                <w:szCs w:val="20"/>
                <w:color w:val="auto"/>
              </w:rPr>
            </w:pPr>
            <w:r>
              <w:rPr>
                <w:rFonts w:ascii="Arial" w:cs="Arial" w:eastAsia="Arial" w:hAnsi="Arial"/>
                <w:sz w:val="17"/>
                <w:szCs w:val="17"/>
                <w:color w:val="auto"/>
              </w:rPr>
              <w:t>106,500</w:t>
            </w:r>
          </w:p>
        </w:tc>
        <w:tc>
          <w:tcPr>
            <w:tcW w:w="1200" w:type="dxa"/>
            <w:vAlign w:val="bottom"/>
            <w:gridSpan w:val="5"/>
          </w:tcPr>
          <w:p>
            <w:pPr>
              <w:jc w:val="right"/>
              <w:ind w:right="20"/>
              <w:spacing w:after="0"/>
              <w:rPr>
                <w:sz w:val="20"/>
                <w:szCs w:val="20"/>
                <w:color w:val="auto"/>
              </w:rPr>
            </w:pPr>
            <w:r>
              <w:rPr>
                <w:rFonts w:ascii="Arial" w:cs="Arial" w:eastAsia="Arial" w:hAnsi="Arial"/>
                <w:sz w:val="17"/>
                <w:szCs w:val="17"/>
                <w:color w:val="auto"/>
              </w:rPr>
              <w:t>87,269</w:t>
            </w:r>
          </w:p>
        </w:tc>
        <w:tc>
          <w:tcPr>
            <w:tcW w:w="3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59,522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IFRS 2 share-based payment charge</w:t>
            </w:r>
          </w:p>
        </w:tc>
        <w:tc>
          <w:tcPr>
            <w:tcW w:w="1540" w:type="dxa"/>
            <w:vAlign w:val="bottom"/>
            <w:gridSpan w:val="3"/>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4,631,853</w:t>
            </w:r>
          </w:p>
        </w:tc>
        <w:tc>
          <w:tcPr>
            <w:tcW w:w="320" w:type="dxa"/>
            <w:vAlign w:val="bottom"/>
            <w:gridSpan w:val="2"/>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2,726,337</w:t>
            </w:r>
          </w:p>
        </w:tc>
        <w:tc>
          <w:tcPr>
            <w:tcW w:w="3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1,470,025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80" w:type="dxa"/>
            <w:vAlign w:val="bottom"/>
            <w:gridSpan w:val="2"/>
          </w:tcPr>
          <w:p>
            <w:pPr>
              <w:ind w:left="840"/>
              <w:spacing w:after="0"/>
              <w:rPr>
                <w:sz w:val="20"/>
                <w:szCs w:val="20"/>
                <w:color w:val="auto"/>
              </w:rPr>
            </w:pPr>
            <w:r>
              <w:rPr>
                <w:rFonts w:ascii="Arial" w:cs="Arial" w:eastAsia="Arial" w:hAnsi="Arial"/>
                <w:sz w:val="17"/>
                <w:szCs w:val="17"/>
                <w:color w:val="auto"/>
                <w:w w:val="96"/>
              </w:rPr>
              <w:t>Total compensation paid to key management personnel</w:t>
            </w:r>
          </w:p>
        </w:tc>
        <w:tc>
          <w:tcPr>
            <w:tcW w:w="2400" w:type="dxa"/>
            <w:vAlign w:val="bottom"/>
            <w:gridSpan w:val="6"/>
          </w:tcPr>
          <w:p>
            <w:pPr>
              <w:jc w:val="right"/>
              <w:spacing w:after="0"/>
              <w:rPr>
                <w:sz w:val="20"/>
                <w:szCs w:val="20"/>
                <w:color w:val="auto"/>
              </w:rPr>
            </w:pPr>
            <w:r>
              <w:rPr>
                <w:rFonts w:ascii="Arial" w:cs="Arial" w:eastAsia="Arial" w:hAnsi="Arial"/>
                <w:sz w:val="17"/>
                <w:szCs w:val="17"/>
                <w:color w:val="auto"/>
              </w:rPr>
              <w:t>6,850,065</w:t>
            </w:r>
          </w:p>
        </w:tc>
        <w:tc>
          <w:tcPr>
            <w:tcW w:w="1200" w:type="dxa"/>
            <w:vAlign w:val="bottom"/>
            <w:gridSpan w:val="5"/>
          </w:tcPr>
          <w:p>
            <w:pPr>
              <w:jc w:val="right"/>
              <w:ind w:right="20"/>
              <w:spacing w:after="0"/>
              <w:rPr>
                <w:sz w:val="20"/>
                <w:szCs w:val="20"/>
                <w:color w:val="auto"/>
              </w:rPr>
            </w:pPr>
            <w:r>
              <w:rPr>
                <w:rFonts w:ascii="Arial" w:cs="Arial" w:eastAsia="Arial" w:hAnsi="Arial"/>
                <w:sz w:val="17"/>
                <w:szCs w:val="17"/>
                <w:color w:val="auto"/>
              </w:rPr>
              <w:t>5,570,585</w:t>
            </w:r>
          </w:p>
        </w:tc>
        <w:tc>
          <w:tcPr>
            <w:tcW w:w="3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4,705,715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7. Finance income and Finance charge</w:t>
            </w: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488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80" w:type="dxa"/>
            <w:vAlign w:val="bottom"/>
            <w:gridSpan w:val="2"/>
          </w:tcPr>
          <w:p>
            <w:pPr>
              <w:ind w:left="200"/>
              <w:spacing w:after="0"/>
              <w:rPr>
                <w:sz w:val="20"/>
                <w:szCs w:val="20"/>
                <w:color w:val="auto"/>
              </w:rPr>
            </w:pPr>
            <w:r>
              <w:rPr>
                <w:rFonts w:ascii="Arial" w:cs="Arial" w:eastAsia="Arial" w:hAnsi="Arial"/>
                <w:sz w:val="17"/>
                <w:szCs w:val="17"/>
                <w:b w:val="1"/>
                <w:bCs w:val="1"/>
                <w:i w:val="1"/>
                <w:iCs w:val="1"/>
                <w:color w:val="auto"/>
              </w:rPr>
              <w:t>Finance income</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bottom w:val="single" w:sz="8" w:color="auto"/>
            </w:tcBorders>
            <w:gridSpan w:val="2"/>
          </w:tcPr>
          <w:p>
            <w:pPr>
              <w:jc w:val="right"/>
              <w:ind w:right="116"/>
              <w:spacing w:after="0" w:line="13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right"/>
              <w:ind w:right="67"/>
              <w:spacing w:after="0" w:line="13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154"/>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89"/>
              </w:rPr>
              <w:t>(in £)</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Bank interest earned</w:t>
            </w:r>
          </w:p>
        </w:tc>
        <w:tc>
          <w:tcPr>
            <w:tcW w:w="23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374,906</w:t>
            </w: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826,855</w:t>
            </w: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306,831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200"/>
              <w:spacing w:after="0"/>
              <w:rPr>
                <w:sz w:val="20"/>
                <w:szCs w:val="20"/>
                <w:color w:val="auto"/>
              </w:rPr>
            </w:pPr>
            <w:r>
              <w:rPr>
                <w:rFonts w:ascii="Arial" w:cs="Arial" w:eastAsia="Arial" w:hAnsi="Arial"/>
                <w:sz w:val="17"/>
                <w:szCs w:val="17"/>
                <w:b w:val="1"/>
                <w:bCs w:val="1"/>
                <w:i w:val="1"/>
                <w:iCs w:val="1"/>
                <w:color w:val="auto"/>
              </w:rPr>
              <w:t>Finance charge</w:t>
            </w: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488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80" w:type="dxa"/>
            <w:vAlign w:val="bottom"/>
            <w:tcBorders>
              <w:bottom w:val="single" w:sz="8" w:color="auto"/>
            </w:tcBorders>
            <w:gridSpan w:val="3"/>
          </w:tcPr>
          <w:p>
            <w:pPr>
              <w:jc w:val="right"/>
              <w:ind w:right="216"/>
              <w:spacing w:after="0" w:line="13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right"/>
              <w:ind w:right="167"/>
              <w:spacing w:after="0" w:line="13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234"/>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jc w:val="center"/>
              <w:ind w:right="600"/>
              <w:spacing w:after="0" w:line="135" w:lineRule="exact"/>
              <w:rPr>
                <w:sz w:val="20"/>
                <w:szCs w:val="20"/>
                <w:color w:val="auto"/>
              </w:rPr>
            </w:pPr>
            <w:r>
              <w:rPr>
                <w:rFonts w:ascii="Arial" w:cs="Arial" w:eastAsia="Arial" w:hAnsi="Arial"/>
                <w:sz w:val="14"/>
                <w:szCs w:val="14"/>
                <w:b w:val="1"/>
                <w:bCs w:val="1"/>
                <w:color w:val="auto"/>
                <w:w w:val="95"/>
              </w:rPr>
              <w:t>(in £)</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Interest payable on convertible loan</w:t>
            </w:r>
          </w:p>
        </w:tc>
        <w:tc>
          <w:tcPr>
            <w:tcW w:w="2320" w:type="dxa"/>
            <w:vAlign w:val="bottom"/>
            <w:gridSpan w:val="5"/>
            <w:shd w:val="clear" w:color="auto" w:fill="CCEEFF"/>
          </w:tcPr>
          <w:p>
            <w:pPr>
              <w:jc w:val="center"/>
              <w:ind w:left="1514"/>
              <w:spacing w:after="0"/>
              <w:rPr>
                <w:sz w:val="20"/>
                <w:szCs w:val="20"/>
                <w:color w:val="auto"/>
              </w:rPr>
            </w:pPr>
            <w:r>
              <w:rPr>
                <w:rFonts w:ascii="Arial" w:cs="Arial" w:eastAsia="Arial" w:hAnsi="Arial"/>
                <w:sz w:val="17"/>
                <w:szCs w:val="17"/>
                <w:color w:val="auto"/>
                <w:w w:val="93"/>
              </w:rPr>
              <w:t>(179,765)</w:t>
            </w: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(103,115)</w:t>
            </w:r>
          </w:p>
        </w:tc>
        <w:tc>
          <w:tcPr>
            <w:tcW w:w="3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(185,352)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7"/>
                <w:szCs w:val="17"/>
                <w:color w:val="auto"/>
              </w:rPr>
              <w:t>Interest payable on bank loan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gridSpan w:val="5"/>
          </w:tcPr>
          <w:p>
            <w:pPr>
              <w:jc w:val="right"/>
              <w:ind w:right="60"/>
              <w:spacing w:after="0"/>
              <w:rPr>
                <w:sz w:val="20"/>
                <w:szCs w:val="20"/>
                <w:color w:val="auto"/>
              </w:rPr>
            </w:pPr>
            <w:r>
              <w:rPr>
                <w:rFonts w:ascii="Arial" w:cs="Arial" w:eastAsia="Arial" w:hAnsi="Arial"/>
                <w:sz w:val="17"/>
                <w:szCs w:val="17"/>
                <w:color w:val="auto"/>
              </w:rPr>
              <w:t>(327,123)</w:t>
            </w:r>
          </w:p>
        </w:tc>
        <w:tc>
          <w:tcPr>
            <w:tcW w:w="3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w w:val="98"/>
              </w:rPr>
              <w:t>(1,644,610)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Accreted interest on bank loan</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(66,935)</w:t>
            </w:r>
          </w:p>
        </w:tc>
        <w:tc>
          <w:tcPr>
            <w:tcW w:w="3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(781,998)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7"/>
                <w:szCs w:val="17"/>
                <w:color w:val="auto"/>
              </w:rPr>
              <w:t>Transaction costs on bank loan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gridSpan w:val="5"/>
          </w:tcPr>
          <w:p>
            <w:pPr>
              <w:jc w:val="right"/>
              <w:ind w:right="60"/>
              <w:spacing w:after="0"/>
              <w:rPr>
                <w:sz w:val="20"/>
                <w:szCs w:val="20"/>
                <w:color w:val="auto"/>
              </w:rPr>
            </w:pPr>
            <w:r>
              <w:rPr>
                <w:rFonts w:ascii="Arial" w:cs="Arial" w:eastAsia="Arial" w:hAnsi="Arial"/>
                <w:sz w:val="17"/>
                <w:szCs w:val="17"/>
                <w:color w:val="auto"/>
              </w:rPr>
              <w:t>(200,000)</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Loss on short-term deposits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(338,279)</w:t>
            </w:r>
          </w:p>
        </w:tc>
        <w:tc>
          <w:tcPr>
            <w:tcW w:w="3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7"/>
                <w:szCs w:val="17"/>
                <w:color w:val="auto"/>
              </w:rPr>
              <w:t>Increase in provision for deferred cash consideration</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(443,000)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Change in warrant fair value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(54,473)</w:t>
            </w:r>
          </w:p>
        </w:tc>
        <w:tc>
          <w:tcPr>
            <w:tcW w:w="3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716,214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840"/>
              <w:spacing w:after="0"/>
              <w:rPr>
                <w:sz w:val="20"/>
                <w:szCs w:val="20"/>
                <w:color w:val="auto"/>
              </w:rPr>
            </w:pPr>
            <w:r>
              <w:rPr>
                <w:rFonts w:ascii="Arial" w:cs="Arial" w:eastAsia="Arial" w:hAnsi="Arial"/>
                <w:sz w:val="17"/>
                <w:szCs w:val="17"/>
                <w:color w:val="auto"/>
              </w:rPr>
              <w:t>Total finance charge</w:t>
            </w:r>
          </w:p>
        </w:tc>
        <w:tc>
          <w:tcPr>
            <w:tcW w:w="136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8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gridSpan w:val="4"/>
          </w:tcPr>
          <w:p>
            <w:pPr>
              <w:jc w:val="center"/>
              <w:ind w:left="162"/>
              <w:spacing w:after="0"/>
              <w:rPr>
                <w:sz w:val="20"/>
                <w:szCs w:val="20"/>
                <w:color w:val="auto"/>
              </w:rPr>
            </w:pPr>
            <w:r>
              <w:rPr>
                <w:rFonts w:ascii="Arial" w:cs="Arial" w:eastAsia="Arial" w:hAnsi="Arial"/>
                <w:sz w:val="17"/>
                <w:szCs w:val="17"/>
                <w:color w:val="auto"/>
                <w:w w:val="93"/>
              </w:rPr>
              <w:t>(179,765)</w:t>
            </w:r>
          </w:p>
        </w:tc>
        <w:tc>
          <w:tcPr>
            <w:tcW w:w="80" w:type="dxa"/>
            <w:vAlign w:val="bottom"/>
          </w:tcPr>
          <w:p>
            <w:pPr>
              <w:spacing w:after="0"/>
              <w:rPr>
                <w:sz w:val="18"/>
                <w:szCs w:val="18"/>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7"/>
                <w:szCs w:val="17"/>
                <w:color w:val="auto"/>
              </w:rPr>
              <w:t>(1,089,925)</w:t>
            </w:r>
          </w:p>
        </w:tc>
        <w:tc>
          <w:tcPr>
            <w:tcW w:w="3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w w:val="98"/>
              </w:rPr>
              <w:t>(2,360,648)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8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0" w:type="dxa"/>
            <w:vAlign w:val="bottom"/>
            <w:gridSpan w:val="6"/>
          </w:tcPr>
          <w:p>
            <w:pPr>
              <w:jc w:val="right"/>
              <w:ind w:right="1840"/>
              <w:spacing w:after="0"/>
              <w:rPr>
                <w:sz w:val="20"/>
                <w:szCs w:val="20"/>
                <w:color w:val="auto"/>
              </w:rPr>
            </w:pPr>
            <w:r>
              <w:rPr>
                <w:rFonts w:ascii="Arial" w:cs="Arial" w:eastAsia="Arial" w:hAnsi="Arial"/>
                <w:sz w:val="17"/>
                <w:szCs w:val="17"/>
                <w:color w:val="auto"/>
              </w:rPr>
              <w:t>F-16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446" w:right="81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8. Employee benefits expense</w:t>
      </w:r>
    </w:p>
    <w:p>
      <w:pPr>
        <w:spacing w:after="0" w:line="241"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5500" w:type="dxa"/>
            <w:vAlign w:val="bottom"/>
          </w:tcPr>
          <w:p>
            <w:pPr>
              <w:spacing w:after="0"/>
              <w:rPr>
                <w:sz w:val="11"/>
                <w:szCs w:val="11"/>
                <w:color w:val="auto"/>
              </w:rPr>
            </w:pPr>
          </w:p>
        </w:tc>
        <w:tc>
          <w:tcPr>
            <w:tcW w:w="880" w:type="dxa"/>
            <w:vAlign w:val="bottom"/>
            <w:tcBorders>
              <w:bottom w:val="single" w:sz="8" w:color="auto"/>
            </w:tcBorders>
          </w:tcPr>
          <w:p>
            <w:pPr>
              <w:jc w:val="right"/>
              <w:ind w:right="215"/>
              <w:spacing w:after="0" w:line="135" w:lineRule="exact"/>
              <w:rPr>
                <w:sz w:val="20"/>
                <w:szCs w:val="20"/>
                <w:color w:val="auto"/>
              </w:rPr>
            </w:pPr>
            <w:r>
              <w:rPr>
                <w:rFonts w:ascii="Arial" w:cs="Arial" w:eastAsia="Arial" w:hAnsi="Arial"/>
                <w:sz w:val="14"/>
                <w:szCs w:val="14"/>
                <w:b w:val="1"/>
                <w:bCs w:val="1"/>
                <w:color w:val="auto"/>
              </w:rPr>
              <w:t>2016</w:t>
            </w:r>
          </w:p>
        </w:tc>
        <w:tc>
          <w:tcPr>
            <w:tcW w:w="1200" w:type="dxa"/>
            <w:vAlign w:val="bottom"/>
            <w:tcBorders>
              <w:bottom w:val="single" w:sz="8" w:color="auto"/>
            </w:tcBorders>
            <w:gridSpan w:val="2"/>
          </w:tcPr>
          <w:p>
            <w:pPr>
              <w:jc w:val="center"/>
              <w:ind w:left="236"/>
              <w:spacing w:after="0" w:line="135" w:lineRule="exact"/>
              <w:rPr>
                <w:sz w:val="20"/>
                <w:szCs w:val="20"/>
                <w:color w:val="auto"/>
              </w:rPr>
            </w:pPr>
            <w:r>
              <w:rPr>
                <w:rFonts w:ascii="Arial" w:cs="Arial" w:eastAsia="Arial" w:hAnsi="Arial"/>
                <w:sz w:val="14"/>
                <w:szCs w:val="14"/>
                <w:b w:val="1"/>
                <w:bCs w:val="1"/>
                <w:color w:val="auto"/>
                <w:w w:val="89"/>
              </w:rPr>
              <w:t>2017</w:t>
            </w:r>
          </w:p>
        </w:tc>
        <w:tc>
          <w:tcPr>
            <w:tcW w:w="1200" w:type="dxa"/>
            <w:vAlign w:val="bottom"/>
            <w:tcBorders>
              <w:bottom w:val="single" w:sz="8" w:color="auto"/>
            </w:tcBorders>
            <w:gridSpan w:val="2"/>
          </w:tcPr>
          <w:p>
            <w:pPr>
              <w:jc w:val="right"/>
              <w:ind w:right="234"/>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r>
      <w:tr>
        <w:trPr>
          <w:trHeight w:val="135"/>
        </w:trPr>
        <w:tc>
          <w:tcPr>
            <w:tcW w:w="5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(in £)</w:t>
            </w: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7"/>
        </w:trPr>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Included in research and development expenses: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5500" w:type="dxa"/>
            <w:vAlign w:val="bottom"/>
          </w:tcPr>
          <w:p>
            <w:pPr>
              <w:ind w:left="340"/>
              <w:spacing w:after="0"/>
              <w:rPr>
                <w:sz w:val="20"/>
                <w:szCs w:val="20"/>
                <w:color w:val="auto"/>
              </w:rPr>
            </w:pPr>
            <w:r>
              <w:rPr>
                <w:rFonts w:ascii="Arial" w:cs="Arial" w:eastAsia="Arial" w:hAnsi="Arial"/>
                <w:sz w:val="17"/>
                <w:szCs w:val="17"/>
                <w:color w:val="auto"/>
              </w:rPr>
              <w:t>Salaries</w:t>
            </w:r>
          </w:p>
        </w:tc>
        <w:tc>
          <w:tcPr>
            <w:tcW w:w="880" w:type="dxa"/>
            <w:vAlign w:val="bottom"/>
          </w:tcPr>
          <w:p>
            <w:pPr>
              <w:jc w:val="right"/>
              <w:spacing w:after="0"/>
              <w:rPr>
                <w:sz w:val="20"/>
                <w:szCs w:val="20"/>
                <w:color w:val="auto"/>
              </w:rPr>
            </w:pPr>
            <w:r>
              <w:rPr>
                <w:rFonts w:ascii="Arial" w:cs="Arial" w:eastAsia="Arial" w:hAnsi="Arial"/>
                <w:sz w:val="17"/>
                <w:szCs w:val="17"/>
                <w:color w:val="auto"/>
              </w:rPr>
              <w:t>1,150,222</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1,640,373</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1,791,679</w:t>
            </w:r>
          </w:p>
        </w:tc>
        <w:tc>
          <w:tcPr>
            <w:tcW w:w="100" w:type="dxa"/>
            <w:vAlign w:val="bottom"/>
          </w:tcPr>
          <w:p>
            <w:pPr>
              <w:spacing w:after="0"/>
              <w:rPr>
                <w:sz w:val="18"/>
                <w:szCs w:val="18"/>
                <w:color w:val="auto"/>
              </w:rPr>
            </w:pPr>
          </w:p>
        </w:tc>
      </w:tr>
      <w:tr>
        <w:trPr>
          <w:trHeight w:val="207"/>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Social security costs (See Note 19)</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344,467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420,417</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(29,670)</w:t>
            </w:r>
          </w:p>
        </w:tc>
      </w:tr>
      <w:tr>
        <w:trPr>
          <w:trHeight w:val="207"/>
        </w:trPr>
        <w:tc>
          <w:tcPr>
            <w:tcW w:w="5500" w:type="dxa"/>
            <w:vAlign w:val="bottom"/>
          </w:tcPr>
          <w:p>
            <w:pPr>
              <w:ind w:left="340"/>
              <w:spacing w:after="0"/>
              <w:rPr>
                <w:sz w:val="20"/>
                <w:szCs w:val="20"/>
                <w:color w:val="auto"/>
              </w:rPr>
            </w:pPr>
            <w:r>
              <w:rPr>
                <w:rFonts w:ascii="Arial" w:cs="Arial" w:eastAsia="Arial" w:hAnsi="Arial"/>
                <w:sz w:val="17"/>
                <w:szCs w:val="17"/>
                <w:color w:val="auto"/>
              </w:rPr>
              <w:t>Pension contributions</w:t>
            </w:r>
          </w:p>
        </w:tc>
        <w:tc>
          <w:tcPr>
            <w:tcW w:w="880" w:type="dxa"/>
            <w:vAlign w:val="bottom"/>
          </w:tcPr>
          <w:p>
            <w:pPr>
              <w:jc w:val="right"/>
              <w:spacing w:after="0"/>
              <w:rPr>
                <w:sz w:val="20"/>
                <w:szCs w:val="20"/>
                <w:color w:val="auto"/>
              </w:rPr>
            </w:pPr>
            <w:r>
              <w:rPr>
                <w:rFonts w:ascii="Arial" w:cs="Arial" w:eastAsia="Arial" w:hAnsi="Arial"/>
                <w:sz w:val="17"/>
                <w:szCs w:val="17"/>
                <w:color w:val="auto"/>
              </w:rPr>
              <w:t>50,864</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77,425</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73,401</w:t>
            </w:r>
          </w:p>
        </w:tc>
        <w:tc>
          <w:tcPr>
            <w:tcW w:w="100" w:type="dxa"/>
            <w:vAlign w:val="bottom"/>
          </w:tcPr>
          <w:p>
            <w:pPr>
              <w:spacing w:after="0"/>
              <w:rPr>
                <w:sz w:val="18"/>
                <w:szCs w:val="18"/>
                <w:color w:val="auto"/>
              </w:rPr>
            </w:pPr>
          </w:p>
        </w:tc>
      </w:tr>
      <w:tr>
        <w:trPr>
          <w:trHeight w:val="207"/>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Share-based payment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1,550,884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822,173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525,972</w:t>
            </w:r>
          </w:p>
        </w:tc>
        <w:tc>
          <w:tcPr>
            <w:tcW w:w="100" w:type="dxa"/>
            <w:vAlign w:val="bottom"/>
            <w:shd w:val="clear" w:color="auto" w:fill="CCEEFF"/>
          </w:tcPr>
          <w:p>
            <w:pPr>
              <w:spacing w:after="0"/>
              <w:rPr>
                <w:sz w:val="18"/>
                <w:szCs w:val="18"/>
                <w:color w:val="auto"/>
              </w:rPr>
            </w:pPr>
          </w:p>
        </w:tc>
      </w:tr>
      <w:tr>
        <w:trPr>
          <w:trHeight w:val="207"/>
        </w:trPr>
        <w:tc>
          <w:tcPr>
            <w:tcW w:w="5500" w:type="dxa"/>
            <w:vAlign w:val="bottom"/>
          </w:tcPr>
          <w:p>
            <w:pPr>
              <w:spacing w:after="0"/>
              <w:rPr>
                <w:sz w:val="20"/>
                <w:szCs w:val="20"/>
                <w:color w:val="auto"/>
              </w:rPr>
            </w:pPr>
            <w:r>
              <w:rPr>
                <w:rFonts w:ascii="Arial" w:cs="Arial" w:eastAsia="Arial" w:hAnsi="Arial"/>
                <w:sz w:val="17"/>
                <w:szCs w:val="17"/>
                <w:b w:val="1"/>
                <w:bCs w:val="1"/>
                <w:color w:val="auto"/>
              </w:rPr>
              <w:t>Included in administrative expenses: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Salaries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2,132,920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2,253,393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2,902,759</w:t>
            </w:r>
          </w:p>
        </w:tc>
        <w:tc>
          <w:tcPr>
            <w:tcW w:w="100" w:type="dxa"/>
            <w:vAlign w:val="bottom"/>
            <w:shd w:val="clear" w:color="auto" w:fill="CCEEFF"/>
          </w:tcPr>
          <w:p>
            <w:pPr>
              <w:spacing w:after="0"/>
              <w:rPr>
                <w:sz w:val="18"/>
                <w:szCs w:val="18"/>
                <w:color w:val="auto"/>
              </w:rPr>
            </w:pPr>
          </w:p>
        </w:tc>
      </w:tr>
      <w:tr>
        <w:trPr>
          <w:trHeight w:val="207"/>
        </w:trPr>
        <w:tc>
          <w:tcPr>
            <w:tcW w:w="5500" w:type="dxa"/>
            <w:vAlign w:val="bottom"/>
          </w:tcPr>
          <w:p>
            <w:pPr>
              <w:ind w:left="340"/>
              <w:spacing w:after="0"/>
              <w:rPr>
                <w:sz w:val="20"/>
                <w:szCs w:val="20"/>
                <w:color w:val="auto"/>
              </w:rPr>
            </w:pPr>
            <w:r>
              <w:rPr>
                <w:rFonts w:ascii="Arial" w:cs="Arial" w:eastAsia="Arial" w:hAnsi="Arial"/>
                <w:sz w:val="17"/>
                <w:szCs w:val="17"/>
                <w:color w:val="auto"/>
              </w:rPr>
              <w:t>Social security costs</w:t>
            </w:r>
          </w:p>
        </w:tc>
        <w:tc>
          <w:tcPr>
            <w:tcW w:w="880" w:type="dxa"/>
            <w:vAlign w:val="bottom"/>
          </w:tcPr>
          <w:p>
            <w:pPr>
              <w:jc w:val="right"/>
              <w:spacing w:after="0"/>
              <w:rPr>
                <w:sz w:val="20"/>
                <w:szCs w:val="20"/>
                <w:color w:val="auto"/>
              </w:rPr>
            </w:pPr>
            <w:r>
              <w:rPr>
                <w:rFonts w:ascii="Arial" w:cs="Arial" w:eastAsia="Arial" w:hAnsi="Arial"/>
                <w:sz w:val="17"/>
                <w:szCs w:val="17"/>
                <w:color w:val="auto"/>
              </w:rPr>
              <w:t>1,040,409</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1,159,548</w:t>
            </w: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(827,509)</w:t>
            </w:r>
          </w:p>
        </w:tc>
      </w:tr>
      <w:tr>
        <w:trPr>
          <w:trHeight w:val="207"/>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Pension contributions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109,187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96,598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97,962</w:t>
            </w:r>
          </w:p>
        </w:tc>
        <w:tc>
          <w:tcPr>
            <w:tcW w:w="100" w:type="dxa"/>
            <w:vAlign w:val="bottom"/>
            <w:shd w:val="clear" w:color="auto" w:fill="CCEEFF"/>
          </w:tcPr>
          <w:p>
            <w:pPr>
              <w:spacing w:after="0"/>
              <w:rPr>
                <w:sz w:val="18"/>
                <w:szCs w:val="18"/>
                <w:color w:val="auto"/>
              </w:rPr>
            </w:pPr>
          </w:p>
        </w:tc>
      </w:tr>
      <w:tr>
        <w:trPr>
          <w:trHeight w:val="213"/>
        </w:trPr>
        <w:tc>
          <w:tcPr>
            <w:tcW w:w="5500" w:type="dxa"/>
            <w:vAlign w:val="bottom"/>
          </w:tcPr>
          <w:p>
            <w:pPr>
              <w:ind w:left="340"/>
              <w:spacing w:after="0"/>
              <w:rPr>
                <w:sz w:val="20"/>
                <w:szCs w:val="20"/>
                <w:color w:val="auto"/>
              </w:rPr>
            </w:pPr>
            <w:r>
              <w:rPr>
                <w:rFonts w:ascii="Arial" w:cs="Arial" w:eastAsia="Arial" w:hAnsi="Arial"/>
                <w:sz w:val="17"/>
                <w:szCs w:val="17"/>
                <w:color w:val="auto"/>
              </w:rPr>
              <w:t>Share-based payment expense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4,943,133</w:t>
            </w:r>
          </w:p>
        </w:tc>
        <w:tc>
          <w:tcPr>
            <w:tcW w:w="3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2,829,725</w:t>
            </w:r>
          </w:p>
        </w:tc>
        <w:tc>
          <w:tcPr>
            <w:tcW w:w="3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1,663,322</w:t>
            </w:r>
          </w:p>
        </w:tc>
        <w:tc>
          <w:tcPr>
            <w:tcW w:w="100" w:type="dxa"/>
            <w:vAlign w:val="bottom"/>
          </w:tcPr>
          <w:p>
            <w:pPr>
              <w:spacing w:after="0"/>
              <w:rPr>
                <w:sz w:val="18"/>
                <w:szCs w:val="18"/>
                <w:color w:val="auto"/>
              </w:rPr>
            </w:pPr>
          </w:p>
        </w:tc>
      </w:tr>
      <w:tr>
        <w:trPr>
          <w:trHeight w:val="207"/>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employee benefits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11,322,086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9,299,652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6,197,916</w:t>
            </w:r>
          </w:p>
        </w:tc>
        <w:tc>
          <w:tcPr>
            <w:tcW w:w="100" w:type="dxa"/>
            <w:vAlign w:val="bottom"/>
            <w:shd w:val="clear" w:color="auto" w:fill="CCEEFF"/>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9. Income tax</w:t>
      </w:r>
    </w:p>
    <w:p>
      <w:pPr>
        <w:spacing w:after="0" w:line="121"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The Group is entitled to claim tax credits in the U.K. under the U.K. R&amp;D small or medium-sized enterprise (SME) scheme, which provides additional taxation relief for qualifying expenditure on R&amp;D activities and includes an option to surrender a portion of tax losses arising from qualifying activities in return for a cash payment from HM Revenue &amp; Customs (HMRC). The amount included in the financial statements represents the credit receivable by the Group for the year. The claims in respect of the year ended December 31, 2016 were received by the Group in May 2017. The claims in respect of the year ended December 31, 2017 were received by the Group in August 2018. In the year ended December 31, 2018 amounts have not yet been agreed with the relevant tax authorities.</w:t>
      </w:r>
    </w:p>
    <w:p>
      <w:pPr>
        <w:spacing w:after="0" w:line="196"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5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5560" w:type="dxa"/>
            <w:vAlign w:val="bottom"/>
          </w:tcPr>
          <w:p>
            <w:pPr>
              <w:spacing w:after="0"/>
              <w:rPr>
                <w:sz w:val="11"/>
                <w:szCs w:val="11"/>
                <w:color w:val="auto"/>
              </w:rPr>
            </w:pPr>
          </w:p>
        </w:tc>
        <w:tc>
          <w:tcPr>
            <w:tcW w:w="880" w:type="dxa"/>
            <w:vAlign w:val="bottom"/>
            <w:tcBorders>
              <w:bottom w:val="single" w:sz="8" w:color="auto"/>
            </w:tcBorders>
          </w:tcPr>
          <w:p>
            <w:pPr>
              <w:jc w:val="right"/>
              <w:ind w:right="219"/>
              <w:spacing w:after="0" w:line="135" w:lineRule="exact"/>
              <w:rPr>
                <w:sz w:val="20"/>
                <w:szCs w:val="20"/>
                <w:color w:val="auto"/>
              </w:rPr>
            </w:pPr>
            <w:r>
              <w:rPr>
                <w:rFonts w:ascii="Arial" w:cs="Arial" w:eastAsia="Arial" w:hAnsi="Arial"/>
                <w:sz w:val="14"/>
                <w:szCs w:val="14"/>
                <w:b w:val="1"/>
                <w:bCs w:val="1"/>
                <w:color w:val="auto"/>
              </w:rPr>
              <w:t>2016</w:t>
            </w:r>
          </w:p>
        </w:tc>
        <w:tc>
          <w:tcPr>
            <w:tcW w:w="1200" w:type="dxa"/>
            <w:vAlign w:val="bottom"/>
            <w:tcBorders>
              <w:bottom w:val="single" w:sz="8" w:color="auto"/>
            </w:tcBorders>
            <w:gridSpan w:val="2"/>
          </w:tcPr>
          <w:p>
            <w:pPr>
              <w:jc w:val="center"/>
              <w:ind w:left="205"/>
              <w:spacing w:after="0" w:line="135"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19"/>
              <w:spacing w:after="0" w:line="13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r>
      <w:tr>
        <w:trPr>
          <w:trHeight w:val="135"/>
        </w:trPr>
        <w:tc>
          <w:tcPr>
            <w:tcW w:w="5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9"/>
              </w:rPr>
              <w:t>(in £)</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7"/>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U.K. corporation tax R&amp;D credit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5,331,271</w:t>
            </w:r>
          </w:p>
        </w:tc>
        <w:tc>
          <w:tcPr>
            <w:tcW w:w="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8,152,084</w:t>
            </w:r>
          </w:p>
        </w:tc>
        <w:tc>
          <w:tcPr>
            <w:tcW w:w="3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5,277,380</w:t>
            </w:r>
          </w:p>
        </w:tc>
        <w:tc>
          <w:tcPr>
            <w:tcW w:w="60" w:type="dxa"/>
            <w:vAlign w:val="bottom"/>
            <w:shd w:val="clear" w:color="auto" w:fill="CCEEFF"/>
          </w:tcPr>
          <w:p>
            <w:pPr>
              <w:spacing w:after="0"/>
              <w:rPr>
                <w:sz w:val="18"/>
                <w:szCs w:val="18"/>
                <w:color w:val="auto"/>
              </w:rPr>
            </w:pPr>
          </w:p>
        </w:tc>
      </w:tr>
      <w:tr>
        <w:trPr>
          <w:trHeight w:val="213"/>
        </w:trPr>
        <w:tc>
          <w:tcPr>
            <w:tcW w:w="5560" w:type="dxa"/>
            <w:vAlign w:val="bottom"/>
          </w:tcPr>
          <w:p>
            <w:pPr>
              <w:spacing w:after="0"/>
              <w:rPr>
                <w:sz w:val="20"/>
                <w:szCs w:val="20"/>
                <w:color w:val="auto"/>
              </w:rPr>
            </w:pPr>
            <w:r>
              <w:rPr>
                <w:rFonts w:ascii="Arial" w:cs="Arial" w:eastAsia="Arial" w:hAnsi="Arial"/>
                <w:sz w:val="17"/>
                <w:szCs w:val="17"/>
                <w:color w:val="auto"/>
              </w:rPr>
              <w:t>Income tax credit</w:t>
            </w:r>
          </w:p>
        </w:tc>
        <w:tc>
          <w:tcPr>
            <w:tcW w:w="880" w:type="dxa"/>
            <w:vAlign w:val="bottom"/>
          </w:tcPr>
          <w:p>
            <w:pPr>
              <w:jc w:val="right"/>
              <w:spacing w:after="0"/>
              <w:rPr>
                <w:sz w:val="20"/>
                <w:szCs w:val="20"/>
                <w:color w:val="auto"/>
              </w:rPr>
            </w:pPr>
            <w:r>
              <w:rPr>
                <w:rFonts w:ascii="Arial" w:cs="Arial" w:eastAsia="Arial" w:hAnsi="Arial"/>
                <w:sz w:val="17"/>
                <w:szCs w:val="17"/>
                <w:color w:val="auto"/>
              </w:rPr>
              <w:t>5,331,271</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8,152,084</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5,277,380</w:t>
            </w:r>
          </w:p>
        </w:tc>
        <w:tc>
          <w:tcPr>
            <w:tcW w:w="6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charge for the year can be reconciled to the loss per the income statement as follows:</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Year-ended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5360" w:type="dxa"/>
            <w:vAlign w:val="bottom"/>
          </w:tcPr>
          <w:p>
            <w:pPr>
              <w:spacing w:after="0"/>
              <w:rPr>
                <w:sz w:val="11"/>
                <w:szCs w:val="11"/>
                <w:color w:val="auto"/>
              </w:rPr>
            </w:pPr>
          </w:p>
        </w:tc>
        <w:tc>
          <w:tcPr>
            <w:tcW w:w="900" w:type="dxa"/>
            <w:vAlign w:val="bottom"/>
            <w:tcBorders>
              <w:bottom w:val="single" w:sz="8" w:color="auto"/>
            </w:tcBorders>
          </w:tcPr>
          <w:p>
            <w:pPr>
              <w:jc w:val="right"/>
              <w:ind w:right="236"/>
              <w:spacing w:after="0" w:line="13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left="198"/>
              <w:spacing w:after="0" w:line="135" w:lineRule="exact"/>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36"/>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r>
      <w:tr>
        <w:trPr>
          <w:trHeight w:val="135"/>
        </w:trPr>
        <w:tc>
          <w:tcPr>
            <w:tcW w:w="5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(in £)</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Loss on ordinary activities before income tax</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(33,721,551)</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(46,951,138)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5"/>
              </w:rPr>
              <w:t>(37,306,120)</w:t>
            </w:r>
          </w:p>
        </w:tc>
      </w:tr>
      <w:tr>
        <w:trPr>
          <w:trHeight w:val="195"/>
        </w:trPr>
        <w:tc>
          <w:tcPr>
            <w:tcW w:w="5360" w:type="dxa"/>
            <w:vAlign w:val="bottom"/>
          </w:tcPr>
          <w:p>
            <w:pPr>
              <w:spacing w:after="0"/>
              <w:rPr>
                <w:sz w:val="20"/>
                <w:szCs w:val="20"/>
                <w:color w:val="auto"/>
              </w:rPr>
            </w:pPr>
            <w:r>
              <w:rPr>
                <w:rFonts w:ascii="Arial" w:cs="Arial" w:eastAsia="Arial" w:hAnsi="Arial"/>
                <w:sz w:val="17"/>
                <w:szCs w:val="17"/>
                <w:color w:val="auto"/>
              </w:rPr>
              <w:t>Loss on ordinary activities before tax at the U.K.’s statutory income tax</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5360" w:type="dxa"/>
            <w:vAlign w:val="bottom"/>
          </w:tcPr>
          <w:p>
            <w:pPr>
              <w:ind w:left="180"/>
              <w:spacing w:after="0"/>
              <w:rPr>
                <w:sz w:val="20"/>
                <w:szCs w:val="20"/>
                <w:color w:val="auto"/>
              </w:rPr>
            </w:pPr>
            <w:r>
              <w:rPr>
                <w:rFonts w:ascii="Arial" w:cs="Arial" w:eastAsia="Arial" w:hAnsi="Arial"/>
                <w:sz w:val="17"/>
                <w:szCs w:val="17"/>
                <w:color w:val="auto"/>
              </w:rPr>
              <w:t>rate of 19% (2017: 19.25%)</w:t>
            </w:r>
          </w:p>
        </w:tc>
        <w:tc>
          <w:tcPr>
            <w:tcW w:w="900" w:type="dxa"/>
            <w:vAlign w:val="bottom"/>
          </w:tcPr>
          <w:p>
            <w:pPr>
              <w:jc w:val="right"/>
              <w:spacing w:after="0"/>
              <w:rPr>
                <w:sz w:val="20"/>
                <w:szCs w:val="20"/>
                <w:color w:val="auto"/>
              </w:rPr>
            </w:pPr>
            <w:r>
              <w:rPr>
                <w:rFonts w:ascii="Arial" w:cs="Arial" w:eastAsia="Arial" w:hAnsi="Arial"/>
                <w:sz w:val="17"/>
                <w:szCs w:val="17"/>
                <w:color w:val="auto"/>
              </w:rPr>
              <w:t>6,744,310</w:t>
            </w:r>
          </w:p>
        </w:tc>
        <w:tc>
          <w:tcPr>
            <w:tcW w:w="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9,038,094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7,088,163</w:t>
            </w:r>
          </w:p>
        </w:tc>
        <w:tc>
          <w:tcPr>
            <w:tcW w:w="100" w:type="dxa"/>
            <w:vAlign w:val="bottom"/>
          </w:tcPr>
          <w:p>
            <w:pPr>
              <w:spacing w:after="0"/>
              <w:rPr>
                <w:sz w:val="19"/>
                <w:szCs w:val="19"/>
                <w:color w:val="auto"/>
              </w:rPr>
            </w:pPr>
          </w:p>
        </w:tc>
      </w:t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Expenses not deductible for tax purposes (permanent differences)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(15,116)</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(14,316)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(1,069,606)</w:t>
            </w:r>
          </w:p>
        </w:tc>
      </w:tr>
      <w:tr>
        <w:trPr>
          <w:trHeight w:val="207"/>
        </w:trPr>
        <w:tc>
          <w:tcPr>
            <w:tcW w:w="5360" w:type="dxa"/>
            <w:vAlign w:val="bottom"/>
          </w:tcPr>
          <w:p>
            <w:pPr>
              <w:spacing w:after="0"/>
              <w:rPr>
                <w:sz w:val="20"/>
                <w:szCs w:val="20"/>
                <w:color w:val="auto"/>
              </w:rPr>
            </w:pPr>
            <w:r>
              <w:rPr>
                <w:rFonts w:ascii="Arial" w:cs="Arial" w:eastAsia="Arial" w:hAnsi="Arial"/>
                <w:sz w:val="17"/>
                <w:szCs w:val="17"/>
                <w:color w:val="auto"/>
              </w:rPr>
              <w:t>Temporary timing differences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(1,300,044)</w:t>
            </w:r>
          </w:p>
        </w:tc>
        <w:tc>
          <w:tcPr>
            <w:tcW w:w="1560" w:type="dxa"/>
            <w:vAlign w:val="bottom"/>
            <w:gridSpan w:val="3"/>
          </w:tcPr>
          <w:p>
            <w:pPr>
              <w:jc w:val="right"/>
              <w:ind w:right="320"/>
              <w:spacing w:after="0"/>
              <w:rPr>
                <w:sz w:val="20"/>
                <w:szCs w:val="20"/>
                <w:color w:val="auto"/>
              </w:rPr>
            </w:pPr>
            <w:r>
              <w:rPr>
                <w:rFonts w:ascii="Arial" w:cs="Arial" w:eastAsia="Arial" w:hAnsi="Arial"/>
                <w:sz w:val="17"/>
                <w:szCs w:val="17"/>
                <w:color w:val="auto"/>
              </w:rPr>
              <w:t>(711,677)</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(276,881)</w:t>
            </w:r>
          </w:p>
        </w:tc>
      </w:t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R&amp;D relief uplift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2,134,107</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3,447,474</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2,270,777</w:t>
            </w:r>
          </w:p>
        </w:tc>
        <w:tc>
          <w:tcPr>
            <w:tcW w:w="100" w:type="dxa"/>
            <w:vAlign w:val="bottom"/>
            <w:shd w:val="clear" w:color="auto" w:fill="CCEEFF"/>
          </w:tcPr>
          <w:p>
            <w:pPr>
              <w:spacing w:after="0"/>
              <w:rPr>
                <w:sz w:val="18"/>
                <w:szCs w:val="18"/>
                <w:color w:val="auto"/>
              </w:rPr>
            </w:pPr>
          </w:p>
        </w:tc>
      </w:tr>
      <w:tr>
        <w:trPr>
          <w:trHeight w:val="207"/>
        </w:trPr>
        <w:tc>
          <w:tcPr>
            <w:tcW w:w="5360" w:type="dxa"/>
            <w:vAlign w:val="bottom"/>
          </w:tcPr>
          <w:p>
            <w:pPr>
              <w:spacing w:after="0"/>
              <w:rPr>
                <w:sz w:val="20"/>
                <w:szCs w:val="20"/>
                <w:color w:val="auto"/>
              </w:rPr>
            </w:pPr>
            <w:r>
              <w:rPr>
                <w:rFonts w:ascii="Arial" w:cs="Arial" w:eastAsia="Arial" w:hAnsi="Arial"/>
                <w:sz w:val="17"/>
                <w:szCs w:val="17"/>
                <w:color w:val="auto"/>
              </w:rPr>
              <w:t>Losses (unrecognized)</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(2,231,986)</w:t>
            </w:r>
          </w:p>
        </w:tc>
        <w:tc>
          <w:tcPr>
            <w:tcW w:w="1560" w:type="dxa"/>
            <w:vAlign w:val="bottom"/>
            <w:gridSpan w:val="3"/>
          </w:tcPr>
          <w:p>
            <w:pPr>
              <w:jc w:val="right"/>
              <w:ind w:right="320"/>
              <w:spacing w:after="0"/>
              <w:rPr>
                <w:sz w:val="20"/>
                <w:szCs w:val="20"/>
                <w:color w:val="auto"/>
              </w:rPr>
            </w:pPr>
            <w:r>
              <w:rPr>
                <w:rFonts w:ascii="Arial" w:cs="Arial" w:eastAsia="Arial" w:hAnsi="Arial"/>
                <w:sz w:val="17"/>
                <w:szCs w:val="17"/>
                <w:color w:val="auto"/>
              </w:rPr>
              <w:t>(3,784,801)</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(2,803,796)</w:t>
            </w:r>
          </w:p>
        </w:tc>
      </w:t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from MBG loan guarantee costs</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177,310</w:t>
            </w:r>
          </w:p>
        </w:tc>
        <w:tc>
          <w:tcPr>
            <w:tcW w:w="3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68,723</w:t>
            </w:r>
          </w:p>
        </w:tc>
        <w:tc>
          <w:tcPr>
            <w:tcW w:w="100" w:type="dxa"/>
            <w:vAlign w:val="bottom"/>
            <w:shd w:val="clear" w:color="auto" w:fill="CCEEFF"/>
          </w:tcPr>
          <w:p>
            <w:pPr>
              <w:spacing w:after="0"/>
              <w:rPr>
                <w:sz w:val="18"/>
                <w:szCs w:val="18"/>
                <w:color w:val="auto"/>
              </w:rPr>
            </w:pPr>
          </w:p>
        </w:tc>
      </w:tr>
      <w:tr>
        <w:trPr>
          <w:trHeight w:val="213"/>
        </w:trPr>
        <w:tc>
          <w:tcPr>
            <w:tcW w:w="5360" w:type="dxa"/>
            <w:vAlign w:val="bottom"/>
          </w:tcPr>
          <w:p>
            <w:pPr>
              <w:spacing w:after="0"/>
              <w:rPr>
                <w:sz w:val="20"/>
                <w:szCs w:val="20"/>
                <w:color w:val="auto"/>
              </w:rPr>
            </w:pPr>
            <w:r>
              <w:rPr>
                <w:rFonts w:ascii="Arial" w:cs="Arial" w:eastAsia="Arial" w:hAnsi="Arial"/>
                <w:sz w:val="17"/>
                <w:szCs w:val="17"/>
                <w:color w:val="auto"/>
              </w:rPr>
              <w:t>Tax credit for the year</w:t>
            </w:r>
          </w:p>
        </w:tc>
        <w:tc>
          <w:tcPr>
            <w:tcW w:w="900" w:type="dxa"/>
            <w:vAlign w:val="bottom"/>
          </w:tcPr>
          <w:p>
            <w:pPr>
              <w:jc w:val="right"/>
              <w:spacing w:after="0"/>
              <w:rPr>
                <w:sz w:val="20"/>
                <w:szCs w:val="20"/>
                <w:color w:val="auto"/>
              </w:rPr>
            </w:pPr>
            <w:r>
              <w:rPr>
                <w:rFonts w:ascii="Arial" w:cs="Arial" w:eastAsia="Arial" w:hAnsi="Arial"/>
                <w:sz w:val="17"/>
                <w:szCs w:val="17"/>
                <w:color w:val="auto"/>
              </w:rPr>
              <w:t>5,331,271</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8,152,084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5,277,380</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At December 31, 2018 the Group had tax losses to be carried forward of approximately £50,611,184 (2017: £36,010,916).</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Deferred tax</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Deferred tax relates to the following:</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40" w:type="dxa"/>
            <w:vAlign w:val="bottom"/>
            <w:tcBorders>
              <w:bottom w:val="single" w:sz="8" w:color="auto"/>
            </w:tcBorders>
          </w:tcPr>
          <w:p>
            <w:pPr>
              <w:jc w:val="right"/>
              <w:ind w:right="159"/>
              <w:spacing w:after="0" w:line="13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157"/>
              <w:spacing w:after="0" w:line="135"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bottom w:val="single" w:sz="8" w:color="auto"/>
            </w:tcBorders>
            <w:gridSpan w:val="2"/>
          </w:tcPr>
          <w:p>
            <w:pPr>
              <w:jc w:val="right"/>
              <w:ind w:right="154"/>
              <w:spacing w:after="0" w:line="13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177"/>
              <w:spacing w:after="0" w:line="135" w:lineRule="exact"/>
              <w:rPr>
                <w:sz w:val="20"/>
                <w:szCs w:val="20"/>
                <w:color w:val="auto"/>
              </w:rPr>
            </w:pPr>
            <w:r>
              <w:rPr>
                <w:rFonts w:ascii="Arial" w:cs="Arial" w:eastAsia="Arial" w:hAnsi="Arial"/>
                <w:sz w:val="14"/>
                <w:szCs w:val="14"/>
                <w:b w:val="1"/>
                <w:bCs w:val="1"/>
                <w:color w:val="auto"/>
              </w:rPr>
              <w:t>(in £)</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7"/>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Losses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2,778,396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6,121,400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8,603,902</w:t>
            </w:r>
          </w:p>
        </w:tc>
        <w:tc>
          <w:tcPr>
            <w:tcW w:w="6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Fixed assets</w:t>
            </w:r>
          </w:p>
        </w:tc>
        <w:tc>
          <w:tcPr>
            <w:tcW w:w="3640" w:type="dxa"/>
            <w:vAlign w:val="bottom"/>
            <w:gridSpan w:val="3"/>
          </w:tcPr>
          <w:p>
            <w:pPr>
              <w:jc w:val="right"/>
              <w:ind w:right="120"/>
              <w:spacing w:after="0"/>
              <w:rPr>
                <w:sz w:val="20"/>
                <w:szCs w:val="20"/>
                <w:color w:val="auto"/>
              </w:rPr>
            </w:pPr>
            <w:r>
              <w:rPr>
                <w:rFonts w:ascii="Arial" w:cs="Arial" w:eastAsia="Arial" w:hAnsi="Arial"/>
                <w:sz w:val="17"/>
                <w:szCs w:val="17"/>
                <w:color w:val="auto"/>
              </w:rPr>
              <w:t>(9,883)</w:t>
            </w:r>
          </w:p>
        </w:tc>
        <w:tc>
          <w:tcPr>
            <w:tcW w:w="20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3,011</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2,888</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Temporary differences trading</w:t>
            </w:r>
          </w:p>
        </w:tc>
        <w:tc>
          <w:tcPr>
            <w:tcW w:w="27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2,266,798</w:t>
            </w:r>
          </w:p>
        </w:tc>
        <w:tc>
          <w:tcPr>
            <w:tcW w:w="3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494,779</w:t>
            </w:r>
          </w:p>
        </w:tc>
        <w:tc>
          <w:tcPr>
            <w:tcW w:w="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w:t>
            </w:r>
          </w:p>
        </w:tc>
        <w:tc>
          <w:tcPr>
            <w:tcW w:w="27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2,770,723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8,388,198</w:t>
            </w: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9,104,580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40" w:type="dxa"/>
            <w:vAlign w:val="bottom"/>
            <w:gridSpan w:val="3"/>
          </w:tcPr>
          <w:p>
            <w:pPr>
              <w:jc w:val="right"/>
              <w:ind w:right="2220"/>
              <w:spacing w:after="0"/>
              <w:rPr>
                <w:sz w:val="20"/>
                <w:szCs w:val="20"/>
                <w:color w:val="auto"/>
              </w:rPr>
            </w:pPr>
            <w:r>
              <w:rPr>
                <w:rFonts w:ascii="Arial" w:cs="Arial" w:eastAsia="Arial" w:hAnsi="Arial"/>
                <w:sz w:val="17"/>
                <w:szCs w:val="17"/>
                <w:color w:val="auto"/>
              </w:rPr>
              <w:t>F-17</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240" w:top="445" w:right="65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860" w:firstLine="423"/>
        <w:spacing w:after="0" w:line="284" w:lineRule="auto"/>
        <w:rPr>
          <w:sz w:val="20"/>
          <w:szCs w:val="20"/>
          <w:color w:val="auto"/>
        </w:rPr>
      </w:pPr>
      <w:r>
        <w:rPr>
          <w:rFonts w:ascii="Arial" w:cs="Arial" w:eastAsia="Arial" w:hAnsi="Arial"/>
          <w:sz w:val="17"/>
          <w:szCs w:val="17"/>
          <w:color w:val="auto"/>
        </w:rPr>
        <w:t>The deferred tax asset has not been recognized as there is uncertainty regarding when suitable future profits against which to offset the accumulated tax losses will arise. There is no expiration date for the accumulated tax losses.</w:t>
      </w:r>
    </w:p>
    <w:p>
      <w:pPr>
        <w:spacing w:after="0" w:line="159" w:lineRule="exact"/>
        <w:rPr>
          <w:sz w:val="20"/>
          <w:szCs w:val="20"/>
          <w:color w:val="auto"/>
        </w:rPr>
      </w:pPr>
    </w:p>
    <w:p>
      <w:pPr>
        <w:ind w:left="440" w:right="80" w:firstLine="423"/>
        <w:spacing w:after="0" w:line="269" w:lineRule="auto"/>
        <w:rPr>
          <w:sz w:val="20"/>
          <w:szCs w:val="20"/>
          <w:color w:val="auto"/>
        </w:rPr>
      </w:pPr>
      <w:r>
        <w:rPr>
          <w:rFonts w:ascii="Arial" w:cs="Arial" w:eastAsia="Arial" w:hAnsi="Arial"/>
          <w:sz w:val="17"/>
          <w:szCs w:val="17"/>
          <w:color w:val="auto"/>
        </w:rPr>
        <w:t>A reduction in the rate of U.K. corporation tax to 19% from April 1, 2017 and to 17% from April 1, 2020 has been substantively enacted. The standard rate of corporation tax applied to reported loss is 19% (2017: 19.25%) and any U.K. deferred tax assets and liabilities would be recognized at a rate of 17%.</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10. Loss per share</w:t>
      </w:r>
    </w:p>
    <w:p>
      <w:pPr>
        <w:spacing w:after="0" w:line="121" w:lineRule="exact"/>
        <w:rPr>
          <w:sz w:val="20"/>
          <w:szCs w:val="20"/>
          <w:color w:val="auto"/>
        </w:rPr>
      </w:pPr>
    </w:p>
    <w:p>
      <w:pPr>
        <w:ind w:left="440" w:right="140" w:firstLine="423"/>
        <w:spacing w:after="0" w:line="269" w:lineRule="auto"/>
        <w:rPr>
          <w:sz w:val="20"/>
          <w:szCs w:val="20"/>
          <w:color w:val="auto"/>
        </w:rPr>
      </w:pPr>
      <w:r>
        <w:rPr>
          <w:rFonts w:ascii="Arial" w:cs="Arial" w:eastAsia="Arial" w:hAnsi="Arial"/>
          <w:sz w:val="17"/>
          <w:szCs w:val="17"/>
          <w:color w:val="auto"/>
        </w:rPr>
        <w:t>Basic loss per share is calculated by dividing the loss attributable for the year to ordinary equity holders of the parent by the weighted average number of ordinary shares outstanding during the year. As net losses from continuing operations were recorded in the year, the dilutive potential shares are anti-dilutive for the earnings per share calculation.</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23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40" w:type="dxa"/>
            <w:vAlign w:val="bottom"/>
          </w:tcPr>
          <w:p>
            <w:pPr>
              <w:spacing w:after="0"/>
              <w:rPr>
                <w:sz w:val="9"/>
                <w:szCs w:val="9"/>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980" w:type="dxa"/>
            <w:vAlign w:val="bottom"/>
            <w:gridSpan w:val="2"/>
          </w:tcPr>
          <w:p>
            <w:pPr>
              <w:jc w:val="center"/>
              <w:ind w:right="140"/>
              <w:spacing w:after="0" w:line="113" w:lineRule="exact"/>
              <w:rPr>
                <w:sz w:val="20"/>
                <w:szCs w:val="20"/>
                <w:color w:val="auto"/>
              </w:rPr>
            </w:pPr>
            <w:r>
              <w:rPr>
                <w:rFonts w:ascii="Arial" w:cs="Arial" w:eastAsia="Arial" w:hAnsi="Arial"/>
                <w:sz w:val="13"/>
                <w:szCs w:val="13"/>
                <w:b w:val="1"/>
                <w:bCs w:val="1"/>
                <w:color w:val="auto"/>
                <w:w w:val="95"/>
              </w:rPr>
              <w:t>Weighted</w:t>
            </w:r>
          </w:p>
        </w:tc>
        <w:tc>
          <w:tcPr>
            <w:tcW w:w="5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Loss per</w:t>
            </w:r>
          </w:p>
        </w:tc>
        <w:tc>
          <w:tcPr>
            <w:tcW w:w="180" w:type="dxa"/>
            <w:vAlign w:val="bottom"/>
          </w:tcPr>
          <w:p>
            <w:pPr>
              <w:spacing w:after="0"/>
              <w:rPr>
                <w:sz w:val="9"/>
                <w:szCs w:val="9"/>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980" w:type="dxa"/>
            <w:vAlign w:val="bottom"/>
            <w:gridSpan w:val="2"/>
          </w:tcPr>
          <w:p>
            <w:pPr>
              <w:jc w:val="center"/>
              <w:ind w:right="180"/>
              <w:spacing w:after="0" w:line="113" w:lineRule="exact"/>
              <w:rPr>
                <w:sz w:val="20"/>
                <w:szCs w:val="20"/>
                <w:color w:val="auto"/>
              </w:rPr>
            </w:pPr>
            <w:r>
              <w:rPr>
                <w:rFonts w:ascii="Arial" w:cs="Arial" w:eastAsia="Arial" w:hAnsi="Arial"/>
                <w:sz w:val="13"/>
                <w:szCs w:val="13"/>
                <w:b w:val="1"/>
                <w:bCs w:val="1"/>
                <w:color w:val="auto"/>
                <w:w w:val="95"/>
              </w:rPr>
              <w:t>Weighted</w:t>
            </w:r>
          </w:p>
        </w:tc>
        <w:tc>
          <w:tcPr>
            <w:tcW w:w="5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2"/>
              </w:rPr>
              <w:t>Loss per</w:t>
            </w:r>
          </w:p>
        </w:tc>
        <w:tc>
          <w:tcPr>
            <w:tcW w:w="200" w:type="dxa"/>
            <w:vAlign w:val="bottom"/>
          </w:tcPr>
          <w:p>
            <w:pPr>
              <w:spacing w:after="0"/>
              <w:rPr>
                <w:sz w:val="9"/>
                <w:szCs w:val="9"/>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980" w:type="dxa"/>
            <w:vAlign w:val="bottom"/>
            <w:gridSpan w:val="2"/>
          </w:tcPr>
          <w:p>
            <w:pPr>
              <w:jc w:val="center"/>
              <w:ind w:right="140"/>
              <w:spacing w:after="0" w:line="113" w:lineRule="exact"/>
              <w:rPr>
                <w:sz w:val="20"/>
                <w:szCs w:val="20"/>
                <w:color w:val="auto"/>
              </w:rPr>
            </w:pPr>
            <w:r>
              <w:rPr>
                <w:rFonts w:ascii="Arial" w:cs="Arial" w:eastAsia="Arial" w:hAnsi="Arial"/>
                <w:sz w:val="13"/>
                <w:szCs w:val="13"/>
                <w:b w:val="1"/>
                <w:bCs w:val="1"/>
                <w:color w:val="auto"/>
                <w:w w:val="95"/>
              </w:rPr>
              <w:t>Weighted</w:t>
            </w:r>
          </w:p>
        </w:tc>
        <w:tc>
          <w:tcPr>
            <w:tcW w:w="5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2"/>
              </w:rPr>
              <w:t>Loss per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79"/>
              </w:rPr>
              <w:t>shares</w:t>
            </w:r>
          </w:p>
        </w:tc>
        <w:tc>
          <w:tcPr>
            <w:tcW w:w="7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5"/>
              </w:rPr>
              <w:t>share</w:t>
            </w:r>
          </w:p>
        </w:tc>
        <w:tc>
          <w:tcPr>
            <w:tcW w:w="110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4"/>
              </w:rPr>
              <w:t>shares</w:t>
            </w:r>
          </w:p>
        </w:tc>
        <w:tc>
          <w:tcPr>
            <w:tcW w:w="7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0"/>
              </w:rPr>
              <w:t>share</w:t>
            </w:r>
          </w:p>
        </w:tc>
        <w:tc>
          <w:tcPr>
            <w:tcW w:w="1080" w:type="dxa"/>
            <w:vAlign w:val="bottom"/>
            <w:gridSpan w:val="2"/>
            <w:vMerge w:val="continue"/>
          </w:tcPr>
          <w:p>
            <w:pPr>
              <w:spacing w:after="0"/>
              <w:rPr>
                <w:sz w:val="12"/>
                <w:szCs w:val="12"/>
                <w:color w:val="auto"/>
              </w:rPr>
            </w:pPr>
          </w:p>
        </w:tc>
        <w:tc>
          <w:tcPr>
            <w:tcW w:w="98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79"/>
              </w:rPr>
              <w:t>shares</w:t>
            </w:r>
          </w:p>
        </w:tc>
        <w:tc>
          <w:tcPr>
            <w:tcW w:w="6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5"/>
              </w:rPr>
              <w:t>share</w:t>
            </w:r>
          </w:p>
        </w:tc>
        <w:tc>
          <w:tcPr>
            <w:tcW w:w="0" w:type="dxa"/>
            <w:vAlign w:val="bottom"/>
          </w:tcPr>
          <w:p>
            <w:pPr>
              <w:spacing w:after="0"/>
              <w:rPr>
                <w:sz w:val="1"/>
                <w:szCs w:val="1"/>
                <w:color w:val="auto"/>
              </w:rPr>
            </w:pPr>
          </w:p>
        </w:tc>
      </w:tr>
      <w:tr>
        <w:trPr>
          <w:trHeight w:val="165"/>
        </w:trPr>
        <w:tc>
          <w:tcPr>
            <w:tcW w:w="23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number</w:t>
            </w: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number</w:t>
            </w: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number</w:t>
            </w: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(28,390,280)</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9"/>
              </w:rPr>
              <w:t>44,789,893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(38,799,054)</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69,012,348</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(32,028,740)</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9"/>
              </w:rPr>
              <w:t>71,144,786</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(0.45)</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40" w:right="100" w:firstLine="423"/>
        <w:spacing w:after="0" w:line="269" w:lineRule="auto"/>
        <w:rPr>
          <w:sz w:val="20"/>
          <w:szCs w:val="20"/>
          <w:color w:val="auto"/>
        </w:rPr>
      </w:pPr>
      <w:r>
        <w:rPr>
          <w:rFonts w:ascii="Arial" w:cs="Arial" w:eastAsia="Arial" w:hAnsi="Arial"/>
          <w:sz w:val="17"/>
          <w:szCs w:val="17"/>
          <w:color w:val="auto"/>
        </w:rPr>
        <w:t>The Company operates share option schemes (see Note 25) which could potentially dilute basic earnings per share in the future. In addition, there exist within equity 864,988 (2017: 864,988) shares to be issued which also have the potential to dilute basic earnings per share in the future (see Note 17).</w:t>
      </w:r>
    </w:p>
    <w:p>
      <w:pPr>
        <w:spacing w:after="0" w:line="171" w:lineRule="exact"/>
        <w:rPr>
          <w:sz w:val="20"/>
          <w:szCs w:val="20"/>
          <w:color w:val="auto"/>
        </w:rPr>
      </w:pPr>
    </w:p>
    <w:p>
      <w:pPr>
        <w:ind w:left="440" w:right="180" w:firstLine="423"/>
        <w:spacing w:after="0" w:line="284" w:lineRule="auto"/>
        <w:rPr>
          <w:sz w:val="20"/>
          <w:szCs w:val="20"/>
          <w:color w:val="auto"/>
        </w:rPr>
      </w:pPr>
      <w:r>
        <w:rPr>
          <w:rFonts w:ascii="Arial" w:cs="Arial" w:eastAsia="Arial" w:hAnsi="Arial"/>
          <w:sz w:val="17"/>
          <w:szCs w:val="17"/>
          <w:color w:val="auto"/>
        </w:rPr>
        <w:t>As part of a license and option agreement with AstraZeneca (see Note 26), additional future payments of a maximum of 1,349,692 new ordinary shares would be payable on reaching certain clinical milestones.</w:t>
      </w:r>
    </w:p>
    <w:p>
      <w:pPr>
        <w:spacing w:after="0" w:line="159"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Warrants totalling 41,286 were issued in 2018 that could potentially dilute basic earnings per share if converted. Warrants totalling 696,490 were issued in 2017 that could potentially dilute basic earnings per share if converted.</w:t>
      </w:r>
    </w:p>
    <w:p>
      <w:pPr>
        <w:spacing w:after="0" w:line="159"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For transactions involving ordinary shares or potential ordinary shares between the reporting date and the date of authorization of these financial statements, see Note 29.</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11. Property, plant and equipment</w:t>
      </w:r>
    </w:p>
    <w:p>
      <w:pPr>
        <w:spacing w:after="0" w:line="22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Leasehold</w:t>
            </w: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Office</w:t>
            </w: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IT</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improvements</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equipment</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equipment</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(in £)</w:t>
            </w:r>
          </w:p>
        </w:tc>
        <w:tc>
          <w:tcPr>
            <w:tcW w:w="6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 or valuation</w:t>
            </w:r>
          </w:p>
        </w:tc>
        <w:tc>
          <w:tcPr>
            <w:tcW w:w="2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At January 1, 2016</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155,494</w:t>
            </w:r>
          </w:p>
        </w:tc>
        <w:tc>
          <w:tcPr>
            <w:tcW w:w="4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20,024</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40,360</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215,878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20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3,467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Disposals</w:t>
            </w:r>
          </w:p>
        </w:tc>
        <w:tc>
          <w:tcPr>
            <w:tcW w:w="20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(1,175)</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(1,175)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December 31, 2016</w:t>
            </w:r>
          </w:p>
        </w:tc>
        <w:tc>
          <w:tcPr>
            <w:tcW w:w="20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155,494</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20,024</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rPr>
              <w:t>42,652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7"/>
              </w:rPr>
              <w:t>218,170</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Depreciation and impairment</w:t>
            </w:r>
          </w:p>
        </w:tc>
        <w:tc>
          <w:tcPr>
            <w:tcW w:w="2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440" w:type="dxa"/>
            <w:vAlign w:val="bottom"/>
            <w:gridSpan w:val="2"/>
            <w:vMerge w:val="continue"/>
          </w:tcPr>
          <w:p>
            <w:pPr>
              <w:spacing w:after="0"/>
              <w:rPr>
                <w:sz w:val="17"/>
                <w:szCs w:val="17"/>
                <w:color w:val="auto"/>
              </w:rPr>
            </w:pPr>
          </w:p>
        </w:tc>
        <w:tc>
          <w:tcPr>
            <w:tcW w:w="2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January 1, 2016</w:t>
            </w:r>
          </w:p>
        </w:tc>
        <w:tc>
          <w:tcPr>
            <w:tcW w:w="33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(5,625)</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(1,335)</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(4,401)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(11,361)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Disposals</w:t>
            </w:r>
          </w:p>
        </w:tc>
        <w:tc>
          <w:tcPr>
            <w:tcW w:w="20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457</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Depreciation for the year</w:t>
            </w:r>
          </w:p>
        </w:tc>
        <w:tc>
          <w:tcPr>
            <w:tcW w:w="33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(15,549)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(4,005)</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(13,843)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(33,397)</w:t>
            </w:r>
          </w:p>
        </w:tc>
        <w:tc>
          <w:tcPr>
            <w:tcW w:w="0" w:type="dxa"/>
            <w:vAlign w:val="bottom"/>
          </w:tcPr>
          <w:p>
            <w:pPr>
              <w:spacing w:after="0"/>
              <w:rPr>
                <w:sz w:val="1"/>
                <w:szCs w:val="1"/>
                <w:color w:val="auto"/>
              </w:rPr>
            </w:pPr>
          </w:p>
        </w:tc>
      </w:tr>
      <w:tr>
        <w:trPr>
          <w:trHeight w:val="213"/>
        </w:trPr>
        <w:tc>
          <w:tcPr>
            <w:tcW w:w="3440" w:type="dxa"/>
            <w:vAlign w:val="bottom"/>
            <w:gridSpan w:val="2"/>
          </w:tcPr>
          <w:p>
            <w:pPr>
              <w:spacing w:after="0"/>
              <w:rPr>
                <w:sz w:val="20"/>
                <w:szCs w:val="20"/>
                <w:color w:val="auto"/>
              </w:rPr>
            </w:pPr>
            <w:r>
              <w:rPr>
                <w:rFonts w:ascii="Arial" w:cs="Arial" w:eastAsia="Arial" w:hAnsi="Arial"/>
                <w:sz w:val="17"/>
                <w:szCs w:val="17"/>
                <w:b w:val="1"/>
                <w:bCs w:val="1"/>
                <w:color w:val="auto"/>
              </w:rPr>
              <w:t>At December 31, 2016</w:t>
            </w:r>
          </w:p>
        </w:tc>
        <w:tc>
          <w:tcPr>
            <w:tcW w:w="20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(21,174)</w:t>
            </w:r>
          </w:p>
        </w:tc>
        <w:tc>
          <w:tcPr>
            <w:tcW w:w="4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(5,340)</w:t>
            </w:r>
          </w:p>
        </w:tc>
        <w:tc>
          <w:tcPr>
            <w:tcW w:w="4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(17,787)</w:t>
            </w:r>
          </w:p>
        </w:tc>
        <w:tc>
          <w:tcPr>
            <w:tcW w:w="4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(44,301)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book value</w:t>
            </w:r>
          </w:p>
        </w:tc>
        <w:tc>
          <w:tcPr>
            <w:tcW w:w="2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At January 1, 2016</w:t>
            </w:r>
          </w:p>
        </w:tc>
        <w:tc>
          <w:tcPr>
            <w:tcW w:w="20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149,869</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18,689</w:t>
            </w:r>
          </w:p>
        </w:tc>
        <w:tc>
          <w:tcPr>
            <w:tcW w:w="4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35,959</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204,517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December 31, 2016</w:t>
            </w:r>
          </w:p>
        </w:tc>
        <w:tc>
          <w:tcPr>
            <w:tcW w:w="20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134,320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14,684</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rPr>
              <w:t>24,865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7"/>
              </w:rPr>
              <w:t>173,869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380" w:type="dxa"/>
            <w:vAlign w:val="bottom"/>
            <w:gridSpan w:val="3"/>
          </w:tcPr>
          <w:p>
            <w:pPr>
              <w:jc w:val="right"/>
              <w:ind w:right="1800"/>
              <w:spacing w:after="0"/>
              <w:rPr>
                <w:sz w:val="20"/>
                <w:szCs w:val="20"/>
                <w:color w:val="auto"/>
              </w:rPr>
            </w:pPr>
            <w:r>
              <w:rPr>
                <w:rFonts w:ascii="Arial" w:cs="Arial" w:eastAsia="Arial" w:hAnsi="Arial"/>
                <w:sz w:val="17"/>
                <w:szCs w:val="17"/>
                <w:color w:val="auto"/>
              </w:rPr>
              <w:t>F-18</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45" w:right="65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Leasehold</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Office</w:t>
            </w: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IT</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improvements</w:t>
            </w: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equipment</w:t>
            </w: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equipment</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(in £)</w:t>
            </w:r>
          </w:p>
        </w:tc>
        <w:tc>
          <w:tcPr>
            <w:tcW w:w="6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 or valuation</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At January 1, 2017</w:t>
            </w: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155,494</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20,024</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42,652</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218,170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10,107</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5,461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Disposals</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December 31, 2017</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rPr>
              <w:t>155,494</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b w:val="1"/>
                <w:bCs w:val="1"/>
                <w:color w:val="auto"/>
              </w:rPr>
              <w:t>30,131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rPr>
              <w:t>48,113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7"/>
              </w:rPr>
              <w:t>233,738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Depreciation and impairment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2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January 1, 2017</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(21,174)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(5,340)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(17,787)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(44,301)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Disposals</w:t>
            </w:r>
          </w:p>
        </w:tc>
        <w:tc>
          <w:tcPr>
            <w:tcW w:w="12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Depreciation for the year</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(15,549)</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(5,386)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(15,141)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(36,076)</w:t>
            </w:r>
          </w:p>
        </w:tc>
        <w:tc>
          <w:tcPr>
            <w:tcW w:w="0" w:type="dxa"/>
            <w:vAlign w:val="bottom"/>
          </w:tcPr>
          <w:p>
            <w:pPr>
              <w:spacing w:after="0"/>
              <w:rPr>
                <w:sz w:val="1"/>
                <w:szCs w:val="1"/>
                <w:color w:val="auto"/>
              </w:rPr>
            </w:pPr>
          </w:p>
        </w:tc>
      </w:tr>
      <w:tr>
        <w:trPr>
          <w:trHeight w:val="213"/>
        </w:trPr>
        <w:tc>
          <w:tcPr>
            <w:tcW w:w="5520" w:type="dxa"/>
            <w:vAlign w:val="bottom"/>
            <w:gridSpan w:val="2"/>
          </w:tcPr>
          <w:p>
            <w:pPr>
              <w:spacing w:after="0"/>
              <w:rPr>
                <w:sz w:val="20"/>
                <w:szCs w:val="20"/>
                <w:color w:val="auto"/>
              </w:rPr>
            </w:pPr>
            <w:r>
              <w:rPr>
                <w:rFonts w:ascii="Arial" w:cs="Arial" w:eastAsia="Arial" w:hAnsi="Arial"/>
                <w:sz w:val="17"/>
                <w:szCs w:val="17"/>
                <w:b w:val="1"/>
                <w:bCs w:val="1"/>
                <w:color w:val="auto"/>
              </w:rPr>
              <w:t>At December 31, 2017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(36,723)</w:t>
            </w:r>
          </w:p>
        </w:tc>
        <w:tc>
          <w:tcPr>
            <w:tcW w:w="4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(10,726)</w:t>
            </w:r>
          </w:p>
        </w:tc>
        <w:tc>
          <w:tcPr>
            <w:tcW w:w="4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(32,928)</w:t>
            </w:r>
          </w:p>
        </w:tc>
        <w:tc>
          <w:tcPr>
            <w:tcW w:w="4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4"/>
              </w:rPr>
              <w:t>(80,377)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book value</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At January 1, 2017</w:t>
            </w:r>
          </w:p>
        </w:tc>
        <w:tc>
          <w:tcPr>
            <w:tcW w:w="840" w:type="dxa"/>
            <w:vAlign w:val="bottom"/>
          </w:tcPr>
          <w:p>
            <w:pPr>
              <w:jc w:val="right"/>
              <w:spacing w:after="0"/>
              <w:rPr>
                <w:sz w:val="20"/>
                <w:szCs w:val="20"/>
                <w:color w:val="auto"/>
              </w:rPr>
            </w:pPr>
            <w:r>
              <w:rPr>
                <w:rFonts w:ascii="Arial" w:cs="Arial" w:eastAsia="Arial" w:hAnsi="Arial"/>
                <w:sz w:val="17"/>
                <w:szCs w:val="17"/>
                <w:color w:val="auto"/>
              </w:rPr>
              <w:t>134,320</w:t>
            </w:r>
          </w:p>
        </w:tc>
        <w:tc>
          <w:tcPr>
            <w:tcW w:w="4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14,684</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24,865</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173,869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118,771</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b w:val="1"/>
                <w:bCs w:val="1"/>
                <w:color w:val="auto"/>
              </w:rPr>
              <w:t>19,405</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rPr>
              <w:t>15,185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7"/>
              </w:rPr>
              <w:t>153,361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Leasehold</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Office</w:t>
            </w: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IT</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improvements</w:t>
            </w: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equipment</w:t>
            </w: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equipment</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rPr>
              <w:t>(in £)</w:t>
            </w:r>
          </w:p>
        </w:tc>
        <w:tc>
          <w:tcPr>
            <w:tcW w:w="6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 or valuation</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At January 1, 2018</w:t>
            </w: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155,494</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30,131</w:t>
            </w:r>
          </w:p>
        </w:tc>
        <w:tc>
          <w:tcPr>
            <w:tcW w:w="640" w:type="dxa"/>
            <w:vAlign w:val="bottom"/>
          </w:tcPr>
          <w:p>
            <w:pPr>
              <w:jc w:val="right"/>
              <w:spacing w:after="0"/>
              <w:rPr>
                <w:sz w:val="20"/>
                <w:szCs w:val="20"/>
                <w:color w:val="auto"/>
              </w:rPr>
            </w:pPr>
            <w:r>
              <w:rPr>
                <w:rFonts w:ascii="Arial" w:cs="Arial" w:eastAsia="Arial" w:hAnsi="Arial"/>
                <w:sz w:val="17"/>
                <w:szCs w:val="17"/>
                <w:color w:val="auto"/>
              </w:rPr>
              <w:t>48,113</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233,738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9,119</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1,270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25,147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Disposals</w:t>
            </w: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(2,167)</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(2,167)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164,613</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b w:val="1"/>
                <w:bCs w:val="1"/>
                <w:color w:val="auto"/>
              </w:rPr>
              <w:t>31,401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rPr>
              <w:t>71,093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7"/>
              </w:rPr>
              <w:t>267,107</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Depreciation and impairment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2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January 1, 2018</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(36,723)</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(10,726)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(32,928)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(80,377)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Disposals</w:t>
            </w:r>
          </w:p>
        </w:tc>
        <w:tc>
          <w:tcPr>
            <w:tcW w:w="12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1,685</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1,685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Depreciation for the year</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(15,909)</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(6,238)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(17,334)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(39,481)</w:t>
            </w:r>
          </w:p>
        </w:tc>
        <w:tc>
          <w:tcPr>
            <w:tcW w:w="0" w:type="dxa"/>
            <w:vAlign w:val="bottom"/>
          </w:tcPr>
          <w:p>
            <w:pPr>
              <w:spacing w:after="0"/>
              <w:rPr>
                <w:sz w:val="1"/>
                <w:szCs w:val="1"/>
                <w:color w:val="auto"/>
              </w:rPr>
            </w:pPr>
          </w:p>
        </w:tc>
      </w:tr>
      <w:tr>
        <w:trPr>
          <w:trHeight w:val="213"/>
        </w:trPr>
        <w:tc>
          <w:tcPr>
            <w:tcW w:w="5520" w:type="dxa"/>
            <w:vAlign w:val="bottom"/>
            <w:gridSpan w:val="2"/>
          </w:tcPr>
          <w:p>
            <w:pPr>
              <w:spacing w:after="0"/>
              <w:rPr>
                <w:sz w:val="20"/>
                <w:szCs w:val="20"/>
                <w:color w:val="auto"/>
              </w:rPr>
            </w:pPr>
            <w:r>
              <w:rPr>
                <w:rFonts w:ascii="Arial" w:cs="Arial" w:eastAsia="Arial" w:hAnsi="Arial"/>
                <w:sz w:val="17"/>
                <w:szCs w:val="17"/>
                <w:b w:val="1"/>
                <w:bCs w:val="1"/>
                <w:color w:val="auto"/>
              </w:rPr>
              <w:t>At December 31, 2018</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52,632</w:t>
            </w:r>
          </w:p>
        </w:tc>
        <w:tc>
          <w:tcPr>
            <w:tcW w:w="4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16,964</w:t>
            </w:r>
          </w:p>
        </w:tc>
        <w:tc>
          <w:tcPr>
            <w:tcW w:w="4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48,577</w:t>
            </w:r>
          </w:p>
        </w:tc>
        <w:tc>
          <w:tcPr>
            <w:tcW w:w="4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118,173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book value</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7"/>
                <w:szCs w:val="17"/>
                <w:color w:val="auto"/>
              </w:rPr>
              <w:t>At January 1, 2018</w:t>
            </w:r>
          </w:p>
        </w:tc>
        <w:tc>
          <w:tcPr>
            <w:tcW w:w="840" w:type="dxa"/>
            <w:vAlign w:val="bottom"/>
          </w:tcPr>
          <w:p>
            <w:pPr>
              <w:jc w:val="right"/>
              <w:spacing w:after="0"/>
              <w:rPr>
                <w:sz w:val="20"/>
                <w:szCs w:val="20"/>
                <w:color w:val="auto"/>
              </w:rPr>
            </w:pPr>
            <w:r>
              <w:rPr>
                <w:rFonts w:ascii="Arial" w:cs="Arial" w:eastAsia="Arial" w:hAnsi="Arial"/>
                <w:sz w:val="17"/>
                <w:szCs w:val="17"/>
                <w:color w:val="auto"/>
              </w:rPr>
              <w:t>118,771</w:t>
            </w:r>
          </w:p>
        </w:tc>
        <w:tc>
          <w:tcPr>
            <w:tcW w:w="4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19,405</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15,185</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153,361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111,981</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b w:val="1"/>
                <w:bCs w:val="1"/>
                <w:color w:val="auto"/>
              </w:rPr>
              <w:t>14,437</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b w:val="1"/>
                <w:bCs w:val="1"/>
                <w:color w:val="auto"/>
              </w:rPr>
              <w:t>22,516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w w:val="97"/>
              </w:rPr>
              <w:t>148,934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60"/>
          </w:cols>
          <w:pgMar w:left="240" w:top="445" w:right="1099" w:bottom="1440" w:gutter="0" w:footer="0" w:header="0"/>
        </w:sectPr>
      </w:pPr>
    </w:p>
    <w:p>
      <w:pPr>
        <w:spacing w:after="0" w:line="10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12.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Cost 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-115570</wp:posOffset>
            </wp:positionV>
            <wp:extent cx="4555490" cy="1314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4"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Additions</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-111760</wp:posOffset>
            </wp:positionV>
            <wp:extent cx="4555490" cy="1314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44"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Amortization and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19050</wp:posOffset>
            </wp:positionV>
            <wp:extent cx="4555490" cy="1314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10"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At January 1, 2016</w:t>
      </w:r>
    </w:p>
    <w:p>
      <w:pPr>
        <w:spacing w:after="0" w:line="1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Impairment (Note 13)</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-111760</wp:posOffset>
            </wp:positionV>
            <wp:extent cx="4555490" cy="1314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44"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Net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19050</wp:posOffset>
            </wp:positionV>
            <wp:extent cx="4555490" cy="1314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10"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At January 1, 2016</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At December 31, 2016</w:t>
      </w:r>
    </w:p>
    <w:p>
      <w:pPr>
        <w:spacing w:after="0" w:line="212" w:lineRule="exact"/>
        <w:rPr>
          <w:sz w:val="20"/>
          <w:szCs w:val="20"/>
          <w:color w:val="auto"/>
        </w:rPr>
      </w:pPr>
    </w:p>
    <w:p>
      <w:pPr>
        <w:jc w:val="right"/>
        <w:ind w:right="184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center"/>
        <w:ind w:right="1340"/>
        <w:spacing w:after="0"/>
        <w:rPr>
          <w:sz w:val="20"/>
          <w:szCs w:val="20"/>
          <w:color w:val="auto"/>
        </w:rPr>
      </w:pPr>
      <w:r>
        <w:rPr>
          <w:rFonts w:ascii="Arial" w:cs="Arial" w:eastAsia="Arial" w:hAnsi="Arial"/>
          <w:sz w:val="14"/>
          <w:szCs w:val="14"/>
          <w:b w:val="1"/>
          <w:bCs w:val="1"/>
          <w:color w:val="auto"/>
        </w:rPr>
        <w:t>Acquired</w:t>
      </w:r>
    </w:p>
    <w:p>
      <w:pPr>
        <w:jc w:val="center"/>
        <w:ind w:right="1340"/>
        <w:spacing w:after="0"/>
        <w:rPr>
          <w:sz w:val="20"/>
          <w:szCs w:val="20"/>
          <w:color w:val="auto"/>
        </w:rPr>
      </w:pPr>
      <w:r>
        <w:rPr>
          <w:rFonts w:ascii="Arial" w:cs="Arial" w:eastAsia="Arial" w:hAnsi="Arial"/>
          <w:sz w:val="12"/>
          <w:szCs w:val="12"/>
          <w:b w:val="1"/>
          <w:bCs w:val="1"/>
          <w:color w:val="auto"/>
        </w:rPr>
        <w:t>Development</w:t>
      </w:r>
    </w:p>
    <w:p>
      <w:pPr>
        <w:jc w:val="center"/>
        <w:ind w:right="1340"/>
        <w:spacing w:after="0" w:line="238" w:lineRule="auto"/>
        <w:rPr>
          <w:sz w:val="20"/>
          <w:szCs w:val="20"/>
          <w:color w:val="auto"/>
        </w:rPr>
      </w:pPr>
      <w:r>
        <w:rPr>
          <w:rFonts w:ascii="Arial" w:cs="Arial" w:eastAsia="Arial" w:hAnsi="Arial"/>
          <w:sz w:val="14"/>
          <w:szCs w:val="14"/>
          <w:b w:val="1"/>
          <w:bCs w:val="1"/>
          <w:color w:val="auto"/>
        </w:rPr>
        <w:t>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wp:posOffset>
            </wp:positionV>
            <wp:extent cx="5264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ind w:left="240"/>
        <w:spacing w:after="0" w:line="224" w:lineRule="auto"/>
        <w:rPr>
          <w:sz w:val="20"/>
          <w:szCs w:val="20"/>
          <w:color w:val="auto"/>
        </w:rPr>
      </w:pPr>
      <w:r>
        <w:rPr>
          <w:rFonts w:ascii="Arial" w:cs="Arial" w:eastAsia="Arial" w:hAnsi="Arial"/>
          <w:sz w:val="14"/>
          <w:szCs w:val="14"/>
          <w:b w:val="1"/>
          <w:bCs w:val="1"/>
          <w:color w:val="auto"/>
        </w:rPr>
        <w:t>(in £)</w:t>
      </w:r>
    </w:p>
    <w:p>
      <w:pPr>
        <w:ind w:left="40"/>
        <w:spacing w:after="0"/>
        <w:rPr>
          <w:sz w:val="20"/>
          <w:szCs w:val="20"/>
          <w:color w:val="auto"/>
        </w:rPr>
      </w:pPr>
      <w:r>
        <w:rPr>
          <w:rFonts w:ascii="Arial" w:cs="Arial" w:eastAsia="Arial" w:hAnsi="Arial"/>
          <w:sz w:val="15"/>
          <w:szCs w:val="15"/>
          <w:color w:val="auto"/>
        </w:rPr>
        <w:t>25,812,941</w:t>
      </w:r>
    </w:p>
    <w:p>
      <w:pPr>
        <w:spacing w:after="0" w:line="3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7620</wp:posOffset>
            </wp:positionV>
            <wp:extent cx="5264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5"/>
          <w:szCs w:val="15"/>
          <w:u w:val="single" w:color="auto"/>
          <w:color w:val="auto"/>
        </w:rPr>
        <w:t>25,812,941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5264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7620</wp:posOffset>
            </wp:positionV>
            <wp:extent cx="5264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wp:posOffset>
            </wp:positionV>
            <wp:extent cx="5264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641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31750</wp:posOffset>
            </wp:positionV>
            <wp:extent cx="5264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5"/>
          <w:szCs w:val="15"/>
          <w:u w:val="single" w:color="auto"/>
          <w:color w:val="auto"/>
        </w:rPr>
        <w:t>25,812,941</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5"/>
          <w:szCs w:val="15"/>
          <w:u w:val="single" w:color="auto"/>
          <w:color w:val="auto"/>
        </w:rPr>
        <w:t>25,812,941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5264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ectPr>
          <w:pgSz w:w="11900" w:h="16838" w:orient="portrait"/>
          <w:cols w:equalWidth="0" w:num="2">
            <w:col w:w="7720" w:space="720"/>
            <w:col w:w="2120"/>
          </w:cols>
          <w:pgMar w:left="240" w:top="445" w:right="1099" w:bottom="1440" w:gutter="0" w:footer="0" w:header="0"/>
          <w:type w:val="continuous"/>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000"/>
          </w:cols>
          <w:pgMar w:left="240" w:top="44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Cost at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-115570</wp:posOffset>
            </wp:positionV>
            <wp:extent cx="4555490" cy="1314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4"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Additions</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-111760</wp:posOffset>
            </wp:positionV>
            <wp:extent cx="4555490" cy="1314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44"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Amortization and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19050</wp:posOffset>
            </wp:positionV>
            <wp:extent cx="4555490" cy="1314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10"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At January 1, 2017</w:t>
      </w:r>
    </w:p>
    <w:p>
      <w:pPr>
        <w:spacing w:after="0" w:line="1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Impairment (Note 13)</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-111760</wp:posOffset>
            </wp:positionV>
            <wp:extent cx="4555490" cy="1314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44"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Net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19050</wp:posOffset>
            </wp:positionV>
            <wp:extent cx="4555490" cy="1314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10"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At January 1, 2017</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At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Cost at January 1, 2018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-100965</wp:posOffset>
            </wp:positionV>
            <wp:extent cx="4555490" cy="1314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Amortization and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7620</wp:posOffset>
            </wp:positionV>
            <wp:extent cx="4555490" cy="1314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7"/>
          <w:szCs w:val="17"/>
          <w:color w:val="auto"/>
        </w:rPr>
        <w:t>At January 1, 2018</w:t>
      </w:r>
    </w:p>
    <w:p>
      <w:pPr>
        <w:spacing w:after="0" w:line="1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Revision to estimated value</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-111760</wp:posOffset>
            </wp:positionV>
            <wp:extent cx="4555490" cy="1314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44"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Net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19050</wp:posOffset>
            </wp:positionV>
            <wp:extent cx="4555490" cy="1314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10"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At January 1, 2018</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At December 31, 2018</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Acquired</w:t>
      </w:r>
    </w:p>
    <w:p>
      <w:pPr>
        <w:jc w:val="center"/>
        <w:ind w:right="1820"/>
        <w:spacing w:after="0"/>
        <w:rPr>
          <w:sz w:val="20"/>
          <w:szCs w:val="20"/>
          <w:color w:val="auto"/>
        </w:rPr>
      </w:pPr>
      <w:r>
        <w:rPr>
          <w:rFonts w:ascii="Arial" w:cs="Arial" w:eastAsia="Arial" w:hAnsi="Arial"/>
          <w:sz w:val="12"/>
          <w:szCs w:val="12"/>
          <w:b w:val="1"/>
          <w:bCs w:val="1"/>
          <w:color w:val="auto"/>
        </w:rPr>
        <w:t>Development</w:t>
      </w:r>
    </w:p>
    <w:p>
      <w:pPr>
        <w:jc w:val="center"/>
        <w:ind w:right="1820"/>
        <w:spacing w:after="0" w:line="238" w:lineRule="auto"/>
        <w:rPr>
          <w:sz w:val="20"/>
          <w:szCs w:val="20"/>
          <w:color w:val="auto"/>
        </w:rPr>
      </w:pPr>
      <w:r>
        <w:rPr>
          <w:rFonts w:ascii="Arial" w:cs="Arial" w:eastAsia="Arial" w:hAnsi="Arial"/>
          <w:sz w:val="14"/>
          <w:szCs w:val="14"/>
          <w:b w:val="1"/>
          <w:bCs w:val="1"/>
          <w:color w:val="auto"/>
        </w:rPr>
        <w:t>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wp:posOffset>
            </wp:positionV>
            <wp:extent cx="5264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ind w:left="220"/>
        <w:spacing w:after="0" w:line="224" w:lineRule="auto"/>
        <w:rPr>
          <w:sz w:val="20"/>
          <w:szCs w:val="20"/>
          <w:color w:val="auto"/>
        </w:rPr>
      </w:pPr>
      <w:r>
        <w:rPr>
          <w:rFonts w:ascii="Arial" w:cs="Arial" w:eastAsia="Arial" w:hAnsi="Arial"/>
          <w:sz w:val="14"/>
          <w:szCs w:val="14"/>
          <w:b w:val="1"/>
          <w:bCs w:val="1"/>
          <w:color w:val="auto"/>
        </w:rPr>
        <w:t>(in £)</w:t>
      </w:r>
    </w:p>
    <w:p>
      <w:pPr>
        <w:jc w:val="right"/>
        <w:ind w:right="1800"/>
        <w:spacing w:after="0"/>
        <w:rPr>
          <w:sz w:val="20"/>
          <w:szCs w:val="20"/>
          <w:color w:val="auto"/>
        </w:rPr>
      </w:pPr>
      <w:r>
        <w:rPr>
          <w:rFonts w:ascii="Arial" w:cs="Arial" w:eastAsia="Arial" w:hAnsi="Arial"/>
          <w:sz w:val="15"/>
          <w:szCs w:val="15"/>
          <w:color w:val="auto"/>
        </w:rPr>
        <w:t>25,812,941</w:t>
      </w:r>
    </w:p>
    <w:p>
      <w:pPr>
        <w:spacing w:after="0" w:line="33"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7,192,288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5264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33,005,229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39370</wp:posOffset>
            </wp:positionV>
            <wp:extent cx="5264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26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p>
    <w:p>
      <w:pPr>
        <w:spacing w:after="0" w:line="2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5264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5264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641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31750</wp:posOffset>
            </wp:positionV>
            <wp:extent cx="5264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25,812,941</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33,005,229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39370</wp:posOffset>
            </wp:positionV>
            <wp:extent cx="5264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250"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Acquired</w:t>
      </w:r>
    </w:p>
    <w:p>
      <w:pPr>
        <w:jc w:val="center"/>
        <w:ind w:right="1820"/>
        <w:spacing w:after="0"/>
        <w:rPr>
          <w:sz w:val="20"/>
          <w:szCs w:val="20"/>
          <w:color w:val="auto"/>
        </w:rPr>
      </w:pPr>
      <w:r>
        <w:rPr>
          <w:rFonts w:ascii="Arial" w:cs="Arial" w:eastAsia="Arial" w:hAnsi="Arial"/>
          <w:sz w:val="12"/>
          <w:szCs w:val="12"/>
          <w:b w:val="1"/>
          <w:bCs w:val="1"/>
          <w:color w:val="auto"/>
        </w:rPr>
        <w:t>Development</w:t>
      </w:r>
    </w:p>
    <w:p>
      <w:pPr>
        <w:jc w:val="center"/>
        <w:ind w:right="1820"/>
        <w:spacing w:after="0" w:line="238" w:lineRule="auto"/>
        <w:rPr>
          <w:sz w:val="20"/>
          <w:szCs w:val="20"/>
          <w:color w:val="auto"/>
        </w:rPr>
      </w:pPr>
      <w:r>
        <w:rPr>
          <w:rFonts w:ascii="Arial" w:cs="Arial" w:eastAsia="Arial" w:hAnsi="Arial"/>
          <w:sz w:val="14"/>
          <w:szCs w:val="14"/>
          <w:b w:val="1"/>
          <w:bCs w:val="1"/>
          <w:color w:val="auto"/>
        </w:rPr>
        <w:t>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wp:posOffset>
            </wp:positionV>
            <wp:extent cx="5264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ind w:left="220"/>
        <w:spacing w:after="0" w:line="224" w:lineRule="auto"/>
        <w:rPr>
          <w:sz w:val="20"/>
          <w:szCs w:val="20"/>
          <w:color w:val="auto"/>
        </w:rPr>
      </w:pPr>
      <w:r>
        <w:rPr>
          <w:rFonts w:ascii="Arial" w:cs="Arial" w:eastAsia="Arial" w:hAnsi="Arial"/>
          <w:sz w:val="14"/>
          <w:szCs w:val="14"/>
          <w:b w:val="1"/>
          <w:bCs w:val="1"/>
          <w:color w:val="auto"/>
        </w:rPr>
        <w:t>(in £)</w:t>
      </w:r>
    </w:p>
    <w:p>
      <w:pPr>
        <w:ind w:left="20"/>
        <w:spacing w:after="0"/>
        <w:rPr>
          <w:sz w:val="20"/>
          <w:szCs w:val="20"/>
          <w:color w:val="auto"/>
        </w:rPr>
      </w:pPr>
      <w:r>
        <w:rPr>
          <w:rFonts w:ascii="Arial" w:cs="Arial" w:eastAsia="Arial" w:hAnsi="Arial"/>
          <w:sz w:val="16"/>
          <w:szCs w:val="16"/>
          <w:color w:val="auto"/>
        </w:rPr>
        <w:t>33,005,229</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p>
    <w:p>
      <w:pPr>
        <w:spacing w:after="0" w:line="24" w:lineRule="exact"/>
        <w:rPr>
          <w:sz w:val="20"/>
          <w:szCs w:val="20"/>
          <w:color w:val="auto"/>
        </w:rPr>
      </w:pPr>
    </w:p>
    <w:p>
      <w:pPr>
        <w:jc w:val="right"/>
        <w:ind w:right="1740"/>
        <w:spacing w:after="0"/>
        <w:rPr>
          <w:sz w:val="20"/>
          <w:szCs w:val="20"/>
          <w:color w:val="auto"/>
        </w:rPr>
      </w:pPr>
      <w:r>
        <w:rPr>
          <w:rFonts w:ascii="Arial" w:cs="Arial" w:eastAsia="Arial" w:hAnsi="Arial"/>
          <w:sz w:val="17"/>
          <w:szCs w:val="17"/>
          <w:color w:val="auto"/>
        </w:rPr>
        <w:t>(373,000)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5264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5" w:lineRule="exact"/>
        <w:rPr>
          <w:sz w:val="20"/>
          <w:szCs w:val="20"/>
          <w:color w:val="auto"/>
        </w:rPr>
      </w:pPr>
    </w:p>
    <w:p>
      <w:pPr>
        <w:jc w:val="right"/>
        <w:ind w:right="1740"/>
        <w:spacing w:after="0"/>
        <w:rPr>
          <w:sz w:val="20"/>
          <w:szCs w:val="20"/>
          <w:color w:val="auto"/>
        </w:rPr>
      </w:pPr>
      <w:r>
        <w:rPr>
          <w:rFonts w:ascii="Arial" w:cs="Arial" w:eastAsia="Arial" w:hAnsi="Arial"/>
          <w:sz w:val="17"/>
          <w:szCs w:val="17"/>
          <w:color w:val="auto"/>
        </w:rPr>
        <w:t>(373,000)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15240</wp:posOffset>
            </wp:positionV>
            <wp:extent cx="5264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641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31750</wp:posOffset>
            </wp:positionV>
            <wp:extent cx="5264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33,005,229</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32,632,229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39370</wp:posOffset>
            </wp:positionV>
            <wp:extent cx="5264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7680" w:space="720"/>
            <w:col w:w="2600"/>
          </w:cols>
          <w:pgMar w:left="240" w:top="445" w:right="659" w:bottom="1440" w:gutter="0" w:footer="0" w:header="0"/>
          <w:type w:val="continuous"/>
        </w:sectPr>
      </w:pPr>
    </w:p>
    <w:p>
      <w:pPr>
        <w:spacing w:after="0" w:line="77" w:lineRule="exact"/>
        <w:rPr>
          <w:sz w:val="20"/>
          <w:szCs w:val="20"/>
          <w:color w:val="auto"/>
        </w:rPr>
      </w:pPr>
    </w:p>
    <w:p>
      <w:pPr>
        <w:ind w:left="440" w:right="120" w:firstLine="423"/>
        <w:spacing w:after="0" w:line="284" w:lineRule="auto"/>
        <w:rPr>
          <w:sz w:val="20"/>
          <w:szCs w:val="20"/>
          <w:color w:val="auto"/>
        </w:rPr>
      </w:pPr>
      <w:r>
        <w:rPr>
          <w:rFonts w:ascii="Arial" w:cs="Arial" w:eastAsia="Arial" w:hAnsi="Arial"/>
          <w:sz w:val="17"/>
          <w:szCs w:val="17"/>
          <w:color w:val="auto"/>
        </w:rPr>
        <w:t>The Group’s strategy is to acquire clinical-stage development programs for the treatment of non-rare and rare diseases from large pharmaceutical companies.</w:t>
      </w:r>
    </w:p>
    <w:p>
      <w:pPr>
        <w:spacing w:after="0" w:line="159" w:lineRule="exact"/>
        <w:rPr>
          <w:sz w:val="20"/>
          <w:szCs w:val="20"/>
          <w:color w:val="auto"/>
        </w:rPr>
      </w:pPr>
    </w:p>
    <w:p>
      <w:pPr>
        <w:ind w:left="440" w:right="180" w:firstLine="423"/>
        <w:spacing w:after="0" w:line="354" w:lineRule="auto"/>
        <w:rPr>
          <w:sz w:val="20"/>
          <w:szCs w:val="20"/>
          <w:color w:val="auto"/>
        </w:rPr>
      </w:pPr>
      <w:r>
        <w:rPr>
          <w:rFonts w:ascii="Arial" w:cs="Arial" w:eastAsia="Arial" w:hAnsi="Arial"/>
          <w:sz w:val="15"/>
          <w:szCs w:val="15"/>
          <w:color w:val="auto"/>
        </w:rPr>
        <w:t>On October 28, 2017, the Group acquired the exclusive license for MPH-966 and included the option to acquire certain assets from AstraZeneca AB (“AstraZeneca”). MPH-966 is being developed for the treatment of severe alpha-1 antitrypsin deficiency, at a cost of £7,192,288 as follows:</w:t>
      </w:r>
    </w:p>
    <w:p>
      <w:pPr>
        <w:spacing w:after="0" w:line="129"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6180" w:type="dxa"/>
            <w:vAlign w:val="bottom"/>
          </w:tcPr>
          <w:p>
            <w:pPr>
              <w:spacing w:after="0"/>
              <w:rPr>
                <w:sz w:val="14"/>
                <w:szCs w:val="14"/>
                <w:color w:val="auto"/>
              </w:rPr>
            </w:pPr>
          </w:p>
        </w:tc>
        <w:tc>
          <w:tcPr>
            <w:tcW w:w="1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r>
      <w:tr>
        <w:trPr>
          <w:trHeight w:val="135"/>
        </w:trPr>
        <w:tc>
          <w:tcPr>
            <w:tcW w:w="61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160"/>
              <w:spacing w:after="0" w:line="13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r>
      <w:tr>
        <w:trPr>
          <w:trHeight w:val="135"/>
        </w:trPr>
        <w:tc>
          <w:tcPr>
            <w:tcW w:w="6180" w:type="dxa"/>
            <w:vAlign w:val="bottom"/>
          </w:tcPr>
          <w:p>
            <w:pPr>
              <w:spacing w:after="0"/>
              <w:rPr>
                <w:sz w:val="11"/>
                <w:szCs w:val="11"/>
                <w:color w:val="auto"/>
              </w:rPr>
            </w:pPr>
          </w:p>
        </w:tc>
        <w:tc>
          <w:tcPr>
            <w:tcW w:w="1080" w:type="dxa"/>
            <w:vAlign w:val="bottom"/>
            <w:gridSpan w:val="3"/>
          </w:tcPr>
          <w:p>
            <w:pPr>
              <w:jc w:val="center"/>
              <w:ind w:left="640"/>
              <w:spacing w:after="0" w:line="135" w:lineRule="exact"/>
              <w:rPr>
                <w:sz w:val="20"/>
                <w:szCs w:val="20"/>
                <w:color w:val="auto"/>
              </w:rPr>
            </w:pPr>
            <w:r>
              <w:rPr>
                <w:rFonts w:ascii="Arial" w:cs="Arial" w:eastAsia="Arial" w:hAnsi="Arial"/>
                <w:sz w:val="14"/>
                <w:szCs w:val="14"/>
                <w:b w:val="1"/>
                <w:bCs w:val="1"/>
                <w:color w:val="auto"/>
                <w:w w:val="95"/>
              </w:rPr>
              <w:t>(in £)</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Cash payment in October 2017</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2,280,000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2,280,000</w:t>
            </w:r>
          </w:p>
        </w:tc>
      </w:tr>
      <w:tr>
        <w:trPr>
          <w:trHeight w:val="207"/>
        </w:trPr>
        <w:tc>
          <w:tcPr>
            <w:tcW w:w="6180" w:type="dxa"/>
            <w:vAlign w:val="bottom"/>
          </w:tcPr>
          <w:p>
            <w:pPr>
              <w:spacing w:after="0"/>
              <w:rPr>
                <w:sz w:val="20"/>
                <w:szCs w:val="20"/>
                <w:color w:val="auto"/>
              </w:rPr>
            </w:pPr>
            <w:r>
              <w:rPr>
                <w:rFonts w:ascii="Arial" w:cs="Arial" w:eastAsia="Arial" w:hAnsi="Arial"/>
                <w:sz w:val="17"/>
                <w:szCs w:val="17"/>
                <w:color w:val="auto"/>
              </w:rPr>
              <w:t>Equity issued (see Note 17)</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1,520,000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1,520,000</w:t>
            </w:r>
          </w:p>
        </w:tc>
      </w:t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Deferred equity consideration (see Note 25)</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1,331,288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1,331,288</w:t>
            </w:r>
          </w:p>
        </w:tc>
      </w:tr>
      <w:tr>
        <w:trPr>
          <w:trHeight w:val="213"/>
        </w:trPr>
        <w:tc>
          <w:tcPr>
            <w:tcW w:w="6180" w:type="dxa"/>
            <w:vAlign w:val="bottom"/>
          </w:tcPr>
          <w:p>
            <w:pPr>
              <w:spacing w:after="0"/>
              <w:rPr>
                <w:sz w:val="20"/>
                <w:szCs w:val="20"/>
                <w:color w:val="auto"/>
              </w:rPr>
            </w:pPr>
            <w:r>
              <w:rPr>
                <w:rFonts w:ascii="Arial" w:cs="Arial" w:eastAsia="Arial" w:hAnsi="Arial"/>
                <w:sz w:val="17"/>
                <w:szCs w:val="17"/>
                <w:color w:val="auto"/>
              </w:rPr>
              <w:t>Provision for deferred cash consideration (see Note 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2,061,000</w:t>
            </w: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1,688,000</w:t>
            </w:r>
          </w:p>
        </w:tc>
        <w:tc>
          <w:tcPr>
            <w:tcW w:w="40" w:type="dxa"/>
            <w:vAlign w:val="bottom"/>
          </w:tcPr>
          <w:p>
            <w:pPr>
              <w:spacing w:after="0"/>
              <w:rPr>
                <w:sz w:val="18"/>
                <w:szCs w:val="18"/>
                <w:color w:val="auto"/>
              </w:rPr>
            </w:pPr>
          </w:p>
        </w:tc>
      </w:tr>
      <w:tr>
        <w:trPr>
          <w:trHeight w:val="207"/>
        </w:trPr>
        <w:tc>
          <w:tcPr>
            <w:tcW w:w="6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7,192,288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6,819,288</w:t>
            </w:r>
          </w:p>
        </w:tc>
      </w:tr>
      <w:tr>
        <w:trPr>
          <w:trHeight w:val="20"/>
        </w:trPr>
        <w:tc>
          <w:tcPr>
            <w:tcW w:w="6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The present value of the provision for deferred cash consideration was reviewed at December 31, 2018 (see Note 19). The decrease in present value due to changes in timelines and probability of contractual milestones being achieved was £373,000 and is recognized in the intangible asset in line with our accounting policies.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13. Impairment testing of acquired development programs not yet available for use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Acquired development programs not yet available for use are assessed annually for impairment.</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carrying amount of acquired development programs is as follows: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3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88"/>
              </w:rPr>
              <w:t>As at December 31, 2017</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36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(in £)</w:t>
            </w: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36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BPS-804</w:t>
            </w:r>
          </w:p>
        </w:tc>
        <w:tc>
          <w:tcPr>
            <w:tcW w:w="9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MPH-966</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BGS-649</w:t>
            </w:r>
          </w:p>
        </w:tc>
        <w:tc>
          <w:tcPr>
            <w:tcW w:w="98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BCT-197</w:t>
            </w:r>
          </w:p>
        </w:tc>
        <w:tc>
          <w:tcPr>
            <w:tcW w:w="820" w:type="dxa"/>
            <w:vAlign w:val="bottom"/>
          </w:tcPr>
          <w:p>
            <w:pPr>
              <w:ind w:left="260"/>
              <w:spacing w:after="0" w:line="13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r>
      <w:tr>
        <w:trPr>
          <w:trHeight w:val="135"/>
        </w:trPr>
        <w:tc>
          <w:tcPr>
            <w:tcW w:w="36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40" w:type="dxa"/>
            <w:vAlign w:val="bottom"/>
            <w:tcBorders>
              <w:top w:val="single" w:sz="8" w:color="auto"/>
            </w:tcBorders>
          </w:tcPr>
          <w:p>
            <w:pPr>
              <w:ind w:left="60"/>
              <w:spacing w:after="0" w:line="135" w:lineRule="exact"/>
              <w:rPr>
                <w:sz w:val="20"/>
                <w:szCs w:val="20"/>
                <w:color w:val="auto"/>
              </w:rPr>
            </w:pPr>
            <w:r>
              <w:rPr>
                <w:rFonts w:ascii="Arial" w:cs="Arial" w:eastAsia="Arial" w:hAnsi="Arial"/>
                <w:sz w:val="14"/>
                <w:szCs w:val="14"/>
                <w:color w:val="auto"/>
                <w:w w:val="92"/>
              </w:rPr>
              <w:t>(setrusumab)</w:t>
            </w:r>
          </w:p>
        </w:tc>
        <w:tc>
          <w:tcPr>
            <w:tcW w:w="160" w:type="dxa"/>
            <w:vAlign w:val="bottom"/>
          </w:tcPr>
          <w:p>
            <w:pPr>
              <w:spacing w:after="0"/>
              <w:rPr>
                <w:sz w:val="11"/>
                <w:szCs w:val="11"/>
                <w:color w:val="auto"/>
              </w:rPr>
            </w:pPr>
          </w:p>
        </w:tc>
        <w:tc>
          <w:tcPr>
            <w:tcW w:w="740" w:type="dxa"/>
            <w:vAlign w:val="bottom"/>
            <w:tcBorders>
              <w:top w:val="single" w:sz="8" w:color="auto"/>
            </w:tcBorders>
          </w:tcPr>
          <w:p>
            <w:pPr>
              <w:ind w:left="60"/>
              <w:spacing w:after="0" w:line="135" w:lineRule="exact"/>
              <w:rPr>
                <w:sz w:val="20"/>
                <w:szCs w:val="20"/>
                <w:color w:val="auto"/>
              </w:rPr>
            </w:pPr>
            <w:r>
              <w:rPr>
                <w:rFonts w:ascii="Arial" w:cs="Arial" w:eastAsia="Arial" w:hAnsi="Arial"/>
                <w:sz w:val="14"/>
                <w:szCs w:val="14"/>
                <w:color w:val="auto"/>
                <w:w w:val="96"/>
              </w:rPr>
              <w:t>(alvelestat)</w:t>
            </w:r>
          </w:p>
        </w:tc>
        <w:tc>
          <w:tcPr>
            <w:tcW w:w="160" w:type="dxa"/>
            <w:vAlign w:val="bottom"/>
          </w:tcPr>
          <w:p>
            <w:pPr>
              <w:spacing w:after="0"/>
              <w:rPr>
                <w:sz w:val="11"/>
                <w:szCs w:val="11"/>
                <w:color w:val="auto"/>
              </w:rPr>
            </w:pPr>
          </w:p>
        </w:tc>
        <w:tc>
          <w:tcPr>
            <w:tcW w:w="7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(leflutrozole)</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w w:val="89"/>
              </w:rPr>
              <w:t>(acumapimod)</w:t>
            </w: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07"/>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Acquired development programs</w:t>
            </w:r>
          </w:p>
        </w:tc>
        <w:tc>
          <w:tcPr>
            <w:tcW w:w="3220" w:type="dxa"/>
            <w:vAlign w:val="bottom"/>
            <w:gridSpan w:val="3"/>
            <w:shd w:val="clear" w:color="auto" w:fill="CCEEFF"/>
          </w:tcPr>
          <w:p>
            <w:pPr>
              <w:ind w:left="2280"/>
              <w:spacing w:after="0"/>
              <w:rPr>
                <w:sz w:val="20"/>
                <w:szCs w:val="20"/>
                <w:color w:val="auto"/>
              </w:rPr>
            </w:pPr>
            <w:r>
              <w:rPr>
                <w:rFonts w:ascii="Arial" w:cs="Arial" w:eastAsia="Arial" w:hAnsi="Arial"/>
                <w:sz w:val="17"/>
                <w:szCs w:val="17"/>
                <w:color w:val="auto"/>
              </w:rPr>
              <w:t>11,615,824</w:t>
            </w: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7,192,288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9,886,356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4,310,761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33,005,229</w:t>
            </w:r>
          </w:p>
        </w:tc>
      </w:tr>
      <w:tr>
        <w:trPr>
          <w:trHeight w:val="259"/>
        </w:trPr>
        <w:tc>
          <w:tcPr>
            <w:tcW w:w="36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88"/>
              </w:rPr>
              <w:t>As at December 31, 2018</w:t>
            </w:r>
          </w:p>
        </w:tc>
        <w:tc>
          <w:tcPr>
            <w:tcW w:w="8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135"/>
        </w:trPr>
        <w:tc>
          <w:tcPr>
            <w:tcW w:w="36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(in £)</w:t>
            </w: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36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BPS-804</w:t>
            </w:r>
          </w:p>
        </w:tc>
        <w:tc>
          <w:tcPr>
            <w:tcW w:w="9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MPH-966</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BGS-649</w:t>
            </w:r>
          </w:p>
        </w:tc>
        <w:tc>
          <w:tcPr>
            <w:tcW w:w="98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BCT-197</w:t>
            </w:r>
          </w:p>
        </w:tc>
        <w:tc>
          <w:tcPr>
            <w:tcW w:w="820" w:type="dxa"/>
            <w:vAlign w:val="bottom"/>
          </w:tcPr>
          <w:p>
            <w:pPr>
              <w:ind w:left="260"/>
              <w:spacing w:after="0" w:line="13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r>
      <w:tr>
        <w:trPr>
          <w:trHeight w:val="135"/>
        </w:trPr>
        <w:tc>
          <w:tcPr>
            <w:tcW w:w="36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40" w:type="dxa"/>
            <w:vAlign w:val="bottom"/>
            <w:tcBorders>
              <w:top w:val="single" w:sz="8" w:color="auto"/>
            </w:tcBorders>
          </w:tcPr>
          <w:p>
            <w:pPr>
              <w:ind w:left="60"/>
              <w:spacing w:after="0" w:line="135" w:lineRule="exact"/>
              <w:rPr>
                <w:sz w:val="20"/>
                <w:szCs w:val="20"/>
                <w:color w:val="auto"/>
              </w:rPr>
            </w:pPr>
            <w:r>
              <w:rPr>
                <w:rFonts w:ascii="Arial" w:cs="Arial" w:eastAsia="Arial" w:hAnsi="Arial"/>
                <w:sz w:val="14"/>
                <w:szCs w:val="14"/>
                <w:color w:val="auto"/>
                <w:w w:val="92"/>
              </w:rPr>
              <w:t>(setrusumab)</w:t>
            </w:r>
          </w:p>
        </w:tc>
        <w:tc>
          <w:tcPr>
            <w:tcW w:w="160" w:type="dxa"/>
            <w:vAlign w:val="bottom"/>
          </w:tcPr>
          <w:p>
            <w:pPr>
              <w:spacing w:after="0"/>
              <w:rPr>
                <w:sz w:val="11"/>
                <w:szCs w:val="11"/>
                <w:color w:val="auto"/>
              </w:rPr>
            </w:pPr>
          </w:p>
        </w:tc>
        <w:tc>
          <w:tcPr>
            <w:tcW w:w="740" w:type="dxa"/>
            <w:vAlign w:val="bottom"/>
            <w:tcBorders>
              <w:top w:val="single" w:sz="8" w:color="auto"/>
            </w:tcBorders>
          </w:tcPr>
          <w:p>
            <w:pPr>
              <w:ind w:left="60"/>
              <w:spacing w:after="0" w:line="135" w:lineRule="exact"/>
              <w:rPr>
                <w:sz w:val="20"/>
                <w:szCs w:val="20"/>
                <w:color w:val="auto"/>
              </w:rPr>
            </w:pPr>
            <w:r>
              <w:rPr>
                <w:rFonts w:ascii="Arial" w:cs="Arial" w:eastAsia="Arial" w:hAnsi="Arial"/>
                <w:sz w:val="14"/>
                <w:szCs w:val="14"/>
                <w:color w:val="auto"/>
                <w:w w:val="96"/>
              </w:rPr>
              <w:t>(alvelestat)</w:t>
            </w:r>
          </w:p>
        </w:tc>
        <w:tc>
          <w:tcPr>
            <w:tcW w:w="160" w:type="dxa"/>
            <w:vAlign w:val="bottom"/>
          </w:tcPr>
          <w:p>
            <w:pPr>
              <w:spacing w:after="0"/>
              <w:rPr>
                <w:sz w:val="11"/>
                <w:szCs w:val="11"/>
                <w:color w:val="auto"/>
              </w:rPr>
            </w:pPr>
          </w:p>
        </w:tc>
        <w:tc>
          <w:tcPr>
            <w:tcW w:w="7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(leflutrozole)</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w w:val="89"/>
              </w:rPr>
              <w:t>(acumapimod)</w:t>
            </w: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07"/>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Acquired development programs</w:t>
            </w:r>
          </w:p>
        </w:tc>
        <w:tc>
          <w:tcPr>
            <w:tcW w:w="3220" w:type="dxa"/>
            <w:vAlign w:val="bottom"/>
            <w:gridSpan w:val="3"/>
            <w:shd w:val="clear" w:color="auto" w:fill="CCEEFF"/>
          </w:tcPr>
          <w:p>
            <w:pPr>
              <w:ind w:left="2280"/>
              <w:spacing w:after="0"/>
              <w:rPr>
                <w:sz w:val="20"/>
                <w:szCs w:val="20"/>
                <w:color w:val="auto"/>
              </w:rPr>
            </w:pPr>
            <w:r>
              <w:rPr>
                <w:rFonts w:ascii="Arial" w:cs="Arial" w:eastAsia="Arial" w:hAnsi="Arial"/>
                <w:sz w:val="17"/>
                <w:szCs w:val="17"/>
                <w:color w:val="auto"/>
              </w:rPr>
              <w:t>11,615,824</w:t>
            </w: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6,819,288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9,886,356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4,310,761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3"/>
              </w:rPr>
              <w:t>32,632,229</w:t>
            </w:r>
          </w:p>
        </w:tc>
      </w:tr>
      <w:tr>
        <w:trPr>
          <w:trHeight w:val="350"/>
        </w:trPr>
        <w:tc>
          <w:tcPr>
            <w:tcW w:w="3680" w:type="dxa"/>
            <w:vAlign w:val="bottom"/>
          </w:tcPr>
          <w:p>
            <w:pPr>
              <w:spacing w:after="0"/>
              <w:rPr>
                <w:sz w:val="24"/>
                <w:szCs w:val="24"/>
                <w:color w:val="auto"/>
              </w:rPr>
            </w:pPr>
          </w:p>
        </w:tc>
        <w:tc>
          <w:tcPr>
            <w:tcW w:w="3220" w:type="dxa"/>
            <w:vAlign w:val="bottom"/>
            <w:gridSpan w:val="3"/>
          </w:tcPr>
          <w:p>
            <w:pPr>
              <w:ind w:left="1440"/>
              <w:spacing w:after="0"/>
              <w:rPr>
                <w:sz w:val="20"/>
                <w:szCs w:val="20"/>
                <w:color w:val="auto"/>
              </w:rPr>
            </w:pPr>
            <w:r>
              <w:rPr>
                <w:rFonts w:ascii="Arial" w:cs="Arial" w:eastAsia="Arial" w:hAnsi="Arial"/>
                <w:sz w:val="17"/>
                <w:szCs w:val="17"/>
                <w:color w:val="auto"/>
              </w:rPr>
              <w:t>F-20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240" w:top="445" w:right="659" w:bottom="1440" w:gutter="0" w:footer="0" w:header="0"/>
          <w:type w:val="continuous"/>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The Group considers the future development costs, the probability of successfully progressing each program to product approval and the likely commercial returns after product approval, among other factors, when reviewing for indicators of impairment. The results of this testing did not indicate any impairment of the acquired products’ rights in the year to December 31, 2018. The directors believe that the likelihood of a materially different outcome using different assumptions is remote.</w:t>
      </w:r>
    </w:p>
    <w:p>
      <w:pPr>
        <w:spacing w:after="0" w:line="176" w:lineRule="exact"/>
        <w:rPr>
          <w:sz w:val="20"/>
          <w:szCs w:val="20"/>
          <w:color w:val="auto"/>
        </w:rPr>
      </w:pPr>
    </w:p>
    <w:p>
      <w:pPr>
        <w:ind w:left="440" w:right="20" w:firstLine="423"/>
        <w:spacing w:after="0" w:line="260" w:lineRule="auto"/>
        <w:rPr>
          <w:sz w:val="20"/>
          <w:szCs w:val="20"/>
          <w:color w:val="auto"/>
        </w:rPr>
      </w:pPr>
      <w:r>
        <w:rPr>
          <w:rFonts w:ascii="Arial" w:cs="Arial" w:eastAsia="Arial" w:hAnsi="Arial"/>
          <w:sz w:val="17"/>
          <w:szCs w:val="17"/>
          <w:color w:val="auto"/>
        </w:rPr>
        <w:t>The acquired development programs are assets which are not used in launched products. These assets have not yet begun to be amortized but have been tested for impairment by assessing their value in use. Value in use calculations for each program are utilized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Group receives signature fees, milestone receipts and royalties on sales; therefore, the Group does not incur any costs of commercialization after out-licensing.</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Key assumptions for the value in use calculations are described as follows:</w:t>
      </w:r>
    </w:p>
    <w:p>
      <w:pPr>
        <w:spacing w:after="0" w:line="128" w:lineRule="exact"/>
        <w:rPr>
          <w:sz w:val="20"/>
          <w:szCs w:val="20"/>
          <w:color w:val="auto"/>
        </w:rPr>
      </w:pPr>
    </w:p>
    <w:p>
      <w:pPr>
        <w:ind w:left="1260" w:hanging="415"/>
        <w:spacing w:after="0" w:line="269" w:lineRule="auto"/>
        <w:tabs>
          <w:tab w:leader="none" w:pos="12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development costs to obtain regulatory approval – costs are estimated net of any contributions expected from collaborative arrangements with future partners. The directors have developed cost estimates based on their previous experience and in conjunction with the expertise of their clinical development partners;</w:t>
      </w:r>
    </w:p>
    <w:p>
      <w:pPr>
        <w:spacing w:after="0" w:line="80" w:lineRule="exact"/>
        <w:rPr>
          <w:rFonts w:ascii="Arial" w:cs="Arial" w:eastAsia="Arial" w:hAnsi="Arial"/>
          <w:sz w:val="17"/>
          <w:szCs w:val="17"/>
          <w:color w:val="auto"/>
        </w:rPr>
      </w:pPr>
    </w:p>
    <w:p>
      <w:pPr>
        <w:ind w:left="1260" w:right="100" w:hanging="415"/>
        <w:spacing w:after="0" w:line="354" w:lineRule="auto"/>
        <w:tabs>
          <w:tab w:leader="none" w:pos="12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launch dates of products – these reflect management’s expected date of launch for products based on the timeline of development programs required to obtain regulatory approval. The assumptions are based on the directors’ and clinical development partners’ prior experience;</w:t>
      </w:r>
    </w:p>
    <w:p>
      <w:pPr>
        <w:spacing w:after="0" w:line="22" w:lineRule="exact"/>
        <w:rPr>
          <w:rFonts w:ascii="Arial" w:cs="Arial" w:eastAsia="Arial" w:hAnsi="Arial"/>
          <w:sz w:val="15"/>
          <w:szCs w:val="15"/>
          <w:color w:val="auto"/>
        </w:rPr>
      </w:pPr>
    </w:p>
    <w:p>
      <w:pPr>
        <w:ind w:left="1260" w:right="280" w:hanging="415"/>
        <w:spacing w:after="0" w:line="284" w:lineRule="auto"/>
        <w:tabs>
          <w:tab w:leader="none" w:pos="12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probability of successful development – management estimates probabilities of success for each phase of development based on industry averages and knowledge of specific programs;</w:t>
      </w:r>
    </w:p>
    <w:p>
      <w:pPr>
        <w:spacing w:after="0" w:line="68" w:lineRule="exact"/>
        <w:rPr>
          <w:rFonts w:ascii="Arial" w:cs="Arial" w:eastAsia="Arial" w:hAnsi="Arial"/>
          <w:sz w:val="17"/>
          <w:szCs w:val="17"/>
          <w:color w:val="auto"/>
        </w:rPr>
      </w:pPr>
    </w:p>
    <w:p>
      <w:pPr>
        <w:ind w:left="1260" w:right="340" w:hanging="415"/>
        <w:spacing w:after="0" w:line="354" w:lineRule="auto"/>
        <w:tabs>
          <w:tab w:leader="none" w:pos="12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out-licensing signature fees, milestones and royalty rates on sales – management estimates these amounts based on prior experience and access to values from similar transactions in the industry, which are collated and accessible from specialist third-party sources;</w:t>
      </w:r>
    </w:p>
    <w:p>
      <w:pPr>
        <w:spacing w:after="0" w:line="22" w:lineRule="exact"/>
        <w:rPr>
          <w:rFonts w:ascii="Arial" w:cs="Arial" w:eastAsia="Arial" w:hAnsi="Arial"/>
          <w:sz w:val="15"/>
          <w:szCs w:val="15"/>
          <w:color w:val="auto"/>
        </w:rPr>
      </w:pPr>
    </w:p>
    <w:p>
      <w:pPr>
        <w:ind w:left="1260" w:right="160" w:hanging="415"/>
        <w:spacing w:after="0" w:line="284" w:lineRule="auto"/>
        <w:tabs>
          <w:tab w:leader="none" w:pos="12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sales projections – these are based on management’s internal projections using external market data and market research commissioned by the Company;</w:t>
      </w:r>
    </w:p>
    <w:p>
      <w:pPr>
        <w:spacing w:after="0" w:line="68" w:lineRule="exact"/>
        <w:rPr>
          <w:rFonts w:ascii="Arial" w:cs="Arial" w:eastAsia="Arial" w:hAnsi="Arial"/>
          <w:sz w:val="17"/>
          <w:szCs w:val="17"/>
          <w:color w:val="auto"/>
        </w:rPr>
      </w:pPr>
    </w:p>
    <w:p>
      <w:pPr>
        <w:ind w:left="1260" w:right="140" w:hanging="415"/>
        <w:spacing w:after="0" w:line="269" w:lineRule="auto"/>
        <w:tabs>
          <w:tab w:leader="none" w:pos="12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profit margins and other operational expenses – these are based on the Company’s internal projections of current product manufacturing costings, with input from manufacturing partners where applicable, and estimates of operating costs based on management’s prior industry experience;</w:t>
      </w:r>
    </w:p>
    <w:p>
      <w:pPr>
        <w:spacing w:after="0" w:line="80" w:lineRule="exact"/>
        <w:rPr>
          <w:rFonts w:ascii="Arial" w:cs="Arial" w:eastAsia="Arial" w:hAnsi="Arial"/>
          <w:sz w:val="17"/>
          <w:szCs w:val="17"/>
          <w:color w:val="auto"/>
        </w:rPr>
      </w:pPr>
    </w:p>
    <w:p>
      <w:pPr>
        <w:ind w:left="1260" w:hanging="415"/>
        <w:spacing w:after="0"/>
        <w:tabs>
          <w:tab w:leader="none" w:pos="12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cash flow projections – for all assets, cash flows are assessed over an industry-standard asset life of 20 years; and</w:t>
      </w:r>
    </w:p>
    <w:p>
      <w:pPr>
        <w:spacing w:after="0" w:line="128" w:lineRule="exact"/>
        <w:rPr>
          <w:rFonts w:ascii="Arial" w:cs="Arial" w:eastAsia="Arial" w:hAnsi="Arial"/>
          <w:sz w:val="17"/>
          <w:szCs w:val="17"/>
          <w:color w:val="auto"/>
        </w:rPr>
      </w:pPr>
    </w:p>
    <w:p>
      <w:pPr>
        <w:ind w:left="1260" w:right="740" w:hanging="415"/>
        <w:spacing w:after="0" w:line="316" w:lineRule="auto"/>
        <w:tabs>
          <w:tab w:leader="none" w:pos="12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discount rates – the discount rate is estimated on a pre-tax basis reflecting the estimated cost of capital of the Group and is applied consistently across each of the operating segments. The cost of capital was calculated at 15.3% (2017: 15.3%).</w:t>
      </w:r>
    </w:p>
    <w:p>
      <w:pPr>
        <w:spacing w:after="0" w:line="137" w:lineRule="exact"/>
        <w:rPr>
          <w:sz w:val="20"/>
          <w:szCs w:val="20"/>
          <w:color w:val="auto"/>
        </w:rPr>
      </w:pPr>
    </w:p>
    <w:p>
      <w:pPr>
        <w:ind w:left="440" w:right="40" w:firstLine="423"/>
        <w:spacing w:after="0" w:line="269" w:lineRule="auto"/>
        <w:rPr>
          <w:sz w:val="20"/>
          <w:szCs w:val="20"/>
          <w:color w:val="auto"/>
        </w:rPr>
      </w:pPr>
      <w:r>
        <w:rPr>
          <w:rFonts w:ascii="Arial" w:cs="Arial" w:eastAsia="Arial" w:hAnsi="Arial"/>
          <w:sz w:val="17"/>
          <w:szCs w:val="17"/>
          <w:color w:val="auto"/>
        </w:rPr>
        <w:t>At this stage of product development, the key sensitivity for all three development programs is the probability of successful completion of clinical trials in order to obtain regulatory approval for sale. Therefore, full impairment of a development program is expected should such related trials be unsuccessful.</w:t>
      </w:r>
    </w:p>
    <w:p>
      <w:pPr>
        <w:spacing w:after="0" w:line="10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980"/>
          </w:cols>
          <w:pgMar w:left="240" w:top="446" w:right="67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14. Other receivables</w:t>
      </w:r>
    </w:p>
    <w:p>
      <w:pPr>
        <w:spacing w:after="0" w:line="241"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12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202"/>
              <w:spacing w:after="0" w:line="13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98"/>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140" w:type="dxa"/>
            <w:vAlign w:val="bottom"/>
            <w:gridSpan w:val="2"/>
          </w:tcPr>
          <w:p>
            <w:pPr>
              <w:jc w:val="center"/>
              <w:ind w:left="722"/>
              <w:spacing w:after="0" w:line="135" w:lineRule="exact"/>
              <w:rPr>
                <w:sz w:val="20"/>
                <w:szCs w:val="20"/>
                <w:color w:val="auto"/>
              </w:rPr>
            </w:pPr>
            <w:r>
              <w:rPr>
                <w:rFonts w:ascii="Arial" w:cs="Arial" w:eastAsia="Arial" w:hAnsi="Arial"/>
                <w:sz w:val="14"/>
                <w:szCs w:val="14"/>
                <w:b w:val="1"/>
                <w:bCs w:val="1"/>
                <w:color w:val="auto"/>
                <w:w w:val="89"/>
              </w:rPr>
              <w:t>(in £)</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Rent deposit</w:t>
            </w:r>
          </w:p>
        </w:tc>
        <w:tc>
          <w:tcPr>
            <w:tcW w:w="11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293,328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293,328</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VAT recoverable</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212,422</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315,565</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Cash held by Employee Benefit Trust</w:t>
            </w:r>
          </w:p>
        </w:tc>
        <w:tc>
          <w:tcPr>
            <w:tcW w:w="11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3,600</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rPr>
              <w:t>509,350</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608,893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15. Cash and short-term deposits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73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2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202"/>
              <w:spacing w:after="0" w:line="13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98"/>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140" w:type="dxa"/>
            <w:vAlign w:val="bottom"/>
            <w:gridSpan w:val="2"/>
          </w:tcPr>
          <w:p>
            <w:pPr>
              <w:jc w:val="center"/>
              <w:ind w:left="722"/>
              <w:spacing w:after="0" w:line="135" w:lineRule="exact"/>
              <w:rPr>
                <w:sz w:val="20"/>
                <w:szCs w:val="20"/>
                <w:color w:val="auto"/>
              </w:rPr>
            </w:pPr>
            <w:r>
              <w:rPr>
                <w:rFonts w:ascii="Arial" w:cs="Arial" w:eastAsia="Arial" w:hAnsi="Arial"/>
                <w:sz w:val="14"/>
                <w:szCs w:val="14"/>
                <w:b w:val="1"/>
                <w:bCs w:val="1"/>
                <w:color w:val="auto"/>
                <w:w w:val="89"/>
              </w:rPr>
              <w:t>(in £)</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Cash at banks and on hand</w:t>
            </w:r>
          </w:p>
        </w:tc>
        <w:tc>
          <w:tcPr>
            <w:tcW w:w="11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3"/>
              </w:rPr>
              <w:t>11,005,675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5,343,975</w:t>
            </w:r>
          </w:p>
        </w:tc>
        <w:tc>
          <w:tcPr>
            <w:tcW w:w="0" w:type="dxa"/>
            <w:vAlign w:val="bottom"/>
          </w:tcPr>
          <w:p>
            <w:pPr>
              <w:spacing w:after="0"/>
              <w:rPr>
                <w:sz w:val="1"/>
                <w:szCs w:val="1"/>
                <w:color w:val="auto"/>
              </w:rPr>
            </w:pPr>
          </w:p>
        </w:tc>
      </w:tr>
      <w:tr>
        <w:trPr>
          <w:trHeight w:val="207"/>
        </w:trPr>
        <w:tc>
          <w:tcPr>
            <w:tcW w:w="12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Short-term deposits</w:t>
            </w:r>
          </w:p>
        </w:tc>
        <w:tc>
          <w:tcPr>
            <w:tcW w:w="1140" w:type="dxa"/>
            <w:vAlign w:val="bottom"/>
            <w:gridSpan w:val="2"/>
          </w:tcPr>
          <w:p>
            <w:pPr>
              <w:jc w:val="right"/>
              <w:ind w:right="320"/>
              <w:spacing w:after="0"/>
              <w:rPr>
                <w:sz w:val="20"/>
                <w:szCs w:val="20"/>
                <w:color w:val="auto"/>
              </w:rPr>
            </w:pPr>
            <w:r>
              <w:rPr>
                <w:rFonts w:ascii="Arial" w:cs="Arial" w:eastAsia="Arial" w:hAnsi="Arial"/>
                <w:sz w:val="17"/>
                <w:szCs w:val="17"/>
                <w:color w:val="auto"/>
                <w:w w:val="93"/>
              </w:rPr>
              <w:t>39,038,997</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w w:val="91"/>
              </w:rPr>
              <w:t>19,697,970</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26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3"/>
              </w:rPr>
              <w:t>50,044,672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1"/>
              </w:rPr>
              <w:t>25,041,945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right="100" w:firstLine="423"/>
        <w:spacing w:after="0" w:line="354" w:lineRule="auto"/>
        <w:rPr>
          <w:sz w:val="20"/>
          <w:szCs w:val="20"/>
          <w:color w:val="auto"/>
        </w:rPr>
      </w:pPr>
      <w:r>
        <w:rPr>
          <w:rFonts w:ascii="Arial" w:cs="Arial" w:eastAsia="Arial" w:hAnsi="Arial"/>
          <w:sz w:val="15"/>
          <w:szCs w:val="15"/>
          <w:color w:val="auto"/>
        </w:rPr>
        <w:t>Cash at banks earns interest at floating rates based on daily bank deposit rates, with maturity of three months or less. Short-term deposits are available immediately and earn fixed interest at the respective short-term deposit rates and are held in a diversified portfolio of counterparties.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16. Short-term investments</w:t>
      </w:r>
    </w:p>
    <w:p>
      <w:pPr>
        <w:spacing w:after="0" w:line="241"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2540</wp:posOffset>
            </wp:positionV>
            <wp:extent cx="12331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ind w:left="8020"/>
        <w:spacing w:after="0"/>
        <w:tabs>
          <w:tab w:leader="none" w:pos="91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-3175</wp:posOffset>
            </wp:positionV>
            <wp:extent cx="12331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ind w:left="8560"/>
        <w:spacing w:after="0" w:line="221" w:lineRule="auto"/>
        <w:rPr>
          <w:sz w:val="20"/>
          <w:szCs w:val="20"/>
          <w:color w:val="auto"/>
        </w:rPr>
      </w:pPr>
      <w:r>
        <w:rPr>
          <w:rFonts w:ascii="Arial" w:cs="Arial" w:eastAsia="Arial" w:hAnsi="Arial"/>
          <w:sz w:val="14"/>
          <w:szCs w:val="14"/>
          <w:b w:val="1"/>
          <w:bCs w:val="1"/>
          <w:color w:val="auto"/>
        </w:rPr>
        <w:t>(in £)</w:t>
      </w:r>
    </w:p>
    <w:p>
      <w:pPr>
        <w:spacing w:after="0" w:line="12"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Short-term investments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2,500,000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2,500,000</w:t>
            </w:r>
          </w:p>
        </w:tc>
      </w:tr>
      <w:tr>
        <w:trPr>
          <w:trHeight w:val="20"/>
        </w:trPr>
        <w:tc>
          <w:tcPr>
            <w:tcW w:w="6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Short-term investments consist of cash deposits held with greater than three months term to maturity. None of these investments are held with terms greater than a year.</w:t>
      </w:r>
    </w:p>
    <w:p>
      <w:pPr>
        <w:sectPr>
          <w:pgSz w:w="11900" w:h="16838" w:orient="portrait"/>
          <w:cols w:equalWidth="0" w:num="1">
            <w:col w:w="10640"/>
          </w:cols>
          <w:pgMar w:left="240" w:top="446" w:right="1019" w:bottom="1440" w:gutter="0" w:footer="0" w:header="0"/>
        </w:sect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17. Issued capital and reserves</w:t>
      </w:r>
    </w:p>
    <w:p>
      <w:pPr>
        <w:spacing w:after="0" w:line="241" w:lineRule="exact"/>
        <w:rPr>
          <w:sz w:val="20"/>
          <w:szCs w:val="20"/>
          <w:color w:val="auto"/>
        </w:rPr>
      </w:pPr>
    </w:p>
    <w:p>
      <w:pPr>
        <w:ind w:left="2120"/>
        <w:spacing w:after="0"/>
        <w:rPr>
          <w:sz w:val="20"/>
          <w:szCs w:val="20"/>
          <w:color w:val="auto"/>
        </w:rPr>
      </w:pPr>
      <w:r>
        <w:rPr>
          <w:rFonts w:ascii="Arial" w:cs="Arial" w:eastAsia="Arial" w:hAnsi="Arial"/>
          <w:sz w:val="14"/>
          <w:szCs w:val="14"/>
          <w:b w:val="1"/>
          <w:bCs w:val="1"/>
          <w:u w:val="single" w:color="auto"/>
          <w:color w:val="auto"/>
        </w:rPr>
        <w:t>Ordinary share capital</w:t>
      </w:r>
    </w:p>
    <w:p>
      <w:pPr>
        <w:spacing w:after="0" w:line="160"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-115570</wp:posOffset>
            </wp:positionV>
            <wp:extent cx="4555490" cy="1314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4"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Issuances in the year</w:t>
      </w:r>
    </w:p>
    <w:p>
      <w:pPr>
        <w:spacing w:after="0" w:line="25"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Nominal share capital 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-115570</wp:posOffset>
            </wp:positionV>
            <wp:extent cx="4555490" cy="1314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Ordinary shares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19050</wp:posOffset>
            </wp:positionV>
            <wp:extent cx="4555490" cy="1314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10"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At January 1, 2016</w:t>
      </w:r>
    </w:p>
    <w:p>
      <w:pPr>
        <w:spacing w:after="0" w:line="12"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Issued on June 9, 2016 for private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14605</wp:posOffset>
            </wp:positionV>
            <wp:extent cx="4555490" cy="1314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Issued on June 9. 2016 for private placement</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At December 31, 2016</w:t>
      </w:r>
    </w:p>
    <w:p>
      <w:pPr>
        <w:spacing w:after="0" w:line="38"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Nominal value at December 31, 2016 (</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-111760</wp:posOffset>
            </wp:positionV>
            <wp:extent cx="4555490" cy="1314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555490" cy="131445"/>
                    </a:xfrm>
                    <a:prstGeom prst="rect">
                      <a:avLst/>
                    </a:prstGeom>
                    <a:noFill/>
                  </pic:spPr>
                </pic:pic>
              </a:graphicData>
            </a:graphic>
          </wp:anchor>
        </w:drawing>
      </w:r>
    </w:p>
    <w:p>
      <w:pPr>
        <w:spacing w:after="0" w:line="10"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Issued capital at December 31, 2016 (</w:t>
      </w:r>
      <w:r>
        <w:rPr>
          <w:rFonts w:ascii="Arial" w:cs="Arial" w:eastAsia="Arial" w:hAnsi="Arial"/>
          <w:sz w:val="17"/>
          <w:szCs w:val="17"/>
          <w:color w:val="auto"/>
        </w:rPr>
        <w:t>£)</w:t>
      </w:r>
    </w:p>
    <w:p>
      <w:pPr>
        <w:spacing w:after="0" w:line="193"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2540</wp:posOffset>
            </wp:positionV>
            <wp:extent cx="5264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b w:val="1"/>
          <w:bCs w:val="1"/>
          <w:color w:val="auto"/>
        </w:rPr>
        <w:t>(in £)</w:t>
      </w:r>
    </w:p>
    <w:p>
      <w:pPr>
        <w:jc w:val="right"/>
        <w:ind w:right="1400"/>
        <w:spacing w:after="0"/>
        <w:rPr>
          <w:sz w:val="20"/>
          <w:szCs w:val="20"/>
          <w:color w:val="auto"/>
        </w:rPr>
      </w:pPr>
      <w:r>
        <w:rPr>
          <w:rFonts w:ascii="Arial" w:cs="Arial" w:eastAsia="Arial" w:hAnsi="Arial"/>
          <w:sz w:val="17"/>
          <w:szCs w:val="17"/>
          <w:color w:val="auto"/>
        </w:rPr>
        <w:t>59,221</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133,801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21590</wp:posOffset>
            </wp:positionV>
            <wp:extent cx="5264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193,022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29845</wp:posOffset>
            </wp:positionV>
            <wp:extent cx="5264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6415" cy="8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46355</wp:posOffset>
            </wp:positionV>
            <wp:extent cx="5264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274" w:lineRule="exact"/>
        <w:rPr>
          <w:sz w:val="20"/>
          <w:szCs w:val="20"/>
          <w:color w:val="auto"/>
        </w:rPr>
      </w:pPr>
    </w:p>
    <w:p>
      <w:pPr>
        <w:jc w:val="right"/>
        <w:ind w:right="1400"/>
        <w:spacing w:after="0"/>
        <w:rPr>
          <w:sz w:val="20"/>
          <w:szCs w:val="20"/>
          <w:color w:val="auto"/>
        </w:rPr>
      </w:pPr>
      <w:r>
        <w:rPr>
          <w:rFonts w:ascii="Arial" w:cs="Arial" w:eastAsia="Arial" w:hAnsi="Arial"/>
          <w:sz w:val="15"/>
          <w:szCs w:val="15"/>
          <w:color w:val="auto"/>
        </w:rPr>
        <w:t>19,740,296</w:t>
      </w:r>
    </w:p>
    <w:p>
      <w:pPr>
        <w:spacing w:after="0" w:line="47" w:lineRule="exact"/>
        <w:rPr>
          <w:sz w:val="20"/>
          <w:szCs w:val="20"/>
          <w:color w:val="auto"/>
        </w:rPr>
      </w:pPr>
    </w:p>
    <w:p>
      <w:pPr>
        <w:jc w:val="right"/>
        <w:ind w:right="1400"/>
        <w:spacing w:after="0"/>
        <w:rPr>
          <w:sz w:val="20"/>
          <w:szCs w:val="20"/>
          <w:color w:val="auto"/>
        </w:rPr>
      </w:pPr>
      <w:r>
        <w:rPr>
          <w:rFonts w:ascii="Arial" w:cs="Arial" w:eastAsia="Arial" w:hAnsi="Arial"/>
          <w:sz w:val="15"/>
          <w:szCs w:val="15"/>
          <w:color w:val="auto"/>
        </w:rPr>
        <w:t>39,464,540</w:t>
      </w:r>
    </w:p>
    <w:p>
      <w:pPr>
        <w:spacing w:after="0" w:line="35" w:lineRule="exact"/>
        <w:rPr>
          <w:sz w:val="20"/>
          <w:szCs w:val="20"/>
          <w:color w:val="auto"/>
        </w:rPr>
      </w:pPr>
    </w:p>
    <w:p>
      <w:pPr>
        <w:jc w:val="right"/>
        <w:ind w:right="1400"/>
        <w:spacing w:after="0"/>
        <w:rPr>
          <w:sz w:val="20"/>
          <w:szCs w:val="20"/>
          <w:color w:val="auto"/>
        </w:rPr>
      </w:pPr>
      <w:r>
        <w:rPr>
          <w:rFonts w:ascii="Arial" w:cs="Arial" w:eastAsia="Arial" w:hAnsi="Arial"/>
          <w:sz w:val="17"/>
          <w:szCs w:val="17"/>
          <w:color w:val="auto"/>
        </w:rPr>
        <w:t>5,135,962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7620</wp:posOffset>
            </wp:positionV>
            <wp:extent cx="5264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64,340,798</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0.003</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193,022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21590</wp:posOffset>
            </wp:positionV>
            <wp:extent cx="5264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6415" cy="8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38100</wp:posOffset>
            </wp:positionV>
            <wp:extent cx="5264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6415" cy="8255"/>
                    </a:xfrm>
                    <a:prstGeom prst="rect">
                      <a:avLst/>
                    </a:prstGeom>
                    <a:noFill/>
                  </pic:spPr>
                </pic:pic>
              </a:graphicData>
            </a:graphic>
          </wp:anchor>
        </w:drawing>
      </w:r>
    </w:p>
    <w:p>
      <w:pPr>
        <w:sectPr>
          <w:pgSz w:w="11900" w:h="16838" w:orient="portrait"/>
          <w:cols w:equalWidth="0" w:num="2">
            <w:col w:w="7760" w:space="720"/>
            <w:col w:w="2160"/>
          </w:cols>
          <w:pgMar w:left="240" w:top="446" w:right="1019" w:bottom="1440" w:gutter="0" w:footer="0" w:header="0"/>
          <w:type w:val="continuous"/>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212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Ordinary share capital</w:t>
            </w:r>
          </w:p>
        </w:tc>
        <w:tc>
          <w:tcPr>
            <w:tcW w:w="820" w:type="dxa"/>
            <w:vAlign w:val="bottom"/>
          </w:tcPr>
          <w:p>
            <w:pPr>
              <w:ind w:left="28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Borders>
              <w:top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820" w:type="dxa"/>
            <w:vAlign w:val="bottom"/>
            <w:tcBorders>
              <w:top w:val="single" w:sz="8" w:color="auto"/>
            </w:tcBorders>
          </w:tcPr>
          <w:p>
            <w:pPr>
              <w:ind w:left="260"/>
              <w:spacing w:after="0" w:line="143" w:lineRule="exact"/>
              <w:rPr>
                <w:sz w:val="20"/>
                <w:szCs w:val="20"/>
                <w:color w:val="auto"/>
              </w:rPr>
            </w:pPr>
            <w:r>
              <w:rPr>
                <w:rFonts w:ascii="Arial" w:cs="Arial" w:eastAsia="Arial" w:hAnsi="Arial"/>
                <w:sz w:val="14"/>
                <w:szCs w:val="14"/>
                <w:b w:val="1"/>
                <w:bCs w:val="1"/>
                <w:color w:val="auto"/>
              </w:rPr>
              <w:t>(in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gridSpan w:val="2"/>
          </w:tcPr>
          <w:p>
            <w:pPr>
              <w:spacing w:after="0"/>
              <w:rPr>
                <w:sz w:val="20"/>
                <w:szCs w:val="20"/>
                <w:color w:val="auto"/>
              </w:rPr>
            </w:pPr>
            <w:r>
              <w:rPr>
                <w:rFonts w:ascii="Arial" w:cs="Arial" w:eastAsia="Arial" w:hAnsi="Arial"/>
                <w:sz w:val="17"/>
                <w:szCs w:val="17"/>
                <w:color w:val="auto"/>
              </w:rPr>
              <w:t>Issuances in the year</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20,263</w:t>
            </w:r>
          </w:p>
        </w:tc>
        <w:tc>
          <w:tcPr>
            <w:tcW w:w="0" w:type="dxa"/>
            <w:vAlign w:val="bottom"/>
          </w:tcPr>
          <w:p>
            <w:pPr>
              <w:spacing w:after="0"/>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Nominal share capital as at December 31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Ordinary shares issued and fully paid</w:t>
            </w: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30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Issued on April 3, 2017 for private placement financing round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5,042,017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00" w:type="dxa"/>
            <w:vAlign w:val="bottom"/>
            <w:gridSpan w:val="2"/>
          </w:tcPr>
          <w:p>
            <w:pPr>
              <w:spacing w:after="0"/>
              <w:rPr>
                <w:sz w:val="20"/>
                <w:szCs w:val="20"/>
                <w:color w:val="auto"/>
              </w:rPr>
            </w:pPr>
            <w:r>
              <w:rPr>
                <w:rFonts w:ascii="Arial" w:cs="Arial" w:eastAsia="Arial" w:hAnsi="Arial"/>
                <w:sz w:val="17"/>
                <w:szCs w:val="17"/>
                <w:color w:val="auto"/>
              </w:rPr>
              <w:t>Issued on April 26, 2017 for conversion of loan note</w:t>
            </w:r>
          </w:p>
        </w:tc>
        <w:tc>
          <w:tcPr>
            <w:tcW w:w="820" w:type="dxa"/>
            <w:vAlign w:val="bottom"/>
          </w:tcPr>
          <w:p>
            <w:pPr>
              <w:jc w:val="right"/>
              <w:spacing w:after="0"/>
              <w:rPr>
                <w:sz w:val="20"/>
                <w:szCs w:val="20"/>
                <w:color w:val="auto"/>
              </w:rPr>
            </w:pPr>
            <w:r>
              <w:rPr>
                <w:rFonts w:ascii="Arial" w:cs="Arial" w:eastAsia="Arial" w:hAnsi="Arial"/>
                <w:sz w:val="17"/>
                <w:szCs w:val="17"/>
                <w:color w:val="auto"/>
              </w:rPr>
              <w:t>1,221,361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Issued on October 28, 2017 for acquisition of license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gridSpan w:val="2"/>
          </w:tcPr>
          <w:p>
            <w:pPr>
              <w:spacing w:after="0"/>
              <w:rPr>
                <w:sz w:val="20"/>
                <w:szCs w:val="20"/>
                <w:color w:val="auto"/>
              </w:rPr>
            </w:pPr>
            <w:r>
              <w:rPr>
                <w:rFonts w:ascii="Arial" w:cs="Arial" w:eastAsia="Arial" w:hAnsi="Arial"/>
                <w:sz w:val="17"/>
                <w:szCs w:val="17"/>
                <w:b w:val="1"/>
                <w:bCs w:val="1"/>
                <w:color w:val="auto"/>
              </w:rPr>
              <w:t>At December 31, 2017</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71,094,974</w:t>
            </w:r>
          </w:p>
        </w:tc>
        <w:tc>
          <w:tcPr>
            <w:tcW w:w="0" w:type="dxa"/>
            <w:vAlign w:val="bottom"/>
          </w:tcPr>
          <w:p>
            <w:pPr>
              <w:spacing w:after="0"/>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Nominal value at December 31, 2017 (</w:t>
            </w: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00" w:type="dxa"/>
            <w:vAlign w:val="bottom"/>
            <w:gridSpan w:val="2"/>
          </w:tcPr>
          <w:p>
            <w:pPr>
              <w:spacing w:after="0"/>
              <w:rPr>
                <w:sz w:val="20"/>
                <w:szCs w:val="20"/>
                <w:color w:val="auto"/>
              </w:rPr>
            </w:pPr>
            <w:r>
              <w:rPr>
                <w:rFonts w:ascii="Arial" w:cs="Arial" w:eastAsia="Arial" w:hAnsi="Arial"/>
                <w:sz w:val="17"/>
                <w:szCs w:val="17"/>
                <w:b w:val="1"/>
                <w:bCs w:val="1"/>
                <w:color w:val="auto"/>
              </w:rPr>
              <w:t>Issued capital at December 31, 2017 (</w:t>
            </w: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Ordinary share capital</w:t>
            </w: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6300" w:type="dxa"/>
            <w:vAlign w:val="bottom"/>
            <w:gridSpan w:val="2"/>
            <w:vMerge w:val="continue"/>
          </w:tcPr>
          <w:p>
            <w:pPr>
              <w:spacing w:after="0"/>
              <w:rPr>
                <w:sz w:val="24"/>
                <w:szCs w:val="24"/>
                <w:color w:val="auto"/>
              </w:rPr>
            </w:pPr>
          </w:p>
        </w:tc>
        <w:tc>
          <w:tcPr>
            <w:tcW w:w="820" w:type="dxa"/>
            <w:vAlign w:val="bottom"/>
          </w:tcPr>
          <w:p>
            <w:pPr>
              <w:ind w:left="28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60" w:type="dxa"/>
            <w:vAlign w:val="bottom"/>
            <w:tcBorders>
              <w:top w:val="single" w:sz="8" w:color="auto"/>
            </w:tcBorders>
          </w:tcPr>
          <w:p>
            <w:pPr>
              <w:spacing w:after="0"/>
              <w:rPr>
                <w:sz w:val="12"/>
                <w:szCs w:val="12"/>
                <w:color w:val="auto"/>
              </w:rPr>
            </w:pPr>
          </w:p>
        </w:tc>
        <w:tc>
          <w:tcPr>
            <w:tcW w:w="4940" w:type="dxa"/>
            <w:vAlign w:val="bottom"/>
          </w:tcPr>
          <w:p>
            <w:pPr>
              <w:spacing w:after="0"/>
              <w:rPr>
                <w:sz w:val="12"/>
                <w:szCs w:val="12"/>
                <w:color w:val="auto"/>
              </w:rPr>
            </w:pPr>
          </w:p>
        </w:tc>
        <w:tc>
          <w:tcPr>
            <w:tcW w:w="820" w:type="dxa"/>
            <w:vAlign w:val="bottom"/>
            <w:tcBorders>
              <w:top w:val="single" w:sz="8" w:color="auto"/>
            </w:tcBorders>
          </w:tcPr>
          <w:p>
            <w:pPr>
              <w:ind w:left="260"/>
              <w:spacing w:after="0" w:line="143" w:lineRule="exact"/>
              <w:rPr>
                <w:sz w:val="20"/>
                <w:szCs w:val="20"/>
                <w:color w:val="auto"/>
              </w:rPr>
            </w:pPr>
            <w:r>
              <w:rPr>
                <w:rFonts w:ascii="Arial" w:cs="Arial" w:eastAsia="Arial" w:hAnsi="Arial"/>
                <w:sz w:val="14"/>
                <w:szCs w:val="14"/>
                <w:b w:val="1"/>
                <w:bCs w:val="1"/>
                <w:color w:val="auto"/>
              </w:rPr>
              <w:t>(in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213,285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gridSpan w:val="2"/>
          </w:tcPr>
          <w:p>
            <w:pPr>
              <w:spacing w:after="0"/>
              <w:rPr>
                <w:sz w:val="20"/>
                <w:szCs w:val="20"/>
                <w:color w:val="auto"/>
              </w:rPr>
            </w:pPr>
            <w:r>
              <w:rPr>
                <w:rFonts w:ascii="Arial" w:cs="Arial" w:eastAsia="Arial" w:hAnsi="Arial"/>
                <w:sz w:val="17"/>
                <w:szCs w:val="17"/>
                <w:color w:val="auto"/>
              </w:rPr>
              <w:t>Issuances in the year</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436</w:t>
            </w:r>
          </w:p>
        </w:tc>
        <w:tc>
          <w:tcPr>
            <w:tcW w:w="0" w:type="dxa"/>
            <w:vAlign w:val="bottom"/>
          </w:tcPr>
          <w:p>
            <w:pPr>
              <w:spacing w:after="0"/>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Nominal share capital as at December 31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213,721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Ordinary shares issued and fully paid</w:t>
            </w: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30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 January 1, 2018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3"/>
              </w:rPr>
              <w:t>71,094,974</w:t>
            </w:r>
          </w:p>
        </w:tc>
        <w:tc>
          <w:tcPr>
            <w:tcW w:w="0" w:type="dxa"/>
            <w:vAlign w:val="bottom"/>
          </w:tcPr>
          <w:p>
            <w:pPr>
              <w:spacing w:after="0"/>
              <w:rPr>
                <w:sz w:val="1"/>
                <w:szCs w:val="1"/>
                <w:color w:val="auto"/>
              </w:rPr>
            </w:pPr>
          </w:p>
        </w:tc>
      </w:tr>
      <w:tr>
        <w:trPr>
          <w:trHeight w:val="207"/>
        </w:trPr>
        <w:tc>
          <w:tcPr>
            <w:tcW w:w="6300" w:type="dxa"/>
            <w:vAlign w:val="bottom"/>
            <w:gridSpan w:val="2"/>
          </w:tcPr>
          <w:p>
            <w:pPr>
              <w:spacing w:after="0"/>
              <w:rPr>
                <w:sz w:val="20"/>
                <w:szCs w:val="20"/>
                <w:color w:val="auto"/>
              </w:rPr>
            </w:pPr>
            <w:r>
              <w:rPr>
                <w:rFonts w:ascii="Arial" w:cs="Arial" w:eastAsia="Arial" w:hAnsi="Arial"/>
                <w:sz w:val="17"/>
                <w:szCs w:val="17"/>
                <w:color w:val="auto"/>
              </w:rPr>
              <w:t>Issued on June 1, 2018 for public offering</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50,076</w:t>
            </w:r>
          </w:p>
        </w:tc>
        <w:tc>
          <w:tcPr>
            <w:tcW w:w="0" w:type="dxa"/>
            <w:vAlign w:val="bottom"/>
          </w:tcPr>
          <w:p>
            <w:pPr>
              <w:spacing w:after="0"/>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Issued on August 3, 2018 for exercise of share options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10,000</w:t>
            </w:r>
          </w:p>
        </w:tc>
        <w:tc>
          <w:tcPr>
            <w:tcW w:w="0" w:type="dxa"/>
            <w:vAlign w:val="bottom"/>
          </w:tcPr>
          <w:p>
            <w:pPr>
              <w:spacing w:after="0"/>
              <w:rPr>
                <w:sz w:val="1"/>
                <w:szCs w:val="1"/>
                <w:color w:val="auto"/>
              </w:rPr>
            </w:pPr>
          </w:p>
        </w:tc>
      </w:tr>
      <w:tr>
        <w:trPr>
          <w:trHeight w:val="207"/>
        </w:trPr>
        <w:tc>
          <w:tcPr>
            <w:tcW w:w="6300" w:type="dxa"/>
            <w:vAlign w:val="bottom"/>
            <w:gridSpan w:val="2"/>
          </w:tcPr>
          <w:p>
            <w:pPr>
              <w:spacing w:after="0"/>
              <w:rPr>
                <w:sz w:val="20"/>
                <w:szCs w:val="20"/>
                <w:color w:val="auto"/>
              </w:rPr>
            </w:pPr>
            <w:r>
              <w:rPr>
                <w:rFonts w:ascii="Arial" w:cs="Arial" w:eastAsia="Arial" w:hAnsi="Arial"/>
                <w:sz w:val="17"/>
                <w:szCs w:val="17"/>
                <w:color w:val="auto"/>
              </w:rPr>
              <w:t>Issued on October 22, 2018 for exercise of share options</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85,222</w:t>
            </w: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At December 31, 2018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3"/>
              </w:rPr>
              <w:t>71,240,272</w:t>
            </w:r>
          </w:p>
        </w:tc>
        <w:tc>
          <w:tcPr>
            <w:tcW w:w="0" w:type="dxa"/>
            <w:vAlign w:val="bottom"/>
          </w:tcPr>
          <w:p>
            <w:pPr>
              <w:spacing w:after="0"/>
              <w:rPr>
                <w:sz w:val="1"/>
                <w:szCs w:val="1"/>
                <w:color w:val="auto"/>
              </w:rPr>
            </w:pPr>
          </w:p>
        </w:tc>
      </w:tr>
      <w:tr>
        <w:trPr>
          <w:trHeight w:val="213"/>
        </w:trPr>
        <w:tc>
          <w:tcPr>
            <w:tcW w:w="6300" w:type="dxa"/>
            <w:vAlign w:val="bottom"/>
            <w:gridSpan w:val="2"/>
          </w:tcPr>
          <w:p>
            <w:pPr>
              <w:spacing w:after="0"/>
              <w:rPr>
                <w:sz w:val="20"/>
                <w:szCs w:val="20"/>
                <w:color w:val="auto"/>
              </w:rPr>
            </w:pPr>
            <w:r>
              <w:rPr>
                <w:rFonts w:ascii="Arial" w:cs="Arial" w:eastAsia="Arial" w:hAnsi="Arial"/>
                <w:sz w:val="17"/>
                <w:szCs w:val="17"/>
                <w:b w:val="1"/>
                <w:bCs w:val="1"/>
                <w:color w:val="auto"/>
              </w:rPr>
              <w:t>Nominal value at December 31, 2018 (£)</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0.003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Issued capital at December 31, 2018 (</w:t>
            </w: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213,721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Since January 1, 2016, the following alterations to the Company’s share capital have been made:</w:t>
      </w:r>
    </w:p>
    <w:p>
      <w:pPr>
        <w:spacing w:after="0" w:line="128" w:lineRule="exact"/>
        <w:rPr>
          <w:sz w:val="20"/>
          <w:szCs w:val="20"/>
          <w:color w:val="auto"/>
        </w:rPr>
      </w:pPr>
    </w:p>
    <w:p>
      <w:pPr>
        <w:ind w:left="1260" w:hanging="415"/>
        <w:spacing w:after="0" w:line="321" w:lineRule="auto"/>
        <w:tabs>
          <w:tab w:leader="none" w:pos="12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under the subscription agreement dated July 28, 2015, as amended by an agreement dated June 1, 2016, the Company issued and allotted 39,464,540 ordinary shares of £0.003 in nominal value in the capital of the Company on June 9, 2016 at a price of £1.84 per share. 39,699 of these ordinary shares were issued to WG Partners LLP, for no cash consideration, as payment for financial advisory services;</w:t>
      </w:r>
    </w:p>
    <w:p>
      <w:pPr>
        <w:spacing w:after="0" w:line="45" w:lineRule="exact"/>
        <w:rPr>
          <w:rFonts w:ascii="Arial" w:cs="Arial" w:eastAsia="Arial" w:hAnsi="Arial"/>
          <w:sz w:val="15"/>
          <w:szCs w:val="15"/>
          <w:color w:val="auto"/>
        </w:rPr>
      </w:pPr>
    </w:p>
    <w:p>
      <w:pPr>
        <w:ind w:left="1260" w:hanging="415"/>
        <w:spacing w:after="0" w:line="316" w:lineRule="auto"/>
        <w:tabs>
          <w:tab w:leader="none" w:pos="12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46" w:lineRule="exact"/>
        <w:rPr>
          <w:rFonts w:ascii="Arial" w:cs="Arial" w:eastAsia="Arial" w:hAnsi="Arial"/>
          <w:sz w:val="16"/>
          <w:szCs w:val="16"/>
          <w:color w:val="auto"/>
        </w:rPr>
      </w:pPr>
    </w:p>
    <w:p>
      <w:pPr>
        <w:ind w:left="1260" w:right="80" w:hanging="415"/>
        <w:spacing w:after="0" w:line="284" w:lineRule="auto"/>
        <w:tabs>
          <w:tab w:leader="none" w:pos="12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under a private placement dated June 9, 2016, the Company issued and allotted 5,135,962 ordinary shares of £0.003 in nominal value in the capital of the Company on June 9, 2016 at a price of £2.21 per share; and</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on June 9, 2016, the Company’s ordinary shares were admitted to trading on the AIM market of the London Stock Exchange.</w:t>
      </w:r>
    </w:p>
    <w:p>
      <w:pPr>
        <w:spacing w:after="0" w:line="128" w:lineRule="exact"/>
        <w:rPr>
          <w:rFonts w:ascii="Arial" w:cs="Arial" w:eastAsia="Arial" w:hAnsi="Arial"/>
          <w:sz w:val="17"/>
          <w:szCs w:val="17"/>
          <w:color w:val="auto"/>
        </w:rPr>
      </w:pPr>
    </w:p>
    <w:p>
      <w:pPr>
        <w:jc w:val="both"/>
        <w:ind w:left="1260" w:right="160" w:hanging="415"/>
        <w:spacing w:after="0" w:line="354" w:lineRule="auto"/>
        <w:tabs>
          <w:tab w:leader="none" w:pos="12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under the private placement dated April 3, 2017, the Company issued and allotted 5,042,017 ordinary shares of £0.003 in nominal value in the capital of the Company on April 3, 2017 at a price of £2.975 per share to institutional investors. Gross cash received was £15,000,000;</w:t>
      </w:r>
    </w:p>
    <w:p>
      <w:pPr>
        <w:spacing w:after="0" w:line="22" w:lineRule="exact"/>
        <w:rPr>
          <w:rFonts w:ascii="Arial" w:cs="Arial" w:eastAsia="Arial" w:hAnsi="Arial"/>
          <w:sz w:val="15"/>
          <w:szCs w:val="15"/>
          <w:color w:val="auto"/>
        </w:rPr>
      </w:pPr>
    </w:p>
    <w:p>
      <w:pPr>
        <w:jc w:val="both"/>
        <w:ind w:left="1260" w:right="100" w:hanging="415"/>
        <w:spacing w:after="0" w:line="269" w:lineRule="auto"/>
        <w:tabs>
          <w:tab w:leader="none" w:pos="12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on April 26, 2017 Novartis converted £1,398,552 of loan notes dated June 3, 2016 into 632,829 ordinary shares of £0.003 in nominal value in the capital of the Company at the fixed conversion price of £2.21 per share. Under the terms of the notes, Novartis also received 588,532 bonus shares;</w:t>
      </w:r>
    </w:p>
    <w:p>
      <w:pPr>
        <w:spacing w:after="0" w:line="80" w:lineRule="exact"/>
        <w:rPr>
          <w:rFonts w:ascii="Arial" w:cs="Arial" w:eastAsia="Arial" w:hAnsi="Arial"/>
          <w:sz w:val="17"/>
          <w:szCs w:val="17"/>
          <w:color w:val="auto"/>
        </w:rPr>
      </w:pPr>
    </w:p>
    <w:p>
      <w:pPr>
        <w:jc w:val="both"/>
        <w:ind w:left="1260" w:right="20" w:hanging="415"/>
        <w:spacing w:after="0" w:line="269" w:lineRule="auto"/>
        <w:tabs>
          <w:tab w:leader="none" w:pos="12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on October 31, 2017, Mereo BioPharma Group plc issued 490,798 ordinary shares of £0.003 in nominal value in the capital of the Company to AstraZeneca AB as part payment for the acquisition by Mereo BioPharma 4 Limited of an exclusive license and option to acquire certain assets;</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980"/>
          </w:cols>
          <w:pgMar w:left="240" w:top="445" w:right="67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1260" w:hanging="415"/>
        <w:spacing w:after="0" w:line="316" w:lineRule="auto"/>
        <w:tabs>
          <w:tab w:leader="none" w:pos="12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under the public offering dated June 1, 2018, the Company issued and allotted 50,076 ordinary shares of £0.003 in nominal value in the capital of the Company on June 1, 2018 at a price of £3.00 per share to investors. Gross cash received was £150,228;</w:t>
      </w:r>
    </w:p>
    <w:p>
      <w:pPr>
        <w:spacing w:after="0" w:line="46" w:lineRule="exact"/>
        <w:rPr>
          <w:rFonts w:ascii="Arial" w:cs="Arial" w:eastAsia="Arial" w:hAnsi="Arial"/>
          <w:sz w:val="16"/>
          <w:szCs w:val="16"/>
          <w:color w:val="auto"/>
        </w:rPr>
      </w:pPr>
    </w:p>
    <w:p>
      <w:pPr>
        <w:ind w:left="1260" w:right="180" w:hanging="415"/>
        <w:spacing w:after="0" w:line="284" w:lineRule="auto"/>
        <w:tabs>
          <w:tab w:leader="none" w:pos="12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on August 3, 2018 the Company issued and allotted 10,000 ordinary shares of £0.003 in nominal value in the capital of the Company pursuant to an exercise of employee share options; and</w:t>
      </w:r>
    </w:p>
    <w:p>
      <w:pPr>
        <w:spacing w:after="0" w:line="68" w:lineRule="exact"/>
        <w:rPr>
          <w:rFonts w:ascii="Arial" w:cs="Arial" w:eastAsia="Arial" w:hAnsi="Arial"/>
          <w:sz w:val="17"/>
          <w:szCs w:val="17"/>
          <w:color w:val="auto"/>
        </w:rPr>
      </w:pPr>
    </w:p>
    <w:p>
      <w:pPr>
        <w:ind w:left="1260" w:right="20" w:hanging="415"/>
        <w:spacing w:after="0" w:line="284" w:lineRule="auto"/>
        <w:tabs>
          <w:tab w:leader="none" w:pos="12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on October 22, 2018 the Company issued and allotted 85,222 ordinary shares of £0.003 in nominal value in the capital of the Company pursuant to an exercise of employee share options.</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premium</w:t>
            </w: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2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b w:val="1"/>
                <w:bCs w:val="1"/>
                <w:color w:val="auto"/>
                <w:w w:val="89"/>
              </w:rPr>
              <w:t>2016</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5"/>
              </w:rPr>
              <w:t>(in £)</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At January 1, 2016</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26,212,880</w:t>
            </w:r>
          </w:p>
        </w:tc>
        <w:tc>
          <w:tcPr>
            <w:tcW w:w="34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7"/>
                <w:szCs w:val="17"/>
                <w:color w:val="auto"/>
              </w:rPr>
              <w:t>Share capital reduction on March 21, 2016</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(7,000,000)</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0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8"/>
              </w:rPr>
              <w:t>Issuance of share capital for private financing round on June 9, 2016</w:t>
            </w:r>
          </w:p>
        </w:tc>
        <w:tc>
          <w:tcPr>
            <w:tcW w:w="7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72,423,314</w:t>
            </w:r>
          </w:p>
        </w:tc>
        <w:tc>
          <w:tcPr>
            <w:tcW w:w="34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00" w:type="dxa"/>
            <w:vAlign w:val="bottom"/>
            <w:gridSpan w:val="4"/>
          </w:tcPr>
          <w:p>
            <w:pPr>
              <w:spacing w:after="0"/>
              <w:rPr>
                <w:sz w:val="20"/>
                <w:szCs w:val="20"/>
                <w:color w:val="auto"/>
              </w:rPr>
            </w:pPr>
            <w:r>
              <w:rPr>
                <w:rFonts w:ascii="Arial" w:cs="Arial" w:eastAsia="Arial" w:hAnsi="Arial"/>
                <w:sz w:val="17"/>
                <w:szCs w:val="17"/>
                <w:color w:val="auto"/>
              </w:rPr>
              <w:t>Issuance of share capital for private placement on June 9, 2016</w:t>
            </w:r>
          </w:p>
        </w:tc>
        <w:tc>
          <w:tcPr>
            <w:tcW w:w="7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11,335,069</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Transaction costs for issued share capital</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(2,995,864)</w:t>
            </w:r>
          </w:p>
        </w:tc>
        <w:tc>
          <w:tcPr>
            <w:tcW w:w="34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At December 31, 2016</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99,975,399</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premium</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2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5"/>
              </w:rPr>
              <w:t>(in £)</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At January 1, 2017</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99,975,399</w:t>
            </w:r>
          </w:p>
        </w:tc>
        <w:tc>
          <w:tcPr>
            <w:tcW w:w="34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00" w:type="dxa"/>
            <w:vAlign w:val="bottom"/>
            <w:gridSpan w:val="4"/>
          </w:tcPr>
          <w:p>
            <w:pPr>
              <w:spacing w:after="0"/>
              <w:rPr>
                <w:sz w:val="20"/>
                <w:szCs w:val="20"/>
                <w:color w:val="auto"/>
              </w:rPr>
            </w:pPr>
            <w:r>
              <w:rPr>
                <w:rFonts w:ascii="Arial" w:cs="Arial" w:eastAsia="Arial" w:hAnsi="Arial"/>
                <w:sz w:val="17"/>
                <w:szCs w:val="17"/>
                <w:color w:val="auto"/>
              </w:rPr>
              <w:t>Issued on April 3, 2017 for private placement financing round</w:t>
            </w:r>
          </w:p>
        </w:tc>
        <w:tc>
          <w:tcPr>
            <w:tcW w:w="7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14,984,875</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Issued on April 26, 2017 for conversion of loan note</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2,477,787</w:t>
            </w:r>
          </w:p>
        </w:tc>
        <w:tc>
          <w:tcPr>
            <w:tcW w:w="34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7"/>
                <w:szCs w:val="17"/>
                <w:color w:val="auto"/>
                <w:w w:val="95"/>
              </w:rPr>
              <w:t>Issued on October 28, 2017 for acquisition of license</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1,518,527</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Transaction costs for issued share capital</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(729,632)</w:t>
            </w:r>
          </w:p>
        </w:tc>
        <w:tc>
          <w:tcPr>
            <w:tcW w:w="34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At December 31, 2017</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w w:val="95"/>
              </w:rPr>
              <w:t>118,226,956</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premium</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2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5"/>
              </w:rPr>
              <w:t>(in £)</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At January 1, 2018</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118,226,956</w:t>
            </w:r>
          </w:p>
        </w:tc>
        <w:tc>
          <w:tcPr>
            <w:tcW w:w="34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7"/>
                <w:szCs w:val="17"/>
                <w:color w:val="auto"/>
              </w:rPr>
              <w:t>Issued on June 1, 2018 for public offering</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b w:val="1"/>
                <w:bCs w:val="1"/>
                <w:color w:val="auto"/>
              </w:rPr>
              <w:t>150,078</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Issued on August 3, 2018 for exercise of share options</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12,870</w:t>
            </w:r>
          </w:p>
        </w:tc>
        <w:tc>
          <w:tcPr>
            <w:tcW w:w="34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00" w:type="dxa"/>
            <w:vAlign w:val="bottom"/>
            <w:gridSpan w:val="4"/>
          </w:tcPr>
          <w:p>
            <w:pPr>
              <w:spacing w:after="0"/>
              <w:rPr>
                <w:sz w:val="20"/>
                <w:szCs w:val="20"/>
                <w:color w:val="auto"/>
              </w:rPr>
            </w:pPr>
            <w:r>
              <w:rPr>
                <w:rFonts w:ascii="Arial" w:cs="Arial" w:eastAsia="Arial" w:hAnsi="Arial"/>
                <w:sz w:val="17"/>
                <w:szCs w:val="17"/>
                <w:color w:val="auto"/>
              </w:rPr>
              <w:t>Issued on October 22, 2018 for exercise of share options</w:t>
            </w:r>
          </w:p>
        </w:tc>
        <w:tc>
          <w:tcPr>
            <w:tcW w:w="7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b w:val="1"/>
                <w:bCs w:val="1"/>
                <w:color w:val="auto"/>
              </w:rPr>
              <w:t>109,681</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Transaction costs for issued share capital</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(7,512)</w:t>
            </w:r>
          </w:p>
        </w:tc>
        <w:tc>
          <w:tcPr>
            <w:tcW w:w="340" w:type="dxa"/>
            <w:vAlign w:val="bottom"/>
            <w:tcBorders>
              <w:left w:val="single" w:sz="8" w:color="CCEEFF"/>
            </w:tcBorders>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At December 31, 2018</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118,492,073</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30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Other capital reserves</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 to</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Share-based</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ind w:right="206"/>
              <w:spacing w:after="0"/>
              <w:rPr>
                <w:sz w:val="20"/>
                <w:szCs w:val="20"/>
                <w:color w:val="auto"/>
              </w:rPr>
            </w:pPr>
            <w:r>
              <w:rPr>
                <w:rFonts w:ascii="Arial" w:cs="Arial" w:eastAsia="Arial" w:hAnsi="Arial"/>
                <w:sz w:val="14"/>
                <w:szCs w:val="14"/>
                <w:b w:val="1"/>
                <w:bCs w:val="1"/>
                <w:color w:val="auto"/>
              </w:rPr>
              <w:t>Equity</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2"/>
              </w:rPr>
              <w:t>component of</w:t>
            </w:r>
          </w:p>
        </w:tc>
        <w:tc>
          <w:tcPr>
            <w:tcW w:w="34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be issued</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7"/>
              </w:rPr>
              <w:t>payments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5"/>
              </w:rPr>
              <w:t>convertible loan</w:t>
            </w:r>
          </w:p>
        </w:tc>
        <w:tc>
          <w:tcPr>
            <w:tcW w:w="3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right"/>
              <w:ind w:right="806"/>
              <w:spacing w:after="0" w:line="135" w:lineRule="exact"/>
              <w:rPr>
                <w:sz w:val="20"/>
                <w:szCs w:val="20"/>
                <w:color w:val="auto"/>
              </w:rPr>
            </w:pPr>
            <w:r>
              <w:rPr>
                <w:rFonts w:ascii="Arial" w:cs="Arial" w:eastAsia="Arial" w:hAnsi="Arial"/>
                <w:sz w:val="14"/>
                <w:szCs w:val="14"/>
                <w:b w:val="1"/>
                <w:bCs w:val="1"/>
                <w:color w:val="auto"/>
              </w:rPr>
              <w:t>(in £)</w:t>
            </w:r>
          </w:p>
        </w:tc>
        <w:tc>
          <w:tcPr>
            <w:tcW w:w="3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At January 1, 2016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18,677,840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2,982,265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32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21,660,105</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7"/>
                <w:szCs w:val="17"/>
                <w:color w:val="auto"/>
              </w:rPr>
              <w:t>Share-based payments expense during the year</w:t>
            </w: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6,494,018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6,494,018</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Shares issued</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(16,003,363)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13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(16,003,363)</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7"/>
                <w:szCs w:val="17"/>
                <w:color w:val="auto"/>
              </w:rPr>
              <w:t>Equity component of convertible loan instrument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516,802</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516,802</w:t>
            </w:r>
          </w:p>
        </w:tc>
        <w:tc>
          <w:tcPr>
            <w:tcW w:w="0" w:type="dxa"/>
            <w:vAlign w:val="bottom"/>
          </w:tcPr>
          <w:p>
            <w:pPr>
              <w:spacing w:after="0"/>
              <w:rPr>
                <w:sz w:val="1"/>
                <w:szCs w:val="1"/>
                <w:color w:val="auto"/>
              </w:rPr>
            </w:pPr>
          </w:p>
        </w:tc>
      </w:tr>
      <w:tr>
        <w:trPr>
          <w:trHeight w:val="26"/>
        </w:trPr>
        <w:tc>
          <w:tcPr>
            <w:tcW w:w="2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At December 31, 2016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2,674,477</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9,476,283</w:t>
            </w:r>
          </w:p>
        </w:tc>
        <w:tc>
          <w:tcPr>
            <w:tcW w:w="12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516,802</w:t>
            </w:r>
          </w:p>
        </w:tc>
        <w:tc>
          <w:tcPr>
            <w:tcW w:w="132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12,667,562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00" w:type="dxa"/>
            <w:vAlign w:val="bottom"/>
            <w:vMerge w:val="restart"/>
          </w:tcPr>
          <w:p>
            <w:pPr>
              <w:ind w:left="2520"/>
              <w:spacing w:after="0"/>
              <w:rPr>
                <w:sz w:val="20"/>
                <w:szCs w:val="20"/>
                <w:color w:val="auto"/>
              </w:rPr>
            </w:pPr>
            <w:r>
              <w:rPr>
                <w:rFonts w:ascii="Arial" w:cs="Arial" w:eastAsia="Arial" w:hAnsi="Arial"/>
                <w:sz w:val="17"/>
                <w:szCs w:val="17"/>
                <w:color w:val="auto"/>
              </w:rPr>
              <w:t>F-24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240" w:top="445" w:right="10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Shares to</w:t>
            </w: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3"/>
              </w:rPr>
              <w:t>Share-based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42"/>
              <w:spacing w:after="0"/>
              <w:rPr>
                <w:sz w:val="20"/>
                <w:szCs w:val="20"/>
                <w:color w:val="auto"/>
              </w:rPr>
            </w:pPr>
            <w:r>
              <w:rPr>
                <w:rFonts w:ascii="Arial" w:cs="Arial" w:eastAsia="Arial" w:hAnsi="Arial"/>
                <w:sz w:val="14"/>
                <w:szCs w:val="14"/>
                <w:b w:val="1"/>
                <w:bCs w:val="1"/>
                <w:color w:val="auto"/>
                <w:w w:val="93"/>
              </w:rPr>
              <w:t>Equity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w w:val="86"/>
              </w:rPr>
              <w:t>component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9"/>
              </w:rPr>
              <w:t>be issued</w:t>
            </w: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payments</w:t>
            </w:r>
          </w:p>
        </w:tc>
        <w:tc>
          <w:tcPr>
            <w:tcW w:w="280" w:type="dxa"/>
            <w:vAlign w:val="bottom"/>
          </w:tcPr>
          <w:p>
            <w:pPr>
              <w:spacing w:after="0"/>
              <w:rPr>
                <w:sz w:val="14"/>
                <w:szCs w:val="14"/>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convertible loan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right"/>
              <w:ind w:right="140"/>
              <w:spacing w:after="0" w:line="135" w:lineRule="exact"/>
              <w:rPr>
                <w:sz w:val="20"/>
                <w:szCs w:val="20"/>
                <w:color w:val="auto"/>
              </w:rPr>
            </w:pPr>
            <w:r>
              <w:rPr>
                <w:rFonts w:ascii="Arial" w:cs="Arial" w:eastAsia="Arial" w:hAnsi="Arial"/>
                <w:sz w:val="14"/>
                <w:szCs w:val="14"/>
                <w:b w:val="1"/>
                <w:bCs w:val="1"/>
                <w:color w:val="auto"/>
              </w:rPr>
              <w:t>(in £)</w:t>
            </w: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January 1, 2017</w:t>
            </w:r>
          </w:p>
        </w:tc>
        <w:tc>
          <w:tcPr>
            <w:tcW w:w="760" w:type="dxa"/>
            <w:vAlign w:val="bottom"/>
            <w:shd w:val="clear" w:color="auto" w:fill="CCEEFF"/>
          </w:tcPr>
          <w:p>
            <w:pPr>
              <w:spacing w:after="0"/>
              <w:rPr>
                <w:sz w:val="18"/>
                <w:szCs w:val="18"/>
                <w:color w:val="auto"/>
              </w:rPr>
            </w:pPr>
          </w:p>
        </w:tc>
        <w:tc>
          <w:tcPr>
            <w:tcW w:w="1140" w:type="dxa"/>
            <w:vAlign w:val="bottom"/>
            <w:tcBorders>
              <w:left w:val="single" w:sz="8" w:color="CCEEFF"/>
            </w:tcBorders>
            <w:gridSpan w:val="3"/>
            <w:shd w:val="clear" w:color="auto" w:fill="CCEEFF"/>
          </w:tcPr>
          <w:p>
            <w:pPr>
              <w:jc w:val="right"/>
              <w:ind w:right="254"/>
              <w:spacing w:after="0"/>
              <w:rPr>
                <w:sz w:val="20"/>
                <w:szCs w:val="20"/>
                <w:color w:val="auto"/>
              </w:rPr>
            </w:pPr>
            <w:r>
              <w:rPr>
                <w:rFonts w:ascii="Arial" w:cs="Arial" w:eastAsia="Arial" w:hAnsi="Arial"/>
                <w:sz w:val="17"/>
                <w:szCs w:val="17"/>
                <w:color w:val="auto"/>
              </w:rPr>
              <w:t>2,674,477</w:t>
            </w: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9,476,283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516,802</w:t>
            </w:r>
          </w:p>
        </w:tc>
        <w:tc>
          <w:tcPr>
            <w:tcW w:w="1300" w:type="dxa"/>
            <w:vAlign w:val="bottom"/>
            <w:gridSpan w:val="6"/>
            <w:shd w:val="clear" w:color="auto" w:fill="CCEEFF"/>
          </w:tcPr>
          <w:p>
            <w:pPr>
              <w:jc w:val="right"/>
              <w:ind w:right="100"/>
              <w:spacing w:after="0"/>
              <w:rPr>
                <w:sz w:val="20"/>
                <w:szCs w:val="20"/>
                <w:color w:val="auto"/>
              </w:rPr>
            </w:pPr>
            <w:r>
              <w:rPr>
                <w:rFonts w:ascii="Arial" w:cs="Arial" w:eastAsia="Arial" w:hAnsi="Arial"/>
                <w:sz w:val="17"/>
                <w:szCs w:val="17"/>
                <w:color w:val="auto"/>
              </w:rPr>
              <w:t>12,667,562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Share-based payments expense during the year</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4,983,186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7"/>
                <w:szCs w:val="17"/>
                <w:color w:val="auto"/>
                <w:w w:val="89"/>
              </w:rPr>
              <w:t>4,983,186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Shares issued</w:t>
            </w:r>
          </w:p>
        </w:tc>
        <w:tc>
          <w:tcPr>
            <w:tcW w:w="760" w:type="dxa"/>
            <w:vAlign w:val="bottom"/>
            <w:shd w:val="clear" w:color="auto" w:fill="CCEEFF"/>
          </w:tcPr>
          <w:p>
            <w:pPr>
              <w:spacing w:after="0"/>
              <w:rPr>
                <w:sz w:val="18"/>
                <w:szCs w:val="18"/>
                <w:color w:val="auto"/>
              </w:rPr>
            </w:pPr>
          </w:p>
        </w:tc>
        <w:tc>
          <w:tcPr>
            <w:tcW w:w="1140" w:type="dxa"/>
            <w:vAlign w:val="bottom"/>
            <w:tcBorders>
              <w:left w:val="single" w:sz="8" w:color="CCEEFF"/>
            </w:tcBorders>
            <w:gridSpan w:val="3"/>
            <w:shd w:val="clear" w:color="auto" w:fill="CCEEFF"/>
          </w:tcPr>
          <w:p>
            <w:pPr>
              <w:jc w:val="right"/>
              <w:ind w:right="194"/>
              <w:spacing w:after="0"/>
              <w:rPr>
                <w:sz w:val="20"/>
                <w:szCs w:val="20"/>
                <w:color w:val="auto"/>
              </w:rPr>
            </w:pPr>
            <w:r>
              <w:rPr>
                <w:rFonts w:ascii="Arial" w:cs="Arial" w:eastAsia="Arial" w:hAnsi="Arial"/>
                <w:sz w:val="17"/>
                <w:szCs w:val="17"/>
                <w:color w:val="auto"/>
                <w:w w:val="96"/>
              </w:rPr>
              <w:t>(1,082,899)</w:t>
            </w:r>
          </w:p>
        </w:tc>
        <w:tc>
          <w:tcPr>
            <w:tcW w:w="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30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color w:val="auto"/>
              </w:rPr>
              <w:t>(1,082,899)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Equity component of convertible loan instrument</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4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ind w:right="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34"/>
              <w:spacing w:after="0"/>
              <w:rPr>
                <w:sz w:val="20"/>
                <w:szCs w:val="20"/>
                <w:color w:val="auto"/>
              </w:rPr>
            </w:pPr>
            <w:r>
              <w:rPr>
                <w:rFonts w:ascii="Arial" w:cs="Arial" w:eastAsia="Arial" w:hAnsi="Arial"/>
                <w:sz w:val="17"/>
                <w:szCs w:val="17"/>
                <w:color w:val="auto"/>
              </w:rPr>
              <w:t>(208,680)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auto"/>
              </w:rPr>
              <w:t>(208,680)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At December 31, 2017</w:t>
            </w:r>
          </w:p>
        </w:tc>
        <w:tc>
          <w:tcPr>
            <w:tcW w:w="760" w:type="dxa"/>
            <w:vAlign w:val="bottom"/>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1,591,578</w:t>
            </w:r>
          </w:p>
        </w:tc>
        <w:tc>
          <w:tcPr>
            <w:tcW w:w="3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89"/>
              </w:rPr>
              <w:t>14,459,469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308,122</w:t>
            </w:r>
          </w:p>
        </w:tc>
        <w:tc>
          <w:tcPr>
            <w:tcW w:w="1300" w:type="dxa"/>
            <w:vAlign w:val="bottom"/>
            <w:gridSpan w:val="6"/>
            <w:shd w:val="clear" w:color="auto" w:fill="CCEEFF"/>
          </w:tcPr>
          <w:p>
            <w:pPr>
              <w:jc w:val="right"/>
              <w:ind w:right="100"/>
              <w:spacing w:after="0"/>
              <w:rPr>
                <w:sz w:val="20"/>
                <w:szCs w:val="20"/>
                <w:color w:val="auto"/>
              </w:rPr>
            </w:pPr>
            <w:r>
              <w:rPr>
                <w:rFonts w:ascii="Arial" w:cs="Arial" w:eastAsia="Arial" w:hAnsi="Arial"/>
                <w:sz w:val="17"/>
                <w:szCs w:val="17"/>
                <w:color w:val="auto"/>
              </w:rPr>
              <w:t>16,359,169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Shares to</w:t>
            </w:r>
          </w:p>
        </w:tc>
        <w:tc>
          <w:tcPr>
            <w:tcW w:w="320" w:type="dxa"/>
            <w:vAlign w:val="bottom"/>
          </w:tcPr>
          <w:p>
            <w:pPr>
              <w:spacing w:after="0"/>
              <w:rPr>
                <w:sz w:val="24"/>
                <w:szCs w:val="24"/>
                <w:color w:val="auto"/>
              </w:rPr>
            </w:pP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0"/>
              </w:rPr>
              <w:t>Share-based</w:t>
            </w:r>
          </w:p>
        </w:tc>
        <w:tc>
          <w:tcPr>
            <w:tcW w:w="280" w:type="dxa"/>
            <w:vAlign w:val="bottom"/>
          </w:tcPr>
          <w:p>
            <w:pPr>
              <w:spacing w:after="0"/>
              <w:rPr>
                <w:sz w:val="24"/>
                <w:szCs w:val="24"/>
                <w:color w:val="auto"/>
              </w:rPr>
            </w:pPr>
          </w:p>
        </w:tc>
        <w:tc>
          <w:tcPr>
            <w:tcW w:w="10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24"/>
                <w:szCs w:val="24"/>
                <w:color w:val="auto"/>
              </w:rPr>
            </w:pPr>
          </w:p>
        </w:tc>
        <w:tc>
          <w:tcPr>
            <w:tcW w:w="100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88"/>
              </w:rPr>
              <w:t>Warrants issued</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5"/>
          </w:tcPr>
          <w:p>
            <w:pPr>
              <w:jc w:val="right"/>
              <w:ind w:right="160"/>
              <w:spacing w:after="0" w:line="143" w:lineRule="exact"/>
              <w:rPr>
                <w:sz w:val="20"/>
                <w:szCs w:val="20"/>
                <w:color w:val="auto"/>
              </w:rPr>
            </w:pPr>
            <w:r>
              <w:rPr>
                <w:rFonts w:ascii="Arial" w:cs="Arial" w:eastAsia="Arial" w:hAnsi="Arial"/>
                <w:sz w:val="14"/>
                <w:szCs w:val="14"/>
                <w:b w:val="1"/>
                <w:bCs w:val="1"/>
                <w:color w:val="auto"/>
                <w:w w:val="92"/>
              </w:rPr>
              <w:t>component of</w:t>
            </w:r>
          </w:p>
        </w:tc>
        <w:tc>
          <w:tcPr>
            <w:tcW w:w="2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w w:val="92"/>
              </w:rPr>
              <w:t>be issued</w:t>
            </w:r>
          </w:p>
        </w:tc>
        <w:tc>
          <w:tcPr>
            <w:tcW w:w="32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payments</w:t>
            </w:r>
          </w:p>
        </w:tc>
        <w:tc>
          <w:tcPr>
            <w:tcW w:w="280" w:type="dxa"/>
            <w:vAlign w:val="bottom"/>
          </w:tcPr>
          <w:p>
            <w:pPr>
              <w:spacing w:after="0"/>
              <w:rPr>
                <w:sz w:val="14"/>
                <w:szCs w:val="14"/>
                <w:color w:val="auto"/>
              </w:rPr>
            </w:pPr>
          </w:p>
        </w:tc>
        <w:tc>
          <w:tcPr>
            <w:tcW w:w="10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7"/>
              </w:rPr>
              <w:t>convertible loan</w:t>
            </w:r>
          </w:p>
        </w:tc>
        <w:tc>
          <w:tcPr>
            <w:tcW w:w="240" w:type="dxa"/>
            <w:vAlign w:val="bottom"/>
          </w:tcPr>
          <w:p>
            <w:pPr>
              <w:spacing w:after="0"/>
              <w:rPr>
                <w:sz w:val="14"/>
                <w:szCs w:val="14"/>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for TAP funding</w:t>
            </w:r>
          </w:p>
        </w:tc>
        <w:tc>
          <w:tcPr>
            <w:tcW w:w="3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5"/>
          </w:tcPr>
          <w:p>
            <w:pPr>
              <w:jc w:val="right"/>
              <w:ind w:right="300"/>
              <w:spacing w:after="0" w:line="135" w:lineRule="exact"/>
              <w:rPr>
                <w:sz w:val="20"/>
                <w:szCs w:val="20"/>
                <w:color w:val="auto"/>
              </w:rPr>
            </w:pPr>
            <w:r>
              <w:rPr>
                <w:rFonts w:ascii="Arial" w:cs="Arial" w:eastAsia="Arial" w:hAnsi="Arial"/>
                <w:sz w:val="14"/>
                <w:szCs w:val="14"/>
                <w:b w:val="1"/>
                <w:bCs w:val="1"/>
                <w:color w:val="auto"/>
              </w:rPr>
              <w:t>(in £)</w:t>
            </w: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At January 1, 2018</w:t>
            </w:r>
          </w:p>
        </w:tc>
        <w:tc>
          <w:tcPr>
            <w:tcW w:w="76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1,591,578</w:t>
            </w:r>
          </w:p>
        </w:tc>
        <w:tc>
          <w:tcPr>
            <w:tcW w:w="1220" w:type="dxa"/>
            <w:vAlign w:val="bottom"/>
            <w:tcBorders>
              <w:left w:val="single" w:sz="8" w:color="CCEEFF"/>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14,459,469</w:t>
            </w:r>
          </w:p>
        </w:tc>
        <w:tc>
          <w:tcPr>
            <w:tcW w:w="1320" w:type="dxa"/>
            <w:vAlign w:val="bottom"/>
            <w:gridSpan w:val="6"/>
            <w:shd w:val="clear" w:color="auto" w:fill="CCEEFF"/>
          </w:tcPr>
          <w:p>
            <w:pPr>
              <w:jc w:val="right"/>
              <w:ind w:right="80"/>
              <w:spacing w:after="0"/>
              <w:rPr>
                <w:sz w:val="20"/>
                <w:szCs w:val="20"/>
                <w:color w:val="auto"/>
              </w:rPr>
            </w:pPr>
            <w:r>
              <w:rPr>
                <w:rFonts w:ascii="Arial" w:cs="Arial" w:eastAsia="Arial" w:hAnsi="Arial"/>
                <w:sz w:val="17"/>
                <w:szCs w:val="17"/>
                <w:color w:val="auto"/>
              </w:rPr>
              <w:t>308,122</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16,359,169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7"/>
                <w:szCs w:val="17"/>
                <w:color w:val="auto"/>
              </w:rPr>
              <w:t>Share-based payments expense during the year</w:t>
            </w:r>
          </w:p>
        </w:tc>
        <w:tc>
          <w:tcPr>
            <w:tcW w:w="760" w:type="dxa"/>
            <w:vAlign w:val="bottom"/>
          </w:tcPr>
          <w:p>
            <w:pPr>
              <w:ind w:left="50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2,302,335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3"/>
          </w:tcPr>
          <w:p>
            <w:pPr>
              <w:ind w:lef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gridSpan w:val="5"/>
          </w:tcPr>
          <w:p>
            <w:pPr>
              <w:jc w:val="right"/>
              <w:ind w:right="100"/>
              <w:spacing w:after="0"/>
              <w:rPr>
                <w:sz w:val="20"/>
                <w:szCs w:val="20"/>
                <w:color w:val="auto"/>
              </w:rPr>
            </w:pPr>
            <w:r>
              <w:rPr>
                <w:rFonts w:ascii="Arial" w:cs="Arial" w:eastAsia="Arial" w:hAnsi="Arial"/>
                <w:sz w:val="17"/>
                <w:szCs w:val="17"/>
                <w:color w:val="auto"/>
              </w:rPr>
              <w:t>2,302,335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Share-based payments release for exercise of options</w:t>
            </w:r>
          </w:p>
        </w:tc>
        <w:tc>
          <w:tcPr>
            <w:tcW w:w="7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220" w:type="dxa"/>
            <w:vAlign w:val="bottom"/>
            <w:tcBorders>
              <w:left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(113,042)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(113,042)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7"/>
                <w:szCs w:val="17"/>
                <w:color w:val="auto"/>
              </w:rPr>
              <w:t>Warrants issued for TAP funding</w:t>
            </w:r>
          </w:p>
        </w:tc>
        <w:tc>
          <w:tcPr>
            <w:tcW w:w="760" w:type="dxa"/>
            <w:vAlign w:val="bottom"/>
          </w:tcPr>
          <w:p>
            <w:pPr>
              <w:ind w:left="5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7"/>
                <w:szCs w:val="17"/>
                <w:color w:val="auto"/>
                <w:w w:val="88"/>
              </w:rPr>
              <w:t>44,156</w:t>
            </w:r>
          </w:p>
        </w:tc>
        <w:tc>
          <w:tcPr>
            <w:tcW w:w="1240" w:type="dxa"/>
            <w:vAlign w:val="bottom"/>
            <w:gridSpan w:val="5"/>
          </w:tcPr>
          <w:p>
            <w:pPr>
              <w:jc w:val="right"/>
              <w:ind w:right="100"/>
              <w:spacing w:after="0"/>
              <w:rPr>
                <w:sz w:val="20"/>
                <w:szCs w:val="20"/>
                <w:color w:val="auto"/>
              </w:rPr>
            </w:pPr>
            <w:r>
              <w:rPr>
                <w:rFonts w:ascii="Arial" w:cs="Arial" w:eastAsia="Arial" w:hAnsi="Arial"/>
                <w:sz w:val="17"/>
                <w:szCs w:val="17"/>
                <w:color w:val="auto"/>
              </w:rPr>
              <w:t>44,156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At December 31, 2018</w:t>
            </w:r>
          </w:p>
        </w:tc>
        <w:tc>
          <w:tcPr>
            <w:tcW w:w="7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w w:val="87"/>
              </w:rPr>
              <w:t>1,591,578</w:t>
            </w:r>
          </w:p>
        </w:tc>
        <w:tc>
          <w:tcPr>
            <w:tcW w:w="32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w w:val="93"/>
              </w:rPr>
              <w:t>16,648,762</w:t>
            </w:r>
          </w:p>
        </w:tc>
        <w:tc>
          <w:tcPr>
            <w:tcW w:w="1320" w:type="dxa"/>
            <w:vAlign w:val="bottom"/>
            <w:gridSpan w:val="6"/>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308,122</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88"/>
              </w:rPr>
              <w:t>44,156</w:t>
            </w:r>
          </w:p>
        </w:tc>
        <w:tc>
          <w:tcPr>
            <w:tcW w:w="124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18,592,618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Share-based payments</w:t>
      </w:r>
    </w:p>
    <w:p>
      <w:pPr>
        <w:spacing w:after="0" w:line="115" w:lineRule="exact"/>
        <w:rPr>
          <w:sz w:val="20"/>
          <w:szCs w:val="20"/>
          <w:color w:val="auto"/>
        </w:rPr>
      </w:pPr>
    </w:p>
    <w:p>
      <w:pPr>
        <w:ind w:left="440" w:right="360" w:firstLine="423"/>
        <w:spacing w:after="0" w:line="284" w:lineRule="auto"/>
        <w:rPr>
          <w:sz w:val="20"/>
          <w:szCs w:val="20"/>
          <w:color w:val="auto"/>
        </w:rPr>
      </w:pPr>
      <w:r>
        <w:rPr>
          <w:rFonts w:ascii="Arial" w:cs="Arial" w:eastAsia="Arial" w:hAnsi="Arial"/>
          <w:sz w:val="17"/>
          <w:szCs w:val="17"/>
          <w:color w:val="auto"/>
        </w:rPr>
        <w:t>The Group has various share option schemes under which options to subscribe for the Group’s shares have been granted to certain executives, NEDs and employees (see Note 25 for further details).</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share-based payment reserve is used to recognize a) the value of equity settled share-based payments provided to employees, including key</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management personnel, as part of their remuneration and b) deferred equity consideration. Refer to Note 25 for further details of these plans. Of the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£6,494,018 share-based payment expense in 2016, £298,836 is an accelerated charge relating to 500,000 share options which were cancelled on June 9,</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2016.</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Shares issued/to be issued</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Shares to be issued at January 1, 2016 of £18,677,840 represented a maximum potential 10,151,000 bonus shares due to Novartis under the terms</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of an investment in the prior year. Of the 44,600,502 ordinary shares issued on June 9, 2016, 8,697,480 shares were issued to Novartis as fully paid up</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bonus shares (for £nil consideration), the number of which was calculated to maintain its shareholding at 19.5%. The fair value of these shares was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£1.84 per share. At December 31, 2016, £2,674,477 representing a maximum of 1,453,520 shares at £1.84 were remaining to be issued to Novartis pro</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rata to their percentage shareholding as and when the Company issues further ordinary shares.</w:t>
      </w:r>
    </w:p>
    <w:p>
      <w:pPr>
        <w:spacing w:after="0" w:line="206" w:lineRule="exact"/>
        <w:rPr>
          <w:sz w:val="20"/>
          <w:szCs w:val="20"/>
          <w:color w:val="auto"/>
        </w:rPr>
      </w:pPr>
    </w:p>
    <w:p>
      <w:pPr>
        <w:ind w:left="440" w:right="240" w:firstLine="423"/>
        <w:spacing w:after="0" w:line="264" w:lineRule="auto"/>
        <w:rPr>
          <w:sz w:val="20"/>
          <w:szCs w:val="20"/>
          <w:color w:val="auto"/>
        </w:rPr>
      </w:pPr>
      <w:r>
        <w:rPr>
          <w:rFonts w:ascii="Arial" w:cs="Arial" w:eastAsia="Arial" w:hAnsi="Arial"/>
          <w:sz w:val="17"/>
          <w:szCs w:val="17"/>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2018 and December 31, 2017, £1,591,578 representing a maximum of 864,988 shares at £1.84 were remaining to be issued to Novartis pro rata to its percentage shareholding as and when the Company issues further ordinary shares.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Equity component of convertible loan instrument</w:t>
      </w:r>
    </w:p>
    <w:p>
      <w:pPr>
        <w:spacing w:after="0" w:line="115" w:lineRule="exact"/>
        <w:rPr>
          <w:sz w:val="20"/>
          <w:szCs w:val="20"/>
          <w:color w:val="auto"/>
        </w:rPr>
      </w:pPr>
    </w:p>
    <w:p>
      <w:pPr>
        <w:ind w:left="440" w:right="280" w:firstLine="423"/>
        <w:spacing w:after="0" w:line="316" w:lineRule="auto"/>
        <w:rPr>
          <w:sz w:val="20"/>
          <w:szCs w:val="20"/>
          <w:color w:val="auto"/>
        </w:rPr>
      </w:pPr>
      <w:r>
        <w:rPr>
          <w:rFonts w:ascii="Arial" w:cs="Arial" w:eastAsia="Arial" w:hAnsi="Arial"/>
          <w:sz w:val="16"/>
          <w:szCs w:val="16"/>
          <w:color w:val="auto"/>
        </w:rPr>
        <w:t>The convertible loan notes issued to Novartis are a compound instrument consisting of a liability and an equity component (see Note 18a). The value of the equity component (cost of the conversion option) as at December 31, 2018 is £308,122 (2017: £308,122; 2016: £516,802).</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Warrants issued for TAP funding</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funding arrangements with The Alpha-1 Project are a compound instrument consisting of a liability and an equity component (see Note 21).</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value of the equity component (consideration received for the warrants) as at December 31, 2018 is £44,156 (2017: £nil; 2016: £nil).</w:t>
      </w:r>
    </w:p>
    <w:p>
      <w:pPr>
        <w:spacing w:after="0" w:line="14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000"/>
          </w:cols>
          <w:pgMar w:left="240" w:top="445" w:right="65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Accumulated loss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10"/>
          </w:tcPr>
          <w:p>
            <w:pPr>
              <w:jc w:val="right"/>
              <w:ind w:right="114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218"/>
              <w:spacing w:after="0" w:line="13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gridSpan w:val="3"/>
          </w:tcPr>
          <w:p>
            <w:pPr>
              <w:jc w:val="right"/>
              <w:ind w:right="91"/>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3"/>
          </w:tcPr>
          <w:p>
            <w:pPr>
              <w:jc w:val="right"/>
              <w:ind w:right="20"/>
              <w:spacing w:after="0" w:line="13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right"/>
              <w:ind w:right="420"/>
              <w:spacing w:after="0" w:line="135" w:lineRule="exact"/>
              <w:rPr>
                <w:sz w:val="20"/>
                <w:szCs w:val="20"/>
                <w:color w:val="auto"/>
              </w:rPr>
            </w:pPr>
            <w:r>
              <w:rPr>
                <w:rFonts w:ascii="Arial" w:cs="Arial" w:eastAsia="Arial" w:hAnsi="Arial"/>
                <w:sz w:val="14"/>
                <w:szCs w:val="14"/>
                <w:b w:val="1"/>
                <w:bCs w:val="1"/>
                <w:color w:val="auto"/>
              </w:rPr>
              <w:t>(in £)</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reserves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7,000,000</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7,000,000</w:t>
            </w:r>
          </w:p>
        </w:tc>
        <w:tc>
          <w:tcPr>
            <w:tcW w:w="18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7,000,000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7"/>
                <w:szCs w:val="17"/>
                <w:color w:val="auto"/>
              </w:rPr>
              <w:t>Accumulated losses</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w w:val="95"/>
              </w:rPr>
              <w:t>(40,579,241)</w:t>
            </w:r>
          </w:p>
        </w:tc>
        <w:tc>
          <w:tcPr>
            <w:tcW w:w="1340" w:type="dxa"/>
            <w:vAlign w:val="bottom"/>
            <w:gridSpan w:val="5"/>
          </w:tcPr>
          <w:p>
            <w:pPr>
              <w:jc w:val="right"/>
              <w:ind w:right="120"/>
              <w:spacing w:after="0"/>
              <w:rPr>
                <w:sz w:val="20"/>
                <w:szCs w:val="20"/>
                <w:color w:val="auto"/>
              </w:rPr>
            </w:pPr>
            <w:r>
              <w:rPr>
                <w:rFonts w:ascii="Arial" w:cs="Arial" w:eastAsia="Arial" w:hAnsi="Arial"/>
                <w:sz w:val="17"/>
                <w:szCs w:val="17"/>
                <w:color w:val="auto"/>
              </w:rPr>
              <w:t>(79,315,920)</w:t>
            </w:r>
          </w:p>
        </w:tc>
        <w:tc>
          <w:tcPr>
            <w:tcW w:w="1280" w:type="dxa"/>
            <w:vAlign w:val="bottom"/>
            <w:gridSpan w:val="5"/>
          </w:tcPr>
          <w:p>
            <w:pPr>
              <w:jc w:val="right"/>
              <w:ind w:right="60"/>
              <w:spacing w:after="0"/>
              <w:rPr>
                <w:sz w:val="20"/>
                <w:szCs w:val="20"/>
                <w:color w:val="auto"/>
              </w:rPr>
            </w:pPr>
            <w:r>
              <w:rPr>
                <w:rFonts w:ascii="Arial" w:cs="Arial" w:eastAsia="Arial" w:hAnsi="Arial"/>
                <w:sz w:val="17"/>
                <w:szCs w:val="17"/>
                <w:color w:val="auto"/>
              </w:rPr>
              <w:t>(111,220,794)</w:t>
            </w:r>
          </w:p>
        </w:tc>
        <w:tc>
          <w:tcPr>
            <w:tcW w:w="0" w:type="dxa"/>
            <w:vAlign w:val="bottom"/>
          </w:tcPr>
          <w:p>
            <w:pPr>
              <w:spacing w:after="0"/>
              <w:rPr>
                <w:sz w:val="1"/>
                <w:szCs w:val="1"/>
                <w:color w:val="auto"/>
              </w:rPr>
            </w:pPr>
          </w:p>
        </w:tc>
      </w:tr>
      <w:tr>
        <w:trPr>
          <w:trHeight w:val="26"/>
        </w:trPr>
        <w:tc>
          <w:tcPr>
            <w:tcW w:w="84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5"/>
              </w:rPr>
              <w:t>(33,579,241)</w:t>
            </w:r>
          </w:p>
        </w:tc>
        <w:tc>
          <w:tcPr>
            <w:tcW w:w="134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(72,315,920)</w:t>
            </w:r>
          </w:p>
        </w:tc>
        <w:tc>
          <w:tcPr>
            <w:tcW w:w="128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(104,220,794)</w:t>
            </w: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18. Interest-bearing loans and borrowings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2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top w:val="single" w:sz="8" w:color="auto"/>
              <w:bottom w:val="single" w:sz="8" w:color="auto"/>
            </w:tcBorders>
            <w:gridSpan w:val="2"/>
          </w:tcPr>
          <w:p>
            <w:pPr>
              <w:jc w:val="right"/>
              <w:ind w:right="211"/>
              <w:spacing w:after="0" w:line="13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right"/>
              <w:ind w:right="20"/>
              <w:spacing w:after="0" w:line="135" w:lineRule="exact"/>
              <w:rPr>
                <w:sz w:val="20"/>
                <w:szCs w:val="20"/>
                <w:color w:val="auto"/>
              </w:rPr>
            </w:pPr>
            <w:r>
              <w:rPr>
                <w:rFonts w:ascii="Arial" w:cs="Arial" w:eastAsia="Arial" w:hAnsi="Arial"/>
                <w:sz w:val="14"/>
                <w:szCs w:val="14"/>
                <w:b w:val="1"/>
                <w:bCs w:val="1"/>
                <w:color w:val="auto"/>
              </w:rPr>
              <w:t>(in £)</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Novartis Notes – see Note 18a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1,977,393</w:t>
            </w: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2,038,881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Bank loan – see Note 18b</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w w:val="93"/>
              </w:rPr>
              <w:t>18,774,924</w:t>
            </w:r>
          </w:p>
        </w:tc>
        <w:tc>
          <w:tcPr>
            <w:tcW w:w="1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7"/>
                <w:szCs w:val="17"/>
                <w:color w:val="auto"/>
                <w:w w:val="91"/>
              </w:rPr>
              <w:t>19,445,756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40" w:type="dxa"/>
            <w:vAlign w:val="bottom"/>
          </w:tcPr>
          <w:p>
            <w:pPr>
              <w:spacing w:after="0"/>
              <w:rPr>
                <w:sz w:val="2"/>
                <w:szCs w:val="2"/>
                <w:color w:val="auto"/>
              </w:rPr>
            </w:pPr>
          </w:p>
        </w:tc>
        <w:tc>
          <w:tcPr>
            <w:tcW w:w="4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4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At December 31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w w:val="93"/>
              </w:rPr>
              <w:t>20,752,317</w:t>
            </w: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1"/>
              </w:rPr>
              <w:t>21,484,637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280" w:type="dxa"/>
            <w:vAlign w:val="bottom"/>
            <w:gridSpan w:val="2"/>
            <w:vMerge w:val="restart"/>
          </w:tcPr>
          <w:p>
            <w:pPr>
              <w:ind w:left="420"/>
              <w:spacing w:after="0"/>
              <w:rPr>
                <w:sz w:val="20"/>
                <w:szCs w:val="20"/>
                <w:color w:val="auto"/>
              </w:rPr>
            </w:pPr>
            <w:r>
              <w:rPr>
                <w:rFonts w:ascii="Arial" w:cs="Arial" w:eastAsia="Arial" w:hAnsi="Arial"/>
                <w:sz w:val="17"/>
                <w:szCs w:val="17"/>
                <w:color w:val="auto"/>
              </w:rPr>
              <w:t>Current</w:t>
            </w: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40" w:type="dxa"/>
            <w:vAlign w:val="bottom"/>
          </w:tcPr>
          <w:p>
            <w:pPr>
              <w:spacing w:after="0"/>
              <w:rPr>
                <w:sz w:val="17"/>
                <w:szCs w:val="17"/>
                <w:color w:val="auto"/>
              </w:rPr>
            </w:pPr>
          </w:p>
        </w:tc>
        <w:tc>
          <w:tcPr>
            <w:tcW w:w="528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7"/>
                <w:szCs w:val="17"/>
                <w:color w:val="auto"/>
              </w:rPr>
              <w:t>1,939,806</w:t>
            </w:r>
          </w:p>
        </w:tc>
        <w:tc>
          <w:tcPr>
            <w:tcW w:w="18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7"/>
                <w:szCs w:val="17"/>
                <w:color w:val="auto"/>
              </w:rPr>
              <w:t>6,837,884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Non-current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18,812,511</w:t>
            </w:r>
          </w:p>
        </w:tc>
        <w:tc>
          <w:tcPr>
            <w:tcW w:w="1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1"/>
              </w:rPr>
              <w:t>14,646,753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18a. Convertible loan note</w:t>
      </w:r>
    </w:p>
    <w:p>
      <w:pPr>
        <w:spacing w:after="0" w:line="115"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On June 3, 2016, the Company issued 3,463,563 £1 unsecured convertible loan notes (“Novartis Notes”) to Novartis Pharma AG, a shareholder of the Company (see Note 26) in consideration for an investment in cash by Novartis at the time of the private placement on June 9, 2016. The Novartis Notes attract an interest rate of 4% per annum, accruing daily, and constitute direct, unsecured obligations of the Company ranking ahead of any other unsecured obligations of the Company.</w:t>
      </w:r>
    </w:p>
    <w:p>
      <w:pPr>
        <w:spacing w:after="0" w:line="176" w:lineRule="exact"/>
        <w:rPr>
          <w:sz w:val="20"/>
          <w:szCs w:val="20"/>
          <w:color w:val="auto"/>
        </w:rPr>
      </w:pPr>
    </w:p>
    <w:p>
      <w:pPr>
        <w:jc w:val="both"/>
        <w:ind w:left="440" w:firstLine="423"/>
        <w:spacing w:after="0" w:line="261" w:lineRule="auto"/>
        <w:rPr>
          <w:sz w:val="20"/>
          <w:szCs w:val="20"/>
          <w:color w:val="auto"/>
        </w:rPr>
      </w:pPr>
      <w:r>
        <w:rPr>
          <w:rFonts w:ascii="Arial" w:cs="Arial" w:eastAsia="Arial" w:hAnsi="Arial"/>
          <w:sz w:val="17"/>
          <w:szCs w:val="17"/>
          <w:color w:val="auto"/>
        </w:rPr>
        <w:t>On April 26, 2017 Novartis converted £1,398,553 of loan notes into 632,829 ordinary shares at the fixed conversion price of £2.21 per share. This has been recorded as a £1,187,974 reduction in interest-bearing loans and borrowings, a reduction in other capital reserves of £208,680 and a reduction in accumulated losses of £62,375. Under the terms of the notes, Novartis also received 588,532 bonus shares. Novartis holds £2,065,011 principal value of notes at December 31, 2017 representing 934,394 ordinary shares if converted, together with 864,988 potential bonus shares; together these represent 2.5% of the current share capital of the Company as at December 31, 2017.</w:t>
      </w:r>
    </w:p>
    <w:p>
      <w:pPr>
        <w:spacing w:after="0" w:line="180" w:lineRule="exact"/>
        <w:rPr>
          <w:sz w:val="20"/>
          <w:szCs w:val="20"/>
          <w:color w:val="auto"/>
        </w:rPr>
      </w:pPr>
    </w:p>
    <w:p>
      <w:pPr>
        <w:ind w:left="440" w:right="20" w:firstLine="423"/>
        <w:spacing w:after="0" w:line="276" w:lineRule="auto"/>
        <w:rPr>
          <w:sz w:val="20"/>
          <w:szCs w:val="20"/>
          <w:color w:val="auto"/>
        </w:rPr>
      </w:pPr>
      <w:r>
        <w:rPr>
          <w:rFonts w:ascii="Arial" w:cs="Arial" w:eastAsia="Arial" w:hAnsi="Arial"/>
          <w:sz w:val="16"/>
          <w:szCs w:val="16"/>
          <w:color w:val="auto"/>
        </w:rPr>
        <w:t>In August 2017, in connection with the new loan agreements (see Note 18b), Novartis agreed to amend the terms of its Novartis Notes. Under the revised terms of the Novartis Notes, the loan is subordinated to the Silicon Valley Bank and Kreos Capital loan such that Novartis shall be entitled, at any time up to the repayment of the foregoing loan, being March 2, 2021, to serve a conversion notice on the Company to convert all or some only of the outstanding Novartis Notes into fully paid ordinary shares at a conversion price of £2.21 per share. To the extent the Novartis Notes are not converted at that date, the outstanding principal amount of the Novartis Notes, together with any accrued and unconverted interest, is redeemable. Upon conversion of any Novartis Notes, in addition to the relevant number of conversion shares, Novartis is entitled to receive an additional number of ordinary shares in the Company equal to the number of conversion shares into which such Novartis Notes are to convert, multiplied by 0.93, up to a maximum aggregate number of 864,988 such bonus shares.</w:t>
      </w:r>
    </w:p>
    <w:p>
      <w:pPr>
        <w:spacing w:after="0" w:line="172" w:lineRule="exact"/>
        <w:rPr>
          <w:sz w:val="20"/>
          <w:szCs w:val="20"/>
          <w:color w:val="auto"/>
        </w:rPr>
      </w:pPr>
    </w:p>
    <w:p>
      <w:pPr>
        <w:jc w:val="both"/>
        <w:ind w:left="440" w:right="300" w:firstLine="423"/>
        <w:spacing w:after="0" w:line="264" w:lineRule="auto"/>
        <w:rPr>
          <w:sz w:val="20"/>
          <w:szCs w:val="20"/>
          <w:color w:val="auto"/>
        </w:rPr>
      </w:pPr>
      <w:r>
        <w:rPr>
          <w:rFonts w:ascii="Arial" w:cs="Arial" w:eastAsia="Arial" w:hAnsi="Arial"/>
          <w:sz w:val="17"/>
          <w:szCs w:val="17"/>
          <w:color w:val="auto"/>
        </w:rPr>
        <w:t>The value of the debt component of the notes at the date of issue was calculated as £2,946,761. The cash flows attached to the note up to the maturity date were calculated and discounted at an appropriate venture debt rate of 10%. The carrying amount at December 31, 2018 is £2,038,881 (2017: £1,977,393). The Group has applied IFRS 9 Financial Instruments in full without restating comparatives with an initial date of application of January 1, 2018 (see Note 2.2).</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value of the equity component of the Notes at December 31, 2018 was calculated as £308,123 (2017: £308,123).</w:t>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18b. Bank loan</w:t>
      </w:r>
    </w:p>
    <w:p>
      <w:pPr>
        <w:spacing w:after="0" w:line="115" w:lineRule="exact"/>
        <w:rPr>
          <w:sz w:val="20"/>
          <w:szCs w:val="20"/>
          <w:color w:val="auto"/>
        </w:rPr>
      </w:pPr>
    </w:p>
    <w:p>
      <w:pPr>
        <w:ind w:left="440" w:right="60" w:firstLine="423"/>
        <w:spacing w:after="0" w:line="321" w:lineRule="auto"/>
        <w:rPr>
          <w:sz w:val="20"/>
          <w:szCs w:val="20"/>
          <w:color w:val="auto"/>
        </w:rPr>
      </w:pPr>
      <w:r>
        <w:rPr>
          <w:rFonts w:ascii="Arial" w:cs="Arial" w:eastAsia="Arial" w:hAnsi="Arial"/>
          <w:sz w:val="15"/>
          <w:szCs w:val="15"/>
          <w:color w:val="auto"/>
        </w:rPr>
        <w:t>On August 7, 2017, the Group entered into a loan agreement with Silicon Valley Bank and Kreos Capital V (UK) Limited, which provides for total borrowings of £20.0 million and the issue of warrants over shares in the Company (see Note 20). £10.0 million was drawn down on each of August 21, 2017 (Tranche 1) and December 29, 2017 (Tranche 2) for general working capital purposes. The Group was obligated to make interest-only</w:t>
      </w:r>
    </w:p>
    <w:p>
      <w:pPr>
        <w:spacing w:after="0" w:line="7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940"/>
          </w:cols>
          <w:pgMar w:left="240" w:top="445" w:right="71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
        <w:spacing w:after="0" w:line="301" w:lineRule="auto"/>
        <w:rPr>
          <w:sz w:val="20"/>
          <w:szCs w:val="20"/>
          <w:color w:val="auto"/>
        </w:rPr>
      </w:pPr>
      <w:r>
        <w:rPr>
          <w:rFonts w:ascii="Arial" w:cs="Arial" w:eastAsia="Arial" w:hAnsi="Arial"/>
          <w:sz w:val="15"/>
          <w:szCs w:val="15"/>
          <w:color w:val="auto"/>
        </w:rPr>
        <w:t>payments on the loan amount until September 30, 2018, and thereafter the Group was obligated to pay interest and principal in 30 equal monthly instalments until March 31, 2021, the maturity date. The loan bore interest at an annual fixed rate equal to 9.0%. In addition, a final payment of 7.5% of the principal loan amount was due upon the earlier of the maturity date, prepayment in whole of the loan amount, mandatory repayment, acceleration of the loan, and the loan becoming immediately due and payable due to an event of default. The loan was secured by substantially all of the Group’s assets, including intellectual property rights owned or controlled by the Group. The terms of the debt facility included an interest-only period to September 30, 2018, a 30-month capital and interest repayment period thereafter, a 9% headline interest rate and customary security over all assets of the Group.</w:t>
      </w:r>
    </w:p>
    <w:p>
      <w:pPr>
        <w:spacing w:after="0" w:line="152" w:lineRule="exact"/>
        <w:rPr>
          <w:sz w:val="20"/>
          <w:szCs w:val="20"/>
          <w:color w:val="auto"/>
        </w:rPr>
      </w:pPr>
    </w:p>
    <w:p>
      <w:pPr>
        <w:ind w:left="440" w:right="80" w:firstLine="423"/>
        <w:spacing w:after="0" w:line="264" w:lineRule="auto"/>
        <w:rPr>
          <w:sz w:val="20"/>
          <w:szCs w:val="20"/>
          <w:color w:val="auto"/>
        </w:rPr>
      </w:pPr>
      <w:r>
        <w:rPr>
          <w:rFonts w:ascii="Arial" w:cs="Arial" w:eastAsia="Arial" w:hAnsi="Arial"/>
          <w:sz w:val="17"/>
          <w:szCs w:val="17"/>
          <w:color w:val="auto"/>
        </w:rPr>
        <w:t>The fair value of warrants issued as part of Tranche 1 on August 21, 2017 was £657,676. The fair value of the loan liability of Tranche 1 on August 21, 2017 was £9,342,324. Application of the effective interest method was required to accrete the initial loan liability value up to the face value of the loan at the end of the loan term. This non-cash interest charge was to be made in each statutory reporting period. The annual value of this interest charge was £182,133, which was an effective interest rate of 1.95%.</w:t>
      </w:r>
    </w:p>
    <w:p>
      <w:pPr>
        <w:spacing w:after="0" w:line="176" w:lineRule="exact"/>
        <w:rPr>
          <w:sz w:val="20"/>
          <w:szCs w:val="20"/>
          <w:color w:val="auto"/>
        </w:rPr>
      </w:pPr>
    </w:p>
    <w:p>
      <w:pPr>
        <w:ind w:left="440" w:right="220" w:firstLine="423"/>
        <w:spacing w:after="0" w:line="264" w:lineRule="auto"/>
        <w:rPr>
          <w:sz w:val="20"/>
          <w:szCs w:val="20"/>
          <w:color w:val="auto"/>
        </w:rPr>
      </w:pPr>
      <w:r>
        <w:rPr>
          <w:rFonts w:ascii="Arial" w:cs="Arial" w:eastAsia="Arial" w:hAnsi="Arial"/>
          <w:sz w:val="17"/>
          <w:szCs w:val="17"/>
          <w:color w:val="auto"/>
        </w:rPr>
        <w:t>The fair value of warrants issued as part of Tranche 2 on December 29, 2017 was £634,335. The fair value of the loan liability of Tranche 2 on December 29, 2017 was £9,365,665. Application of the effective interest method was required to accrete the initial loan liability value up to the face value of the loan at the end of the loan term. This non-cash interest charge was to be made in each statutory reporting period. The annual value of this interest charge is £194,892, which was an effective interest rate of 2.08%.</w:t>
      </w:r>
    </w:p>
    <w:p>
      <w:pPr>
        <w:spacing w:after="0" w:line="176" w:lineRule="exact"/>
        <w:rPr>
          <w:sz w:val="20"/>
          <w:szCs w:val="20"/>
          <w:color w:val="auto"/>
        </w:rPr>
      </w:pPr>
    </w:p>
    <w:p>
      <w:pPr>
        <w:ind w:left="440" w:right="20" w:firstLine="423"/>
        <w:spacing w:after="0" w:line="293" w:lineRule="auto"/>
        <w:rPr>
          <w:sz w:val="20"/>
          <w:szCs w:val="20"/>
          <w:color w:val="auto"/>
        </w:rPr>
      </w:pPr>
      <w:r>
        <w:rPr>
          <w:rFonts w:ascii="Arial" w:cs="Arial" w:eastAsia="Arial" w:hAnsi="Arial"/>
          <w:sz w:val="16"/>
          <w:szCs w:val="16"/>
          <w:color w:val="auto"/>
        </w:rPr>
        <w:t>On 30 September 2018 (the “modification date”), the Group and the lender signed a revised loan agreement (the “new loan”), with the intention that this would replace the old loan (with the proceeds of the new loan being used to settle the old loan). The new loan is viewed as a modification of the original loan because it was agreed with the same lenders as under the old loan and the old loan was not repayable at par with no penalty.</w:t>
      </w:r>
    </w:p>
    <w:p>
      <w:pPr>
        <w:spacing w:after="0" w:line="15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new loan has a principal amount of £20,455,000 and will mature on March 1, 2021, unless extended on reaching certain milestones.</w:t>
      </w:r>
    </w:p>
    <w:p>
      <w:pPr>
        <w:spacing w:after="0" w:line="230" w:lineRule="exact"/>
        <w:rPr>
          <w:sz w:val="20"/>
          <w:szCs w:val="20"/>
          <w:color w:val="auto"/>
        </w:rPr>
      </w:pPr>
    </w:p>
    <w:p>
      <w:pPr>
        <w:ind w:left="440" w:right="260" w:firstLine="423"/>
        <w:spacing w:after="0" w:line="297" w:lineRule="auto"/>
        <w:rPr>
          <w:sz w:val="20"/>
          <w:szCs w:val="20"/>
          <w:color w:val="auto"/>
        </w:rPr>
      </w:pPr>
      <w:r>
        <w:rPr>
          <w:rFonts w:ascii="Arial" w:cs="Arial" w:eastAsia="Arial" w:hAnsi="Arial"/>
          <w:sz w:val="15"/>
          <w:szCs w:val="15"/>
          <w:color w:val="auto"/>
        </w:rPr>
        <w:t>The Group is obligated to make interest-only payments on the loan amount until April 30, 2019, and thereafter the Group is obligated to pay interest and principal in 23 equal monthly instalments until March 31, 2021, the maturity date. The loan bears interest at an annual fixed rate equal to</w:t>
      </w:r>
    </w:p>
    <w:p>
      <w:pPr>
        <w:ind w:left="440" w:right="100"/>
        <w:spacing w:after="0" w:line="257" w:lineRule="auto"/>
        <w:rPr>
          <w:sz w:val="20"/>
          <w:szCs w:val="20"/>
          <w:color w:val="auto"/>
        </w:rPr>
      </w:pPr>
      <w:r>
        <w:rPr>
          <w:rFonts w:ascii="Arial" w:cs="Arial" w:eastAsia="Arial" w:hAnsi="Arial"/>
          <w:sz w:val="17"/>
          <w:szCs w:val="17"/>
          <w:color w:val="auto"/>
        </w:rPr>
        <w:t>8.5%. In addition, a final payment of 10.5%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the Group’s assets, including intellectual property rights owned or controlled by the Group. The terms of the debt facility include an interest-only period to April 30, 2019, a 23-month capital and interest repayment period thereafter, a 8.5% headline interest rate and customary security over all assets of the Group.</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modification loss is calculated as the difference in the present value of the cash flows under the original and modified terms.</w:t>
      </w:r>
    </w:p>
    <w:p>
      <w:pPr>
        <w:spacing w:after="0" w:line="219"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The modification loss has been calculated accordingly in the amount of £730,037 and has been recognized in profit and loss as of the date of the modification.</w:t>
      </w:r>
    </w:p>
    <w:p>
      <w:pPr>
        <w:spacing w:after="0" w:line="159"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The old loan was not derecognized; instead, at the point of modification, the carrying value of the loan was revised to reflect the new cash flows discounted by the original EIR as well as costs and fees incurred for the modification and any cash paid to or received from the lender under the terms of the new loan. Once the carrying amount of the liability was adjusted for costs and fees incurred as part of the modification, the EIR was recalculated to spread those costs and fees over the life of the modified liability.</w:t>
      </w:r>
    </w:p>
    <w:p>
      <w:pPr>
        <w:spacing w:after="0" w:line="176" w:lineRule="exact"/>
        <w:rPr>
          <w:sz w:val="20"/>
          <w:szCs w:val="20"/>
          <w:color w:val="auto"/>
        </w:rPr>
      </w:pPr>
    </w:p>
    <w:p>
      <w:pPr>
        <w:ind w:left="440" w:right="100" w:firstLine="423"/>
        <w:spacing w:after="0" w:line="316" w:lineRule="auto"/>
        <w:rPr>
          <w:sz w:val="20"/>
          <w:szCs w:val="20"/>
          <w:color w:val="auto"/>
        </w:rPr>
      </w:pPr>
      <w:r>
        <w:rPr>
          <w:rFonts w:ascii="Arial" w:cs="Arial" w:eastAsia="Arial" w:hAnsi="Arial"/>
          <w:sz w:val="16"/>
          <w:szCs w:val="16"/>
          <w:color w:val="auto"/>
        </w:rPr>
        <w:t>On the modification date, the Group issued 225,974 additional warrants (“additional warrants”), for nil consideration, to the lender with the same key terms as the original warrants. The fair value of the additional warrants as of their grant date (30 September 2018) was £375,343.</w:t>
      </w:r>
    </w:p>
    <w:p>
      <w:pPr>
        <w:spacing w:after="0" w:line="137" w:lineRule="exact"/>
        <w:rPr>
          <w:sz w:val="20"/>
          <w:szCs w:val="20"/>
          <w:color w:val="auto"/>
        </w:rPr>
      </w:pPr>
    </w:p>
    <w:p>
      <w:pPr>
        <w:ind w:left="440" w:right="20" w:firstLine="423"/>
        <w:spacing w:after="0" w:line="269" w:lineRule="auto"/>
        <w:rPr>
          <w:sz w:val="20"/>
          <w:szCs w:val="20"/>
          <w:color w:val="auto"/>
        </w:rPr>
      </w:pPr>
      <w:r>
        <w:rPr>
          <w:rFonts w:ascii="Arial" w:cs="Arial" w:eastAsia="Arial" w:hAnsi="Arial"/>
          <w:sz w:val="17"/>
          <w:szCs w:val="17"/>
          <w:color w:val="auto"/>
        </w:rPr>
        <w:t>The total carrying value of the loan at December 31, 2018 was £19,445,756 (2017: £18,774,924). £6,837,884 (2017: £1,939,806) is a current liability and £12,607,872 (2017: £16,835,118) is a non-current liability. A total of £781,998 (2017: £66,935) of non-cash interest has been charged to the statement of comprehensive loss in the period.</w:t>
      </w:r>
    </w:p>
    <w:p>
      <w:pPr>
        <w:spacing w:after="0" w:line="10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0980"/>
          </w:cols>
          <w:pgMar w:left="240" w:top="445" w:right="67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19. Provisions</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160"/>
              <w:spacing w:after="0" w:line="13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080" w:type="dxa"/>
            <w:vAlign w:val="bottom"/>
            <w:gridSpan w:val="3"/>
          </w:tcPr>
          <w:p>
            <w:pPr>
              <w:jc w:val="center"/>
              <w:ind w:left="640"/>
              <w:spacing w:after="0" w:line="135" w:lineRule="exact"/>
              <w:rPr>
                <w:sz w:val="20"/>
                <w:szCs w:val="20"/>
                <w:color w:val="auto"/>
              </w:rPr>
            </w:pPr>
            <w:r>
              <w:rPr>
                <w:rFonts w:ascii="Arial" w:cs="Arial" w:eastAsia="Arial" w:hAnsi="Arial"/>
                <w:sz w:val="14"/>
                <w:szCs w:val="14"/>
                <w:b w:val="1"/>
                <w:bCs w:val="1"/>
                <w:color w:val="auto"/>
                <w:w w:val="95"/>
              </w:rPr>
              <w:t>(in £)</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Social security contributions on share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2,288,386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842,367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Provision for deferred cash consideration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2,061,000</w:t>
            </w: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2,131,000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At December 31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4,349,386</w:t>
            </w:r>
          </w:p>
        </w:tc>
        <w:tc>
          <w:tcPr>
            <w:tcW w:w="2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2,973,367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7"/>
                <w:szCs w:val="17"/>
                <w:color w:val="auto"/>
              </w:rPr>
              <w:t>Current</w:t>
            </w: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180" w:type="dxa"/>
            <w:vAlign w:val="bottom"/>
            <w:gridSpan w:val="2"/>
            <w:vMerge w:val="continue"/>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274,000</w:t>
            </w:r>
          </w:p>
        </w:tc>
        <w:tc>
          <w:tcPr>
            <w:tcW w:w="2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332,014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Non-current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4,075,386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2"/>
              </w:rPr>
              <w:t>2,641,353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Social security contributions on share options</w:t>
            </w:r>
          </w:p>
        </w:tc>
        <w:tc>
          <w:tcPr>
            <w:tcW w:w="3140" w:type="dxa"/>
            <w:vAlign w:val="bottom"/>
          </w:tcPr>
          <w:p>
            <w:pPr>
              <w:spacing w:after="0"/>
              <w:rPr>
                <w:sz w:val="14"/>
                <w:szCs w:val="14"/>
                <w:color w:val="auto"/>
              </w:rPr>
            </w:pPr>
          </w:p>
        </w:tc>
        <w:tc>
          <w:tcPr>
            <w:tcW w:w="30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28"/>
        </w:trPr>
        <w:tc>
          <w:tcPr>
            <w:tcW w:w="26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760" w:type="dxa"/>
            <w:vAlign w:val="bottom"/>
            <w:tcBorders>
              <w:top w:val="single" w:sz="8" w:color="auto"/>
            </w:tcBorders>
          </w:tcPr>
          <w:p>
            <w:pPr>
              <w:jc w:val="right"/>
              <w:ind w:right="181"/>
              <w:spacing w:after="0" w:line="12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83"/>
              </w:rPr>
              <w:t>2017</w:t>
            </w:r>
          </w:p>
        </w:tc>
        <w:tc>
          <w:tcPr>
            <w:tcW w:w="1100" w:type="dxa"/>
            <w:vAlign w:val="bottom"/>
            <w:tcBorders>
              <w:top w:val="single" w:sz="8" w:color="auto"/>
            </w:tcBorders>
            <w:gridSpan w:val="2"/>
          </w:tcPr>
          <w:p>
            <w:pPr>
              <w:jc w:val="right"/>
              <w:ind w:right="194"/>
              <w:spacing w:after="0" w:line="12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auto"/>
            </w:tcBorders>
          </w:tcPr>
          <w:p>
            <w:pPr>
              <w:spacing w:after="0"/>
              <w:rPr>
                <w:sz w:val="12"/>
                <w:szCs w:val="12"/>
                <w:color w:val="auto"/>
              </w:rPr>
            </w:pPr>
          </w:p>
        </w:tc>
        <w:tc>
          <w:tcPr>
            <w:tcW w:w="3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9"/>
              </w:rPr>
              <w:t>(in £)</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At beginning of year</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141,311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1,172,420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2,288,386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Accretion of discount</w:t>
            </w:r>
          </w:p>
        </w:tc>
        <w:tc>
          <w:tcPr>
            <w:tcW w:w="3900" w:type="dxa"/>
            <w:vAlign w:val="bottom"/>
            <w:gridSpan w:val="2"/>
          </w:tcPr>
          <w:p>
            <w:pPr>
              <w:jc w:val="right"/>
              <w:spacing w:after="0"/>
              <w:rPr>
                <w:sz w:val="20"/>
                <w:szCs w:val="20"/>
                <w:color w:val="auto"/>
              </w:rPr>
            </w:pPr>
            <w:r>
              <w:rPr>
                <w:rFonts w:ascii="Arial" w:cs="Arial" w:eastAsia="Arial" w:hAnsi="Arial"/>
                <w:sz w:val="17"/>
                <w:szCs w:val="17"/>
                <w:color w:val="auto"/>
              </w:rPr>
              <w:t>7,293</w:t>
            </w:r>
          </w:p>
        </w:tc>
        <w:tc>
          <w:tcPr>
            <w:tcW w:w="34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Arising during the year</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1,084,181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1,115,966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Released</w:t>
            </w:r>
          </w:p>
        </w:tc>
        <w:tc>
          <w:tcPr>
            <w:tcW w:w="3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7"/>
                <w:szCs w:val="17"/>
                <w:color w:val="auto"/>
              </w:rPr>
              <w:t>(60,365)</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(1,446,019)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At December 31</w:t>
            </w:r>
          </w:p>
        </w:tc>
        <w:tc>
          <w:tcPr>
            <w:tcW w:w="314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1,172,420</w:t>
            </w:r>
          </w:p>
        </w:tc>
        <w:tc>
          <w:tcPr>
            <w:tcW w:w="34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2,288,386</w:t>
            </w: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842,367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gridSpan w:val="2"/>
            <w:vMerge w:val="restart"/>
          </w:tcPr>
          <w:p>
            <w:pPr>
              <w:spacing w:after="0"/>
              <w:rPr>
                <w:sz w:val="20"/>
                <w:szCs w:val="20"/>
                <w:color w:val="auto"/>
              </w:rPr>
            </w:pPr>
            <w:r>
              <w:rPr>
                <w:rFonts w:ascii="Arial" w:cs="Arial" w:eastAsia="Arial" w:hAnsi="Arial"/>
                <w:sz w:val="17"/>
                <w:szCs w:val="17"/>
                <w:color w:val="auto"/>
              </w:rPr>
              <w:t>Current</w:t>
            </w:r>
          </w:p>
        </w:tc>
        <w:tc>
          <w:tcPr>
            <w:tcW w:w="3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80" w:type="dxa"/>
            <w:vAlign w:val="bottom"/>
            <w:gridSpan w:val="2"/>
            <w:vMerge w:val="continue"/>
          </w:tcPr>
          <w:p>
            <w:pPr>
              <w:spacing w:after="0"/>
              <w:rPr>
                <w:sz w:val="17"/>
                <w:szCs w:val="17"/>
                <w:color w:val="auto"/>
              </w:rPr>
            </w:pPr>
          </w:p>
        </w:tc>
        <w:tc>
          <w:tcPr>
            <w:tcW w:w="314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8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Non-current</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1,172,420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2,288,386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842,367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(see Note 25) the liability has been classified as non-current. The provision has been discounted. The negative charge in 2018 is due to the fall in the Company’s share price between December 31, 2017 and December 31, 2018.</w:t>
      </w:r>
    </w:p>
    <w:p>
      <w:pPr>
        <w:spacing w:after="0" w:line="196"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Provisions for deferred cash consideration</w:t>
            </w: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860" w:type="dxa"/>
            <w:vAlign w:val="bottom"/>
            <w:gridSpan w:val="3"/>
            <w:vMerge w:val="continue"/>
          </w:tcPr>
          <w:p>
            <w:pPr>
              <w:spacing w:after="0"/>
              <w:rPr>
                <w:sz w:val="11"/>
                <w:szCs w:val="11"/>
                <w:color w:val="auto"/>
              </w:rPr>
            </w:pPr>
          </w:p>
        </w:tc>
        <w:tc>
          <w:tcPr>
            <w:tcW w:w="680" w:type="dxa"/>
            <w:vAlign w:val="bottom"/>
          </w:tcPr>
          <w:p>
            <w:pPr>
              <w:ind w:left="220"/>
              <w:spacing w:after="0" w:line="123" w:lineRule="exact"/>
              <w:rPr>
                <w:sz w:val="20"/>
                <w:szCs w:val="20"/>
                <w:color w:val="auto"/>
              </w:rPr>
            </w:pPr>
            <w:r>
              <w:rPr>
                <w:rFonts w:ascii="Arial" w:cs="Arial" w:eastAsia="Arial" w:hAnsi="Arial"/>
                <w:sz w:val="14"/>
                <w:szCs w:val="14"/>
                <w:b w:val="1"/>
                <w:bCs w:val="1"/>
                <w:color w:val="auto"/>
              </w:rPr>
              <w:t>2016</w:t>
            </w:r>
          </w:p>
        </w:tc>
        <w:tc>
          <w:tcPr>
            <w:tcW w:w="1140" w:type="dxa"/>
            <w:vAlign w:val="bottom"/>
            <w:gridSpan w:val="3"/>
          </w:tcPr>
          <w:p>
            <w:pPr>
              <w:jc w:val="center"/>
              <w:ind w:left="281"/>
              <w:spacing w:after="0" w:line="123" w:lineRule="exact"/>
              <w:rPr>
                <w:sz w:val="20"/>
                <w:szCs w:val="20"/>
                <w:color w:val="auto"/>
              </w:rPr>
            </w:pPr>
            <w:r>
              <w:rPr>
                <w:rFonts w:ascii="Arial" w:cs="Arial" w:eastAsia="Arial" w:hAnsi="Arial"/>
                <w:sz w:val="14"/>
                <w:szCs w:val="14"/>
                <w:b w:val="1"/>
                <w:bCs w:val="1"/>
                <w:color w:val="auto"/>
                <w:w w:val="83"/>
              </w:rPr>
              <w:t>2017</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96"/>
              <w:spacing w:after="0" w:line="12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c>
          <w:tcPr>
            <w:tcW w:w="33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ind w:right="360"/>
              <w:spacing w:after="0" w:line="143" w:lineRule="exact"/>
              <w:rPr>
                <w:sz w:val="20"/>
                <w:szCs w:val="20"/>
                <w:color w:val="auto"/>
              </w:rPr>
            </w:pPr>
            <w:r>
              <w:rPr>
                <w:rFonts w:ascii="Arial" w:cs="Arial" w:eastAsia="Arial" w:hAnsi="Arial"/>
                <w:sz w:val="14"/>
                <w:szCs w:val="14"/>
                <w:b w:val="1"/>
                <w:bCs w:val="1"/>
                <w:color w:val="auto"/>
                <w:w w:val="89"/>
              </w:rPr>
              <w:t>(in £)</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 beginning of year</w:t>
            </w:r>
          </w:p>
        </w:tc>
        <w:tc>
          <w:tcPr>
            <w:tcW w:w="6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2,061,000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7"/>
                <w:szCs w:val="17"/>
                <w:color w:val="auto"/>
              </w:rPr>
              <w:t>Arising during the year</w:t>
            </w:r>
          </w:p>
        </w:tc>
        <w:tc>
          <w:tcPr>
            <w:tcW w:w="680" w:type="dxa"/>
            <w:vAlign w:val="bottom"/>
          </w:tcPr>
          <w:p>
            <w:pPr>
              <w:ind w:left="48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2,061,000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 in provision due to the unwinding of the time value of money</w:t>
            </w:r>
          </w:p>
        </w:tc>
        <w:tc>
          <w:tcPr>
            <w:tcW w:w="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60" w:type="dxa"/>
            <w:vAlign w:val="bottom"/>
            <w:gridSpan w:val="3"/>
          </w:tcPr>
          <w:p>
            <w:pPr>
              <w:spacing w:after="0"/>
              <w:rPr>
                <w:sz w:val="20"/>
                <w:szCs w:val="20"/>
                <w:color w:val="auto"/>
              </w:rPr>
            </w:pPr>
            <w:r>
              <w:rPr>
                <w:rFonts w:ascii="Arial" w:cs="Arial" w:eastAsia="Arial" w:hAnsi="Arial"/>
                <w:sz w:val="17"/>
                <w:szCs w:val="17"/>
                <w:color w:val="auto"/>
              </w:rPr>
              <w:t>Decrease in provision due to a change in estimates relating to timelines and</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(373,000)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gridSpan w:val="2"/>
          </w:tcPr>
          <w:p>
            <w:pPr>
              <w:ind w:left="160"/>
              <w:spacing w:after="0"/>
              <w:rPr>
                <w:sz w:val="20"/>
                <w:szCs w:val="20"/>
                <w:color w:val="auto"/>
              </w:rPr>
            </w:pPr>
            <w:r>
              <w:rPr>
                <w:rFonts w:ascii="Arial" w:cs="Arial" w:eastAsia="Arial" w:hAnsi="Arial"/>
                <w:sz w:val="17"/>
                <w:szCs w:val="17"/>
                <w:color w:val="auto"/>
              </w:rPr>
              <w:t>probabilities of contractual milestones being achieved (see Note 12)</w:t>
            </w:r>
          </w:p>
        </w:tc>
        <w:tc>
          <w:tcPr>
            <w:tcW w:w="680" w:type="dxa"/>
            <w:vAlign w:val="bottom"/>
          </w:tcPr>
          <w:p>
            <w:pPr>
              <w:ind w:left="4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ind w:left="4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 December 31</w:t>
            </w: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2,061,000</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2,131,000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7"/>
                <w:szCs w:val="17"/>
                <w:color w:val="auto"/>
              </w:rPr>
              <w:t>Current</w:t>
            </w: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860" w:type="dxa"/>
            <w:vAlign w:val="bottom"/>
            <w:gridSpan w:val="3"/>
            <w:vMerge w:val="continue"/>
          </w:tcPr>
          <w:p>
            <w:pPr>
              <w:spacing w:after="0"/>
              <w:rPr>
                <w:sz w:val="17"/>
                <w:szCs w:val="17"/>
                <w:color w:val="auto"/>
              </w:rPr>
            </w:pPr>
          </w:p>
        </w:tc>
        <w:tc>
          <w:tcPr>
            <w:tcW w:w="680" w:type="dxa"/>
            <w:vAlign w:val="bottom"/>
          </w:tcPr>
          <w:p>
            <w:pPr>
              <w:ind w:left="48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274,000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332,014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Non-current</w:t>
            </w:r>
          </w:p>
        </w:tc>
        <w:tc>
          <w:tcPr>
            <w:tcW w:w="6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1,787,000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1,798,986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right="240" w:firstLine="423"/>
        <w:spacing w:after="0" w:line="285" w:lineRule="auto"/>
        <w:rPr>
          <w:sz w:val="20"/>
          <w:szCs w:val="20"/>
          <w:color w:val="auto"/>
        </w:rPr>
      </w:pPr>
      <w:r>
        <w:rPr>
          <w:rFonts w:ascii="Arial" w:cs="Arial" w:eastAsia="Arial" w:hAnsi="Arial"/>
          <w:sz w:val="16"/>
          <w:szCs w:val="16"/>
          <w:color w:val="auto"/>
        </w:rPr>
        <w:t>The deferred cash consideration is the estimate of the quantifiable but not certain future cash payment obligations due to AstraZeneca for the acquisition of certain assets (see Note 12). This liability is calculated as the risk-adjusted net present value of future cash payments to be made by the Group. The payments are dependent on reaching certain milestones based on the commencement and outcome of clinical trials. The likelihood of achieving such milestones is reviewed at the balance sheet date and increased or decreased as appropriate.</w:t>
      </w:r>
    </w:p>
    <w:p>
      <w:pPr>
        <w:spacing w:after="0" w:line="9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0980"/>
          </w:cols>
          <w:pgMar w:left="240" w:top="445" w:right="67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20. Warrant liability</w:t>
      </w:r>
    </w:p>
    <w:p>
      <w:pPr>
        <w:spacing w:after="0" w:line="241"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8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5860" w:type="dxa"/>
            <w:vAlign w:val="bottom"/>
          </w:tcPr>
          <w:p>
            <w:pPr>
              <w:spacing w:after="0"/>
              <w:rPr>
                <w:sz w:val="11"/>
                <w:szCs w:val="11"/>
                <w:color w:val="auto"/>
              </w:rPr>
            </w:pPr>
          </w:p>
        </w:tc>
        <w:tc>
          <w:tcPr>
            <w:tcW w:w="680" w:type="dxa"/>
            <w:vAlign w:val="bottom"/>
            <w:tcBorders>
              <w:bottom w:val="single" w:sz="8" w:color="auto"/>
            </w:tcBorders>
          </w:tcPr>
          <w:p>
            <w:pPr>
              <w:ind w:left="220"/>
              <w:spacing w:after="0" w:line="135"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gridSpan w:val="3"/>
          </w:tcPr>
          <w:p>
            <w:pPr>
              <w:jc w:val="center"/>
              <w:ind w:left="285"/>
              <w:spacing w:after="0" w:line="135" w:lineRule="exact"/>
              <w:rPr>
                <w:sz w:val="20"/>
                <w:szCs w:val="20"/>
                <w:color w:val="auto"/>
              </w:rPr>
            </w:pPr>
            <w:r>
              <w:rPr>
                <w:rFonts w:ascii="Arial" w:cs="Arial" w:eastAsia="Arial" w:hAnsi="Arial"/>
                <w:sz w:val="14"/>
                <w:szCs w:val="14"/>
                <w:b w:val="1"/>
                <w:bCs w:val="1"/>
                <w:color w:val="auto"/>
                <w:w w:val="83"/>
              </w:rPr>
              <w:t>2017</w:t>
            </w: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7"/>
              <w:spacing w:after="0" w:line="13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r>
      <w:tr>
        <w:trPr>
          <w:trHeight w:val="135"/>
        </w:trPr>
        <w:tc>
          <w:tcPr>
            <w:tcW w:w="5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(in £)</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At beginning of year</w:t>
            </w:r>
          </w:p>
        </w:tc>
        <w:tc>
          <w:tcPr>
            <w:tcW w:w="6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1,346,484</w:t>
            </w:r>
          </w:p>
        </w:tc>
        <w:tc>
          <w:tcPr>
            <w:tcW w:w="100" w:type="dxa"/>
            <w:vAlign w:val="bottom"/>
            <w:shd w:val="clear" w:color="auto" w:fill="CCEEFF"/>
          </w:tcPr>
          <w:p>
            <w:pPr>
              <w:spacing w:after="0"/>
              <w:rPr>
                <w:sz w:val="18"/>
                <w:szCs w:val="18"/>
                <w:color w:val="auto"/>
              </w:rPr>
            </w:pP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Arising during the year</w:t>
            </w:r>
          </w:p>
        </w:tc>
        <w:tc>
          <w:tcPr>
            <w:tcW w:w="680" w:type="dxa"/>
            <w:vAlign w:val="bottom"/>
          </w:tcPr>
          <w:p>
            <w:pPr>
              <w:ind w:left="480"/>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1,292,011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375,343</w:t>
            </w:r>
          </w:p>
        </w:tc>
        <w:tc>
          <w:tcPr>
            <w:tcW w:w="100" w:type="dxa"/>
            <w:vAlign w:val="bottom"/>
          </w:tcPr>
          <w:p>
            <w:pPr>
              <w:spacing w:after="0"/>
              <w:rPr>
                <w:sz w:val="18"/>
                <w:szCs w:val="18"/>
                <w:color w:val="auto"/>
              </w:rPr>
            </w:pP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Movement during the year</w:t>
            </w:r>
          </w:p>
        </w:tc>
        <w:tc>
          <w:tcPr>
            <w:tcW w:w="6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54,473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(716,214)</w:t>
            </w:r>
          </w:p>
        </w:tc>
      </w:tr>
      <w:tr>
        <w:trPr>
          <w:trHeight w:val="213"/>
        </w:trPr>
        <w:tc>
          <w:tcPr>
            <w:tcW w:w="5860" w:type="dxa"/>
            <w:vAlign w:val="bottom"/>
          </w:tcPr>
          <w:p>
            <w:pPr>
              <w:spacing w:after="0"/>
              <w:rPr>
                <w:sz w:val="20"/>
                <w:szCs w:val="20"/>
                <w:color w:val="auto"/>
              </w:rPr>
            </w:pPr>
            <w:r>
              <w:rPr>
                <w:rFonts w:ascii="Arial" w:cs="Arial" w:eastAsia="Arial" w:hAnsi="Arial"/>
                <w:sz w:val="17"/>
                <w:szCs w:val="17"/>
                <w:color w:val="auto"/>
              </w:rPr>
              <w:t>At December 31</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1,346,484</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1,005,613</w:t>
            </w:r>
          </w:p>
        </w:tc>
        <w:tc>
          <w:tcPr>
            <w:tcW w:w="1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right="260" w:firstLine="423"/>
        <w:spacing w:after="0" w:line="281" w:lineRule="auto"/>
        <w:rPr>
          <w:sz w:val="20"/>
          <w:szCs w:val="20"/>
          <w:color w:val="auto"/>
        </w:rPr>
      </w:pPr>
      <w:r>
        <w:rPr>
          <w:rFonts w:ascii="Arial" w:cs="Arial" w:eastAsia="Arial" w:hAnsi="Arial"/>
          <w:sz w:val="16"/>
          <w:szCs w:val="16"/>
          <w:color w:val="auto"/>
        </w:rPr>
        <w:t>As part of the bank loan facility (see Note 18b), 363,156 warrants to subscribe for shares were issued to the lenders on August 21, 2017. These warrants will be capable of exercise until August 7, 2027 at an exercise price of £3.029. A further 333,334 warrants were issued to the lenders on December 29, 2017. These warrants will be capable of exercise until August 7, 2027 at an exercise price of £3.30. A further 225,974 warrants were issued to the lenders on October 1, 2018. These warrants will be capable of exercise until October 1, 2028 at an exercise price of £2.31. The total of 922,464 warrants is equivalent to 1.30% of ordinary share capital at December 31, 2018.</w:t>
      </w:r>
    </w:p>
    <w:p>
      <w:pPr>
        <w:spacing w:after="0" w:line="166" w:lineRule="exact"/>
        <w:rPr>
          <w:sz w:val="20"/>
          <w:szCs w:val="20"/>
          <w:color w:val="auto"/>
        </w:rPr>
      </w:pPr>
    </w:p>
    <w:p>
      <w:pPr>
        <w:ind w:left="440" w:right="20" w:firstLine="423"/>
        <w:spacing w:after="0" w:line="321" w:lineRule="auto"/>
        <w:rPr>
          <w:sz w:val="20"/>
          <w:szCs w:val="20"/>
          <w:color w:val="auto"/>
        </w:rPr>
      </w:pPr>
      <w:r>
        <w:rPr>
          <w:rFonts w:ascii="Arial" w:cs="Arial" w:eastAsia="Arial" w:hAnsi="Arial"/>
          <w:sz w:val="15"/>
          <w:szCs w:val="15"/>
          <w:color w:val="auto"/>
        </w:rPr>
        <w:t>The terms of the warrant instrument allow for a cashless exercise. In line with IAS 32, the future number of shares to be issued to the warrant holder under a cashless exercise can only be determined at that future date. At each balance sheet date, the fair value of the warrants will be assessed using the Black Scholes model taking into account appropriate amendments to inputs in respect of volatility and remaining expected life of the warrants.</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following table lists the weighted average inputs to the models used for the fair value of warrants granted during the year ended December 31:</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5620" w:type="dxa"/>
            <w:vAlign w:val="bottom"/>
          </w:tcPr>
          <w:p>
            <w:pPr>
              <w:spacing w:after="0"/>
              <w:rPr>
                <w:sz w:val="14"/>
                <w:szCs w:val="14"/>
                <w:color w:val="auto"/>
              </w:rPr>
            </w:pPr>
          </w:p>
        </w:tc>
        <w:tc>
          <w:tcPr>
            <w:tcW w:w="240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35"/>
        </w:trPr>
        <w:tc>
          <w:tcPr>
            <w:tcW w:w="5620" w:type="dxa"/>
            <w:vAlign w:val="bottom"/>
          </w:tcPr>
          <w:p>
            <w:pPr>
              <w:spacing w:after="0"/>
              <w:rPr>
                <w:sz w:val="11"/>
                <w:szCs w:val="11"/>
                <w:color w:val="auto"/>
              </w:rPr>
            </w:pPr>
          </w:p>
        </w:tc>
        <w:tc>
          <w:tcPr>
            <w:tcW w:w="1360" w:type="dxa"/>
            <w:vAlign w:val="bottom"/>
            <w:tcBorders>
              <w:top w:val="single" w:sz="8" w:color="auto"/>
              <w:bottom w:val="single" w:sz="8" w:color="auto"/>
            </w:tcBorders>
          </w:tcPr>
          <w:p>
            <w:pPr>
              <w:jc w:val="right"/>
              <w:ind w:right="620"/>
              <w:spacing w:after="0" w:line="135"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top w:val="single" w:sz="8" w:color="auto"/>
              <w:bottom w:val="single" w:sz="8" w:color="auto"/>
            </w:tcBorders>
          </w:tcPr>
          <w:p>
            <w:pPr>
              <w:jc w:val="right"/>
              <w:ind w:right="297"/>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r>
      <w:tr>
        <w:trPr>
          <w:trHeight w:val="135"/>
        </w:trPr>
        <w:tc>
          <w:tcPr>
            <w:tcW w:w="5620" w:type="dxa"/>
            <w:vAlign w:val="bottom"/>
          </w:tcPr>
          <w:p>
            <w:pPr>
              <w:spacing w:after="0"/>
              <w:rPr>
                <w:sz w:val="11"/>
                <w:szCs w:val="11"/>
                <w:color w:val="auto"/>
              </w:rPr>
            </w:pPr>
          </w:p>
        </w:tc>
        <w:tc>
          <w:tcPr>
            <w:tcW w:w="13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(in £)</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 (%)</w:t>
            </w:r>
          </w:p>
        </w:tc>
        <w:tc>
          <w:tcPr>
            <w:tcW w:w="1360" w:type="dxa"/>
            <w:vAlign w:val="bottom"/>
            <w:shd w:val="clear" w:color="auto" w:fill="CCEEFF"/>
          </w:tcPr>
          <w:p>
            <w:pPr>
              <w:jc w:val="right"/>
              <w:ind w:right="240"/>
              <w:spacing w:after="0"/>
              <w:rPr>
                <w:sz w:val="20"/>
                <w:szCs w:val="20"/>
                <w:color w:val="auto"/>
              </w:rPr>
            </w:pPr>
            <w:r>
              <w:rPr>
                <w:rFonts w:ascii="Arial" w:cs="Arial" w:eastAsia="Arial" w:hAnsi="Arial"/>
                <w:sz w:val="17"/>
                <w:szCs w:val="17"/>
                <w:color w:val="auto"/>
              </w:rPr>
              <w:t>50–51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w:t>
            </w:r>
          </w:p>
        </w:tc>
      </w:tr>
      <w:tr>
        <w:trPr>
          <w:trHeight w:val="207"/>
        </w:trPr>
        <w:tc>
          <w:tcPr>
            <w:tcW w:w="5620" w:type="dxa"/>
            <w:vAlign w:val="bottom"/>
          </w:tcPr>
          <w:p>
            <w:pPr>
              <w:spacing w:after="0"/>
              <w:rPr>
                <w:sz w:val="20"/>
                <w:szCs w:val="20"/>
                <w:color w:val="auto"/>
              </w:rPr>
            </w:pPr>
            <w:r>
              <w:rPr>
                <w:rFonts w:ascii="Arial" w:cs="Arial" w:eastAsia="Arial" w:hAnsi="Arial"/>
                <w:sz w:val="17"/>
                <w:szCs w:val="17"/>
                <w:color w:val="auto"/>
              </w:rPr>
              <w:t>Risk-free interest rate (%)</w:t>
            </w:r>
          </w:p>
        </w:tc>
        <w:tc>
          <w:tcPr>
            <w:tcW w:w="1360" w:type="dxa"/>
            <w:vAlign w:val="bottom"/>
          </w:tcPr>
          <w:p>
            <w:pPr>
              <w:jc w:val="right"/>
              <w:ind w:right="240"/>
              <w:spacing w:after="0"/>
              <w:rPr>
                <w:sz w:val="20"/>
                <w:szCs w:val="20"/>
                <w:color w:val="auto"/>
              </w:rPr>
            </w:pPr>
            <w:r>
              <w:rPr>
                <w:rFonts w:ascii="Arial" w:cs="Arial" w:eastAsia="Arial" w:hAnsi="Arial"/>
                <w:sz w:val="17"/>
                <w:szCs w:val="17"/>
                <w:color w:val="auto"/>
              </w:rPr>
              <w:t>1.10–1.25</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1.56</w:t>
            </w:r>
          </w:p>
        </w:tc>
      </w:t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Expected life of share options (years)</w:t>
            </w:r>
          </w:p>
        </w:tc>
        <w:tc>
          <w:tcPr>
            <w:tcW w:w="1360" w:type="dxa"/>
            <w:vAlign w:val="bottom"/>
            <w:shd w:val="clear" w:color="auto" w:fill="CCEEFF"/>
          </w:tcPr>
          <w:p>
            <w:pPr>
              <w:jc w:val="right"/>
              <w:ind w:right="240"/>
              <w:spacing w:after="0"/>
              <w:rPr>
                <w:sz w:val="20"/>
                <w:szCs w:val="20"/>
                <w:color w:val="auto"/>
              </w:rPr>
            </w:pPr>
            <w:r>
              <w:rPr>
                <w:rFonts w:ascii="Arial" w:cs="Arial" w:eastAsia="Arial" w:hAnsi="Arial"/>
                <w:sz w:val="17"/>
                <w:szCs w:val="17"/>
                <w:color w:val="auto"/>
              </w:rPr>
              <w:t>9.6–10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207"/>
        </w:trPr>
        <w:tc>
          <w:tcPr>
            <w:tcW w:w="5620" w:type="dxa"/>
            <w:vAlign w:val="bottom"/>
          </w:tcPr>
          <w:p>
            <w:pPr>
              <w:spacing w:after="0"/>
              <w:rPr>
                <w:sz w:val="20"/>
                <w:szCs w:val="20"/>
                <w:color w:val="auto"/>
              </w:rPr>
            </w:pPr>
            <w:r>
              <w:rPr>
                <w:rFonts w:ascii="Arial" w:cs="Arial" w:eastAsia="Arial" w:hAnsi="Arial"/>
                <w:sz w:val="17"/>
                <w:szCs w:val="17"/>
                <w:color w:val="auto"/>
              </w:rPr>
              <w:t>Market price of ordinary shares (£)</w:t>
            </w:r>
          </w:p>
        </w:tc>
        <w:tc>
          <w:tcPr>
            <w:tcW w:w="1360" w:type="dxa"/>
            <w:vAlign w:val="bottom"/>
          </w:tcPr>
          <w:p>
            <w:pPr>
              <w:jc w:val="right"/>
              <w:ind w:right="240"/>
              <w:spacing w:after="0"/>
              <w:rPr>
                <w:sz w:val="20"/>
                <w:szCs w:val="20"/>
                <w:color w:val="auto"/>
              </w:rPr>
            </w:pPr>
            <w:r>
              <w:rPr>
                <w:rFonts w:ascii="Arial" w:cs="Arial" w:eastAsia="Arial" w:hAnsi="Arial"/>
                <w:sz w:val="17"/>
                <w:szCs w:val="17"/>
                <w:color w:val="auto"/>
              </w:rPr>
              <w:t>3.00–3.25</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2.31</w:t>
            </w:r>
          </w:p>
        </w:tc>
      </w:t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Model used</w:t>
            </w:r>
          </w:p>
        </w:tc>
        <w:tc>
          <w:tcPr>
            <w:tcW w:w="1360" w:type="dxa"/>
            <w:vAlign w:val="bottom"/>
            <w:shd w:val="clear" w:color="auto" w:fill="CCEEFF"/>
          </w:tcPr>
          <w:p>
            <w:pPr>
              <w:jc w:val="right"/>
              <w:ind w:right="240"/>
              <w:spacing w:after="0"/>
              <w:rPr>
                <w:sz w:val="20"/>
                <w:szCs w:val="20"/>
                <w:color w:val="auto"/>
              </w:rPr>
            </w:pPr>
            <w:r>
              <w:rPr>
                <w:rFonts w:ascii="Arial" w:cs="Arial" w:eastAsia="Arial" w:hAnsi="Arial"/>
                <w:sz w:val="17"/>
                <w:szCs w:val="17"/>
                <w:color w:val="auto"/>
                <w:w w:val="95"/>
              </w:rPr>
              <w:t>Black Scholes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3"/>
              </w:rPr>
              <w:t>Black Scholes</w:t>
            </w:r>
          </w:p>
        </w:tc>
      </w:tr>
    </w:tbl>
    <w:p>
      <w:pPr>
        <w:spacing w:after="0" w:line="19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fair value of the warrants at grant was £1,667,353. At December 31, 2018 it was £1,005,612 (2017: £1,346,484).</w:t>
      </w:r>
    </w:p>
    <w:p>
      <w:pPr>
        <w:spacing w:after="0" w:line="219" w:lineRule="exact"/>
        <w:rPr>
          <w:sz w:val="20"/>
          <w:szCs w:val="20"/>
          <w:color w:val="auto"/>
        </w:rPr>
      </w:pPr>
    </w:p>
    <w:p>
      <w:pPr>
        <w:ind w:left="440" w:right="500" w:firstLine="423"/>
        <w:spacing w:after="0" w:line="284" w:lineRule="auto"/>
        <w:rPr>
          <w:sz w:val="20"/>
          <w:szCs w:val="20"/>
          <w:color w:val="auto"/>
        </w:rPr>
      </w:pPr>
      <w:r>
        <w:rPr>
          <w:rFonts w:ascii="Arial" w:cs="Arial" w:eastAsia="Arial" w:hAnsi="Arial"/>
          <w:sz w:val="17"/>
          <w:szCs w:val="17"/>
          <w:color w:val="auto"/>
        </w:rPr>
        <w:t>Since there is no historical data in relation to the expected life of the warrants, the contractual life of the options was used in calculating the expense for the year.</w:t>
      </w:r>
    </w:p>
    <w:p>
      <w:pPr>
        <w:spacing w:after="0" w:line="159" w:lineRule="exact"/>
        <w:rPr>
          <w:sz w:val="20"/>
          <w:szCs w:val="20"/>
          <w:color w:val="auto"/>
        </w:rPr>
      </w:pPr>
    </w:p>
    <w:p>
      <w:pPr>
        <w:ind w:left="440" w:right="520" w:firstLine="423"/>
        <w:spacing w:after="0" w:line="284" w:lineRule="auto"/>
        <w:rPr>
          <w:sz w:val="20"/>
          <w:szCs w:val="20"/>
          <w:color w:val="auto"/>
        </w:rPr>
      </w:pPr>
      <w:r>
        <w:rPr>
          <w:rFonts w:ascii="Arial" w:cs="Arial" w:eastAsia="Arial" w:hAnsi="Arial"/>
          <w:sz w:val="17"/>
          <w:szCs w:val="17"/>
          <w:color w:val="auto"/>
        </w:rPr>
        <w:t>Volatility was estimated by reference to the share price volatility of a group of comparable companies over a retrospective year equal to the expected life of the warrants.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21. Other liability</w:t>
      </w:r>
    </w:p>
    <w:p>
      <w:pPr>
        <w:spacing w:after="0" w:line="222"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Year ended</w:t>
            </w:r>
          </w:p>
        </w:tc>
      </w:tr>
      <w:tr>
        <w:trPr>
          <w:trHeight w:val="165"/>
        </w:trPr>
        <w:tc>
          <w:tcPr>
            <w:tcW w:w="636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r>
      <w:tr>
        <w:trPr>
          <w:trHeight w:val="135"/>
        </w:trPr>
        <w:tc>
          <w:tcPr>
            <w:tcW w:w="636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1"/>
                <w:szCs w:val="11"/>
                <w:color w:val="auto"/>
              </w:rPr>
            </w:pPr>
          </w:p>
        </w:tc>
      </w:tr>
      <w:tr>
        <w:trPr>
          <w:trHeight w:val="135"/>
        </w:trPr>
        <w:tc>
          <w:tcPr>
            <w:tcW w:w="63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(in £)</w:t>
            </w:r>
          </w:p>
        </w:tc>
        <w:tc>
          <w:tcPr>
            <w:tcW w:w="60" w:type="dxa"/>
            <w:vAlign w:val="bottom"/>
          </w:tcPr>
          <w:p>
            <w:pPr>
              <w:spacing w:after="0"/>
              <w:rPr>
                <w:sz w:val="11"/>
                <w:szCs w:val="11"/>
                <w:color w:val="auto"/>
              </w:rPr>
            </w:pPr>
          </w:p>
        </w:tc>
      </w:tr>
      <w:tr>
        <w:trPr>
          <w:trHeight w:val="207"/>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At beginning of year</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r>
      <w:tr>
        <w:trPr>
          <w:trHeight w:val="207"/>
        </w:trPr>
        <w:tc>
          <w:tcPr>
            <w:tcW w:w="6360" w:type="dxa"/>
            <w:vAlign w:val="bottom"/>
          </w:tcPr>
          <w:p>
            <w:pPr>
              <w:spacing w:after="0"/>
              <w:rPr>
                <w:sz w:val="20"/>
                <w:szCs w:val="20"/>
                <w:color w:val="auto"/>
              </w:rPr>
            </w:pPr>
            <w:r>
              <w:rPr>
                <w:rFonts w:ascii="Arial" w:cs="Arial" w:eastAsia="Arial" w:hAnsi="Arial"/>
                <w:sz w:val="17"/>
                <w:szCs w:val="17"/>
                <w:color w:val="auto"/>
              </w:rPr>
              <w:t>Arising during the year</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34,289</w:t>
            </w:r>
          </w:p>
        </w:tc>
      </w:tr>
      <w:tr>
        <w:trPr>
          <w:trHeight w:val="26"/>
        </w:trPr>
        <w:tc>
          <w:tcPr>
            <w:tcW w:w="6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7"/>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At December 31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34,289</w:t>
            </w:r>
          </w:p>
        </w:tc>
      </w:tr>
      <w:tr>
        <w:trPr>
          <w:trHeight w:val="20"/>
        </w:trPr>
        <w:tc>
          <w:tcPr>
            <w:tcW w:w="6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7"/>
          <w:szCs w:val="17"/>
          <w:color w:val="auto"/>
        </w:rPr>
        <w:t>On October 8, 2018, the Group entered into a funding agreement with The Alpha-1 Project (“TAP”), which provides for total potential payments to Mereo of $400,000 as contributions towards the development of MPH-966 upon completion of certain milestones by the Group. In exchange, on receipt of such funding, the Group will issue warrants allowing TAP to subscribe for shares in the company (see Note 17). Under the agreement, TAP is potentially entitled to receive a payment equivalent to amounts received by Mereo (up to a maximum of $400,000) conditional on and within thirty days of the first regulatory approval received by the Group for MPH-966.</w:t>
      </w:r>
    </w:p>
    <w:p>
      <w:pPr>
        <w:spacing w:after="0" w:line="11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980"/>
          </w:cols>
          <w:pgMar w:left="240" w:top="445" w:right="67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200" w:firstLine="423"/>
        <w:spacing w:after="0" w:line="310" w:lineRule="auto"/>
        <w:rPr>
          <w:sz w:val="20"/>
          <w:szCs w:val="20"/>
          <w:color w:val="auto"/>
        </w:rPr>
      </w:pPr>
      <w:r>
        <w:rPr>
          <w:rFonts w:ascii="Arial" w:cs="Arial" w:eastAsia="Arial" w:hAnsi="Arial"/>
          <w:sz w:val="15"/>
          <w:szCs w:val="15"/>
          <w:color w:val="auto"/>
        </w:rPr>
        <w:t>The first payment (“Payment 1”) of $100,000 (£78,445) was made to Mereo on November 16, 2018. The fair value of the liability of Payment 1 on November 16, 2018 was £34,289. Application of the effective interest method is required to accrete the initial liability value up to the face value of the liability over a period of five years, being the estimate of the earliest date that the liability could be repaid and assuming that the agreement is not terminated earlier. This non-cash interest charge will be made in each statutory reporting period. The annual value of this interest charge is 25.8%.</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fair value of warrants issued as part of Payment 1 on November 16, 2018 was £44,156.</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total carrying value of the liability at December 31, 2018 was £34,289. £34,289 is a non-current liability.</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22. Trade and other payables</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6180" w:type="dxa"/>
            <w:vAlign w:val="bottom"/>
          </w:tcPr>
          <w:p>
            <w:pPr>
              <w:spacing w:after="0"/>
              <w:rPr>
                <w:sz w:val="14"/>
                <w:szCs w:val="14"/>
                <w:color w:val="auto"/>
              </w:rPr>
            </w:pPr>
          </w:p>
        </w:tc>
        <w:tc>
          <w:tcPr>
            <w:tcW w:w="1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r>
      <w:tr>
        <w:trPr>
          <w:trHeight w:val="135"/>
        </w:trPr>
        <w:tc>
          <w:tcPr>
            <w:tcW w:w="61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161"/>
              <w:spacing w:after="0" w:line="13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r>
      <w:tr>
        <w:trPr>
          <w:trHeight w:val="135"/>
        </w:trPr>
        <w:tc>
          <w:tcPr>
            <w:tcW w:w="6180" w:type="dxa"/>
            <w:vAlign w:val="bottom"/>
          </w:tcPr>
          <w:p>
            <w:pPr>
              <w:spacing w:after="0"/>
              <w:rPr>
                <w:sz w:val="11"/>
                <w:szCs w:val="11"/>
                <w:color w:val="auto"/>
              </w:rPr>
            </w:pPr>
          </w:p>
        </w:tc>
        <w:tc>
          <w:tcPr>
            <w:tcW w:w="1080" w:type="dxa"/>
            <w:vAlign w:val="bottom"/>
            <w:gridSpan w:val="3"/>
          </w:tcPr>
          <w:p>
            <w:pPr>
              <w:jc w:val="center"/>
              <w:ind w:left="641"/>
              <w:spacing w:after="0" w:line="135" w:lineRule="exact"/>
              <w:rPr>
                <w:sz w:val="20"/>
                <w:szCs w:val="20"/>
                <w:color w:val="auto"/>
              </w:rPr>
            </w:pPr>
            <w:r>
              <w:rPr>
                <w:rFonts w:ascii="Arial" w:cs="Arial" w:eastAsia="Arial" w:hAnsi="Arial"/>
                <w:sz w:val="14"/>
                <w:szCs w:val="14"/>
                <w:b w:val="1"/>
                <w:bCs w:val="1"/>
                <w:color w:val="auto"/>
                <w:w w:val="95"/>
              </w:rPr>
              <w:t>(in £)</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Trade payables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2,860,303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2"/>
              </w:rPr>
              <w:t>4,392,602</w:t>
            </w:r>
          </w:p>
        </w:tc>
      </w:tr>
      <w:tr>
        <w:trPr>
          <w:trHeight w:val="207"/>
        </w:trPr>
        <w:tc>
          <w:tcPr>
            <w:tcW w:w="6180" w:type="dxa"/>
            <w:vAlign w:val="bottom"/>
          </w:tcPr>
          <w:p>
            <w:pPr>
              <w:spacing w:after="0"/>
              <w:rPr>
                <w:sz w:val="20"/>
                <w:szCs w:val="20"/>
                <w:color w:val="auto"/>
              </w:rPr>
            </w:pPr>
            <w:r>
              <w:rPr>
                <w:rFonts w:ascii="Arial" w:cs="Arial" w:eastAsia="Arial" w:hAnsi="Arial"/>
                <w:sz w:val="17"/>
                <w:szCs w:val="17"/>
                <w:color w:val="auto"/>
              </w:rPr>
              <w:t>Social security and other taxes</w:t>
            </w:r>
          </w:p>
        </w:tc>
        <w:tc>
          <w:tcPr>
            <w:tcW w:w="760" w:type="dxa"/>
            <w:vAlign w:val="bottom"/>
          </w:tcPr>
          <w:p>
            <w:pPr>
              <w:jc w:val="right"/>
              <w:spacing w:after="0"/>
              <w:rPr>
                <w:sz w:val="20"/>
                <w:szCs w:val="20"/>
                <w:color w:val="auto"/>
              </w:rPr>
            </w:pPr>
            <w:r>
              <w:rPr>
                <w:rFonts w:ascii="Arial" w:cs="Arial" w:eastAsia="Arial" w:hAnsi="Arial"/>
                <w:sz w:val="17"/>
                <w:szCs w:val="17"/>
                <w:color w:val="auto"/>
              </w:rPr>
              <w:t>144,348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160,719</w:t>
            </w:r>
          </w:p>
        </w:tc>
      </w:t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Other payables</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19,375</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16,986</w:t>
            </w:r>
          </w:p>
        </w:tc>
      </w:tr>
      <w:tr>
        <w:trPr>
          <w:trHeight w:val="213"/>
        </w:trPr>
        <w:tc>
          <w:tcPr>
            <w:tcW w:w="6180" w:type="dxa"/>
            <w:vAlign w:val="bottom"/>
          </w:tcPr>
          <w:p>
            <w:pPr>
              <w:spacing w:after="0"/>
              <w:rPr>
                <w:sz w:val="20"/>
                <w:szCs w:val="20"/>
                <w:color w:val="auto"/>
              </w:rPr>
            </w:pPr>
            <w:r>
              <w:rPr>
                <w:rFonts w:ascii="Arial" w:cs="Arial" w:eastAsia="Arial" w:hAnsi="Arial"/>
                <w:sz w:val="17"/>
                <w:szCs w:val="17"/>
                <w:color w:val="auto"/>
              </w:rPr>
              <w:t>At December 31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3,024,026</w:t>
            </w:r>
          </w:p>
        </w:tc>
        <w:tc>
          <w:tcPr>
            <w:tcW w:w="2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4,570,307</w:t>
            </w:r>
          </w:p>
        </w:tc>
        <w:tc>
          <w:tcPr>
            <w:tcW w:w="4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Terms and conditions of the above financial liabilities:</w:t>
      </w:r>
    </w:p>
    <w:p>
      <w:pPr>
        <w:spacing w:after="0" w:line="128" w:lineRule="exact"/>
        <w:rPr>
          <w:sz w:val="20"/>
          <w:szCs w:val="20"/>
          <w:color w:val="auto"/>
        </w:rPr>
      </w:pPr>
    </w:p>
    <w:p>
      <w:pPr>
        <w:ind w:left="1260" w:hanging="415"/>
        <w:spacing w:after="0"/>
        <w:tabs>
          <w:tab w:leader="none" w:pos="12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trade payables are non-interest bearing and are normally settled on 30-day terms; and</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other payables are non-interest bearing and have an average term of one month.</w:t>
      </w:r>
    </w:p>
    <w:p>
      <w:pPr>
        <w:spacing w:after="0" w:line="316" w:lineRule="exact"/>
        <w:rPr>
          <w:rFonts w:ascii="Arial" w:cs="Arial" w:eastAsia="Arial" w:hAnsi="Arial"/>
          <w:sz w:val="17"/>
          <w:szCs w:val="17"/>
          <w:color w:val="auto"/>
        </w:rPr>
      </w:pPr>
    </w:p>
    <w:p>
      <w:pPr>
        <w:ind w:left="680" w:hanging="249"/>
        <w:spacing w:after="0"/>
        <w:tabs>
          <w:tab w:leader="none" w:pos="68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Changes in liabilities arising from financing activities</w:t>
      </w:r>
    </w:p>
    <w:p>
      <w:pPr>
        <w:spacing w:after="0" w:line="22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Novartis</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Warrant</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Deferred</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TAP</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Bank loan</w:t>
            </w: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1"/>
              </w:rPr>
              <w:t>cash</w:t>
            </w:r>
          </w:p>
        </w:tc>
        <w:tc>
          <w:tcPr>
            <w:tcW w:w="82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49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notes</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liability</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consideration</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Agreement</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(in £)</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January 1, 2018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3"/>
              </w:rPr>
              <w:t>18,774,924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1,977,393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1,346,484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2,061,000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24,159,801</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7"/>
                <w:szCs w:val="17"/>
                <w:b w:val="1"/>
                <w:bCs w:val="1"/>
                <w:color w:val="auto"/>
              </w:rPr>
              <w:t>Cash</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Net increase in bank loan</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455,000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455,000</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7"/>
                <w:szCs w:val="17"/>
                <w:color w:val="auto"/>
              </w:rPr>
              <w:t>Increase in TAP funding</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200"/>
              <w:spacing w:after="0"/>
              <w:rPr>
                <w:sz w:val="20"/>
                <w:szCs w:val="20"/>
                <w:color w:val="auto"/>
              </w:rPr>
            </w:pPr>
            <w:r>
              <w:rPr>
                <w:rFonts w:ascii="Arial" w:cs="Arial" w:eastAsia="Arial" w:hAnsi="Arial"/>
                <w:sz w:val="17"/>
                <w:szCs w:val="17"/>
                <w:color w:val="auto"/>
              </w:rPr>
              <w:t>34,289</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34,289</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Interest payments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(1,644,610)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(1,644,610)</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7"/>
                <w:szCs w:val="17"/>
                <w:color w:val="auto"/>
              </w:rPr>
              <w:t>Bank loan transaction costs</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(920,859)</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(920,859)</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Non-cash</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7"/>
                <w:szCs w:val="17"/>
                <w:color w:val="auto"/>
              </w:rPr>
              <w:t>Bank modification loss</w:t>
            </w:r>
          </w:p>
        </w:tc>
        <w:tc>
          <w:tcPr>
            <w:tcW w:w="820" w:type="dxa"/>
            <w:vAlign w:val="bottom"/>
          </w:tcPr>
          <w:p>
            <w:pPr>
              <w:jc w:val="right"/>
              <w:spacing w:after="0"/>
              <w:rPr>
                <w:sz w:val="20"/>
                <w:szCs w:val="20"/>
                <w:color w:val="auto"/>
              </w:rPr>
            </w:pPr>
            <w:r>
              <w:rPr>
                <w:rFonts w:ascii="Arial" w:cs="Arial" w:eastAsia="Arial" w:hAnsi="Arial"/>
                <w:sz w:val="17"/>
                <w:szCs w:val="17"/>
                <w:color w:val="auto"/>
              </w:rPr>
              <w:t>730,037</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730,037</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Fair value of additional warrants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(375,344)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70,000</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(305,344)</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7"/>
                <w:szCs w:val="17"/>
                <w:color w:val="auto"/>
              </w:rPr>
              <w:t>Increase in warrant liability</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375,344</w:t>
            </w:r>
          </w:p>
        </w:tc>
        <w:tc>
          <w:tcPr>
            <w:tcW w:w="22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375,344</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Novartis Notes - amounts restated through retained earnings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(123,864)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(123,864)</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7"/>
                <w:szCs w:val="17"/>
                <w:color w:val="auto"/>
              </w:rPr>
              <w:t>Change in fair value warrant</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(716,215)</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(716,215)</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deferred cash consideration</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20"/>
                <w:szCs w:val="20"/>
                <w:color w:val="auto"/>
              </w:rPr>
            </w:pPr>
            <w:r>
              <w:rPr>
                <w:rFonts w:ascii="Arial" w:cs="Arial" w:eastAsia="Arial" w:hAnsi="Arial"/>
                <w:sz w:val="17"/>
                <w:szCs w:val="17"/>
                <w:color w:val="auto"/>
              </w:rPr>
              <w:t>Interest accrual</w:t>
            </w:r>
          </w:p>
        </w:tc>
        <w:tc>
          <w:tcPr>
            <w:tcW w:w="820" w:type="dxa"/>
            <w:vAlign w:val="bottom"/>
          </w:tcPr>
          <w:p>
            <w:pPr>
              <w:jc w:val="right"/>
              <w:spacing w:after="0"/>
              <w:rPr>
                <w:sz w:val="20"/>
                <w:szCs w:val="20"/>
                <w:color w:val="auto"/>
              </w:rPr>
            </w:pPr>
            <w:r>
              <w:rPr>
                <w:rFonts w:ascii="Arial" w:cs="Arial" w:eastAsia="Arial" w:hAnsi="Arial"/>
                <w:sz w:val="17"/>
                <w:szCs w:val="17"/>
                <w:color w:val="auto"/>
              </w:rPr>
              <w:t>1,644,610</w:t>
            </w: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1,644,610</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Accreted interest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781,998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185,352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967,350</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7"/>
                <w:szCs w:val="17"/>
                <w:b w:val="1"/>
                <w:bCs w:val="1"/>
                <w:color w:val="auto"/>
              </w:rPr>
              <w:t>December 31, 2018</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19,445,756</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2,038,881</w:t>
            </w: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1,005,613</w:t>
            </w:r>
          </w:p>
        </w:tc>
        <w:tc>
          <w:tcPr>
            <w:tcW w:w="2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2,131,000</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b w:val="1"/>
                <w:bCs w:val="1"/>
                <w:color w:val="auto"/>
                <w:w w:val="84"/>
              </w:rPr>
              <w:t>34,289</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24,655,539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900" w:type="dxa"/>
            <w:vAlign w:val="bottom"/>
          </w:tcPr>
          <w:p>
            <w:pPr>
              <w:spacing w:after="0"/>
              <w:rPr>
                <w:sz w:val="24"/>
                <w:szCs w:val="2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F-30</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45" w:right="65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24. Financial and capital risk management and fair value measurement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24.1. Capital risk management</w:t>
      </w:r>
    </w:p>
    <w:p>
      <w:pPr>
        <w:spacing w:after="0" w:line="115" w:lineRule="exact"/>
        <w:rPr>
          <w:sz w:val="20"/>
          <w:szCs w:val="20"/>
          <w:color w:val="auto"/>
        </w:rPr>
      </w:pPr>
    </w:p>
    <w:p>
      <w:pPr>
        <w:ind w:left="440" w:right="200" w:firstLine="423"/>
        <w:spacing w:after="0" w:line="284" w:lineRule="auto"/>
        <w:rPr>
          <w:sz w:val="20"/>
          <w:szCs w:val="20"/>
          <w:color w:val="auto"/>
        </w:rPr>
      </w:pPr>
      <w:r>
        <w:rPr>
          <w:rFonts w:ascii="Arial" w:cs="Arial" w:eastAsia="Arial" w:hAnsi="Arial"/>
          <w:sz w:val="17"/>
          <w:szCs w:val="17"/>
          <w:color w:val="auto"/>
        </w:rPr>
        <w:t>For the purpose of the Group’s capital management, capital includes issued capital, share premium, the equity component of a convertible loan note and all other equity reserves attributable to the equity holders of the parent.</w:t>
      </w:r>
    </w:p>
    <w:p>
      <w:pPr>
        <w:spacing w:after="0" w:line="159" w:lineRule="exact"/>
        <w:rPr>
          <w:sz w:val="20"/>
          <w:szCs w:val="20"/>
          <w:color w:val="auto"/>
        </w:rPr>
      </w:pPr>
    </w:p>
    <w:p>
      <w:pPr>
        <w:ind w:left="440" w:firstLine="423"/>
        <w:spacing w:after="0" w:line="279" w:lineRule="auto"/>
        <w:rPr>
          <w:sz w:val="20"/>
          <w:szCs w:val="20"/>
          <w:color w:val="auto"/>
        </w:rPr>
      </w:pPr>
      <w:r>
        <w:rPr>
          <w:rFonts w:ascii="Arial" w:cs="Arial" w:eastAsia="Arial" w:hAnsi="Arial"/>
          <w:sz w:val="16"/>
          <w:szCs w:val="16"/>
          <w:color w:val="auto"/>
        </w:rPr>
        <w:t>The Group’s objectives when managing capital are to safeguard the ability to continue as a going concern and ensure that sufficient capital is in place to fund the Group’s R&amp;D activities. The Group’s principal method of adjusting the capital available is through issuing new shares or arranging suitable debt financing, including any related warrants. The Group’s share capital and share premium are disclosed in Note 17. The Group’s loans are disclosed in Note 18. The Group monitors the availability of capital with regard to its committed and planned forecast future expenditure on an ongoing basis. The Group has set up an Employee Benefit Trust which makes market purchases of the Company’s shares to provide some cover against future exercise of options under the Company’s share option schemes (see Note 27).</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24.2. Financial risk management objectives and policies</w:t>
      </w:r>
    </w:p>
    <w:p>
      <w:pPr>
        <w:spacing w:after="0" w:line="115" w:lineRule="exact"/>
        <w:rPr>
          <w:sz w:val="20"/>
          <w:szCs w:val="20"/>
          <w:color w:val="auto"/>
        </w:rPr>
      </w:pPr>
    </w:p>
    <w:p>
      <w:pPr>
        <w:ind w:left="440" w:right="40" w:firstLine="423"/>
        <w:spacing w:after="0" w:line="279" w:lineRule="auto"/>
        <w:rPr>
          <w:sz w:val="20"/>
          <w:szCs w:val="20"/>
          <w:color w:val="auto"/>
        </w:rPr>
      </w:pPr>
      <w:r>
        <w:rPr>
          <w:rFonts w:ascii="Arial" w:cs="Arial" w:eastAsia="Arial" w:hAnsi="Arial"/>
          <w:sz w:val="16"/>
          <w:szCs w:val="16"/>
          <w:color w:val="auto"/>
        </w:rPr>
        <w:t>Monitoring of financial risk is part of the Board’s ongoing risk management, the effectiveness of which is reviewed annually. Our agreed policies are implemented by the Chief Financial Officer, who submits periodic reports to the Board. The Group seeks to maintain a balance between equity capital and convertible and secured debt to provide sufficient cash resources to execute the business plan. In addition, the Group maintains a balance between cash held on deposit and short-term investments in Sterling and other currencies to reduce its exposure to foreign exchange fluctuations in respect of its planned expenditure. During the year, in order to maintain a strong cash runway the Group completed an equity placing and arranged and drew down a new bank debt facility, which includes an initial interest-only period until September 2018.</w:t>
      </w:r>
    </w:p>
    <w:p>
      <w:pPr>
        <w:spacing w:after="0" w:line="167" w:lineRule="exact"/>
        <w:rPr>
          <w:sz w:val="20"/>
          <w:szCs w:val="20"/>
          <w:color w:val="auto"/>
        </w:rPr>
      </w:pPr>
    </w:p>
    <w:p>
      <w:pPr>
        <w:ind w:left="440" w:right="100" w:firstLine="423"/>
        <w:spacing w:after="0" w:line="264" w:lineRule="auto"/>
        <w:rPr>
          <w:sz w:val="20"/>
          <w:szCs w:val="20"/>
          <w:color w:val="auto"/>
        </w:rPr>
      </w:pPr>
      <w:r>
        <w:rPr>
          <w:rFonts w:ascii="Arial" w:cs="Arial" w:eastAsia="Arial" w:hAnsi="Arial"/>
          <w:sz w:val="17"/>
          <w:szCs w:val="17"/>
          <w:color w:val="auto"/>
        </w:rPr>
        <w:t>Except for the bank loans and the existing convertible loan notes issued in 2016, the Group’s principal financial instruments comprise trade payables which arise directly from its operations and are not designed as a means of raising finance for the Group’s operations. The Group has various financial assets, such as receivables and cash and short-term deposits. The Group does not consider that its financial instruments gave rise to any material financial risks during the year to December 31, 2018.</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Interest rate risk</w:t>
      </w:r>
    </w:p>
    <w:p>
      <w:pPr>
        <w:spacing w:after="0" w:line="115" w:lineRule="exact"/>
        <w:rPr>
          <w:sz w:val="20"/>
          <w:szCs w:val="20"/>
          <w:color w:val="auto"/>
        </w:rPr>
      </w:pPr>
    </w:p>
    <w:p>
      <w:pPr>
        <w:ind w:left="440" w:right="60" w:firstLine="423"/>
        <w:spacing w:after="0" w:line="284" w:lineRule="auto"/>
        <w:rPr>
          <w:sz w:val="20"/>
          <w:szCs w:val="20"/>
          <w:color w:val="auto"/>
        </w:rPr>
      </w:pPr>
      <w:r>
        <w:rPr>
          <w:rFonts w:ascii="Arial" w:cs="Arial" w:eastAsia="Arial" w:hAnsi="Arial"/>
          <w:sz w:val="17"/>
          <w:szCs w:val="17"/>
          <w:color w:val="auto"/>
        </w:rPr>
        <w:t>The Group’s policy in relation to interest rate risk is to monitor short and medium-term interest rates and to place cash on deposit for periods that optimize the amount of interest earned while maintaining access to sufficient funds to meet day-to-day cash requirements.</w:t>
      </w:r>
    </w:p>
    <w:p>
      <w:pPr>
        <w:spacing w:after="0" w:line="159"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The interest payable on both the convertible loan note and bank loan is fixed. Consequently, there is no material exposure to interest rate risk in respect of interest payable.</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Foreign currency risk</w:t>
      </w:r>
    </w:p>
    <w:p>
      <w:pPr>
        <w:spacing w:after="0" w:line="115" w:lineRule="exact"/>
        <w:rPr>
          <w:sz w:val="20"/>
          <w:szCs w:val="20"/>
          <w:color w:val="auto"/>
        </w:rPr>
      </w:pPr>
    </w:p>
    <w:p>
      <w:pPr>
        <w:ind w:left="440" w:firstLine="423"/>
        <w:spacing w:after="0" w:line="264" w:lineRule="auto"/>
        <w:rPr>
          <w:sz w:val="20"/>
          <w:szCs w:val="20"/>
          <w:color w:val="auto"/>
        </w:rPr>
      </w:pPr>
      <w:r>
        <w:rPr>
          <w:rFonts w:ascii="Arial" w:cs="Arial" w:eastAsia="Arial" w:hAnsi="Arial"/>
          <w:sz w:val="17"/>
          <w:szCs w:val="17"/>
          <w:color w:val="auto"/>
        </w:rPr>
        <w:t>The Group currently has no revenue. The majority of operating costs are denominated in Sterling, Euros and U.S. Dollars (USD). Funding to date has been secured in a mixture of Sterling and USD (in respect of funding attributable to the merger with OncoMed) and therefore a level of natural hedging exists in respect of operating costs. Foreign exchange risk arises from commercial transactions and recognized assets and liabilities in foreign currencies.</w:t>
      </w:r>
    </w:p>
    <w:p>
      <w:pPr>
        <w:spacing w:after="0" w:line="11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0920"/>
          </w:cols>
          <w:pgMar w:left="240" w:top="446" w:right="7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Credit risks</w:t>
      </w:r>
    </w:p>
    <w:p>
      <w:pPr>
        <w:spacing w:after="0" w:line="115" w:lineRule="exact"/>
        <w:rPr>
          <w:sz w:val="20"/>
          <w:szCs w:val="20"/>
          <w:color w:val="auto"/>
        </w:rPr>
      </w:pPr>
    </w:p>
    <w:p>
      <w:pPr>
        <w:jc w:val="both"/>
        <w:ind w:left="440" w:firstLine="423"/>
        <w:spacing w:after="0" w:line="264" w:lineRule="auto"/>
        <w:rPr>
          <w:sz w:val="20"/>
          <w:szCs w:val="20"/>
          <w:color w:val="auto"/>
        </w:rPr>
      </w:pPr>
      <w:r>
        <w:rPr>
          <w:rFonts w:ascii="Arial" w:cs="Arial" w:eastAsia="Arial" w:hAnsi="Arial"/>
          <w:sz w:val="17"/>
          <w:szCs w:val="17"/>
          <w:color w:val="auto"/>
        </w:rPr>
        <w:t>The Group’s policy is to place funds with financial institutions which have a minimum long-term credit rating with Standard &amp; Poor’s of A. The Group also allocates a quota to individual institutions in respect of cash deposits and also seeks to diversify its investments where this is consistent with achieving competitive rates of return. It is the Group’s policy to place not more than £10 million with any one investment counterparty and no more than £5 million with any one cash deposit counterparty.</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Cash flow and liquidity risk</w:t>
      </w:r>
    </w:p>
    <w:p>
      <w:pPr>
        <w:spacing w:after="0" w:line="115" w:lineRule="exact"/>
        <w:rPr>
          <w:sz w:val="20"/>
          <w:szCs w:val="20"/>
          <w:color w:val="auto"/>
        </w:rPr>
      </w:pPr>
    </w:p>
    <w:p>
      <w:pPr>
        <w:ind w:left="440" w:right="260" w:firstLine="423"/>
        <w:spacing w:after="0" w:line="261" w:lineRule="auto"/>
        <w:rPr>
          <w:sz w:val="20"/>
          <w:szCs w:val="20"/>
          <w:color w:val="auto"/>
        </w:rPr>
      </w:pPr>
      <w:r>
        <w:rPr>
          <w:rFonts w:ascii="Arial" w:cs="Arial" w:eastAsia="Arial" w:hAnsi="Arial"/>
          <w:sz w:val="17"/>
          <w:szCs w:val="17"/>
          <w:color w:val="auto"/>
        </w:rPr>
        <w:t>Credit risk from balances with banks and financial institutions is managed by the Group’s finance department in accordance with the Group’s policy. Investments of surplus funds are made only with approved counterparties and within credit limits assigned to each counterparty. Counterparty credit limits are reviewed by the Group’s Board of directors on an annual basis, and may be updated throughout the year subject to approval of the Group’s Audit and Risk Committee. The limits are set to minimize the concentration of risks and therefore mitigate financial loss through a counterparty’s potential failure to make payments.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Group’s maximum exposure to credit risk for the components of the balance sheet at December 31, 2018 is the carrying amounts.</w:t>
      </w:r>
    </w:p>
    <w:p>
      <w:pPr>
        <w:spacing w:after="0" w:line="219" w:lineRule="exact"/>
        <w:rPr>
          <w:sz w:val="20"/>
          <w:szCs w:val="20"/>
          <w:color w:val="auto"/>
        </w:rPr>
      </w:pPr>
    </w:p>
    <w:p>
      <w:pPr>
        <w:ind w:left="440" w:right="300" w:firstLine="423"/>
        <w:spacing w:after="0" w:line="269" w:lineRule="auto"/>
        <w:rPr>
          <w:sz w:val="20"/>
          <w:szCs w:val="20"/>
          <w:color w:val="auto"/>
        </w:rPr>
      </w:pPr>
      <w:r>
        <w:rPr>
          <w:rFonts w:ascii="Arial" w:cs="Arial" w:eastAsia="Arial" w:hAnsi="Arial"/>
          <w:sz w:val="17"/>
          <w:szCs w:val="17"/>
          <w:color w:val="auto"/>
        </w:rPr>
        <w:t>The Group monitors its funding requirements through preparation of short-term, mid-term and long-term forecasts. All short-term deposits are immediately convertible to liquid funds without penalty and are recorded in the balance sheet at their open market value. Please refer to Note 2.3 regarding the directors’ assessment of liquidity for further information.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24.3. Fair value hierarchy</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3"/>
              </w:rPr>
              <w:t>Fair value measurement using</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w w:val="93"/>
              </w:rPr>
              <w:t>Quoted prices</w:t>
            </w:r>
          </w:p>
        </w:tc>
        <w:tc>
          <w:tcPr>
            <w:tcW w:w="6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21"/>
              <w:spacing w:after="0" w:line="113" w:lineRule="exact"/>
              <w:rPr>
                <w:sz w:val="20"/>
                <w:szCs w:val="20"/>
                <w:color w:val="auto"/>
              </w:rPr>
            </w:pPr>
            <w:r>
              <w:rPr>
                <w:rFonts w:ascii="Arial" w:cs="Arial" w:eastAsia="Arial" w:hAnsi="Arial"/>
                <w:sz w:val="13"/>
                <w:szCs w:val="13"/>
                <w:b w:val="1"/>
                <w:bCs w:val="1"/>
                <w:color w:val="auto"/>
                <w:w w:val="96"/>
              </w:rPr>
              <w:t>Significant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9"/>
              </w:rPr>
              <w:t>in active</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observable</w:t>
            </w:r>
          </w:p>
        </w:tc>
        <w:tc>
          <w:tcPr>
            <w:tcW w:w="220" w:type="dxa"/>
            <w:vAlign w:val="bottom"/>
          </w:tcPr>
          <w:p>
            <w:pPr>
              <w:spacing w:after="0"/>
              <w:rPr>
                <w:sz w:val="12"/>
                <w:szCs w:val="12"/>
                <w:color w:val="auto"/>
              </w:rPr>
            </w:pPr>
          </w:p>
        </w:tc>
        <w:tc>
          <w:tcPr>
            <w:tcW w:w="90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w w:val="87"/>
              </w:rPr>
              <w:t>unobservable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Date of valuation</w:t>
            </w:r>
          </w:p>
        </w:tc>
        <w:tc>
          <w:tcPr>
            <w:tcW w:w="10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9"/>
              </w:rPr>
              <w:t>markets</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5"/>
        </w:trPr>
        <w:tc>
          <w:tcPr>
            <w:tcW w:w="42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1)</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87"/>
        </w:trPr>
        <w:tc>
          <w:tcPr>
            <w:tcW w:w="4200" w:type="dxa"/>
            <w:vAlign w:val="bottom"/>
            <w:tcBorders>
              <w:top w:val="single" w:sz="8" w:color="CCEEFF"/>
            </w:tcBorders>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Liabilities measured at fair value</w:t>
            </w:r>
          </w:p>
        </w:tc>
        <w:tc>
          <w:tcPr>
            <w:tcW w:w="1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00" w:type="dxa"/>
            <w:vAlign w:val="bottom"/>
          </w:tcPr>
          <w:p>
            <w:pPr>
              <w:spacing w:after="0"/>
              <w:rPr>
                <w:sz w:val="20"/>
                <w:szCs w:val="20"/>
                <w:color w:val="auto"/>
              </w:rPr>
            </w:pPr>
            <w:r>
              <w:rPr>
                <w:rFonts w:ascii="Arial" w:cs="Arial" w:eastAsia="Arial" w:hAnsi="Arial"/>
                <w:sz w:val="17"/>
                <w:szCs w:val="17"/>
                <w:color w:val="auto"/>
              </w:rPr>
              <w:t>Provision for deferred cash consideration (Note 19)</w:t>
            </w:r>
          </w:p>
        </w:tc>
        <w:tc>
          <w:tcPr>
            <w:tcW w:w="1620" w:type="dxa"/>
            <w:vAlign w:val="bottom"/>
            <w:gridSpan w:val="2"/>
          </w:tcPr>
          <w:p>
            <w:pPr>
              <w:ind w:left="60"/>
              <w:spacing w:after="0"/>
              <w:rPr>
                <w:sz w:val="20"/>
                <w:szCs w:val="20"/>
                <w:color w:val="auto"/>
              </w:rPr>
            </w:pPr>
            <w:r>
              <w:rPr>
                <w:rFonts w:ascii="Arial" w:cs="Arial" w:eastAsia="Arial" w:hAnsi="Arial"/>
                <w:sz w:val="17"/>
                <w:szCs w:val="17"/>
                <w:color w:val="auto"/>
              </w:rPr>
              <w:t>December 31, 2018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2,131,000</w:t>
            </w:r>
          </w:p>
        </w:tc>
        <w:tc>
          <w:tcPr>
            <w:tcW w:w="10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2,131,000</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 (Note 20)</w:t>
            </w: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1,005,613</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1,005,613</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20"/>
                <w:szCs w:val="20"/>
                <w:color w:val="auto"/>
              </w:rPr>
            </w:pPr>
            <w:r>
              <w:rPr>
                <w:rFonts w:ascii="Arial" w:cs="Arial" w:eastAsia="Arial" w:hAnsi="Arial"/>
                <w:sz w:val="17"/>
                <w:szCs w:val="17"/>
                <w:b w:val="1"/>
                <w:bCs w:val="1"/>
                <w:color w:val="auto"/>
              </w:rPr>
              <w:t>Liabilities for which fair values are disclosed</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Convertible loan (Note 18a)</w:t>
            </w: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2,038,881</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2,038,881</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20"/>
                <w:szCs w:val="20"/>
                <w:color w:val="auto"/>
              </w:rPr>
            </w:pPr>
            <w:r>
              <w:rPr>
                <w:rFonts w:ascii="Arial" w:cs="Arial" w:eastAsia="Arial" w:hAnsi="Arial"/>
                <w:sz w:val="17"/>
                <w:szCs w:val="17"/>
                <w:color w:val="auto"/>
              </w:rPr>
              <w:t>Bank loan (Note 18b)</w:t>
            </w:r>
          </w:p>
        </w:tc>
        <w:tc>
          <w:tcPr>
            <w:tcW w:w="1620" w:type="dxa"/>
            <w:vAlign w:val="bottom"/>
            <w:gridSpan w:val="2"/>
          </w:tcPr>
          <w:p>
            <w:pPr>
              <w:ind w:left="60"/>
              <w:spacing w:after="0"/>
              <w:rPr>
                <w:sz w:val="20"/>
                <w:szCs w:val="20"/>
                <w:color w:val="auto"/>
              </w:rPr>
            </w:pPr>
            <w:r>
              <w:rPr>
                <w:rFonts w:ascii="Arial" w:cs="Arial" w:eastAsia="Arial" w:hAnsi="Arial"/>
                <w:sz w:val="17"/>
                <w:szCs w:val="17"/>
                <w:color w:val="auto"/>
              </w:rPr>
              <w:t>December 31, 2018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19,445,756</w:t>
            </w:r>
          </w:p>
        </w:tc>
        <w:tc>
          <w:tcPr>
            <w:tcW w:w="10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19,445,756</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TAP funding liability (Note 21)</w:t>
            </w: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34,289</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34,289</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There were no transfers between Level 1 and Level 2 during 2018.</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Fair value measurement hierarchy for liabilities as at December 31, 2017:</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3"/>
              </w:rPr>
              <w:t>Fair value measurement using</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w w:val="93"/>
              </w:rPr>
              <w:t>Quoted prices</w:t>
            </w:r>
          </w:p>
        </w:tc>
        <w:tc>
          <w:tcPr>
            <w:tcW w:w="6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6"/>
              </w:rPr>
              <w:t>Significant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22"/>
              <w:spacing w:after="0" w:line="113" w:lineRule="exact"/>
              <w:rPr>
                <w:sz w:val="20"/>
                <w:szCs w:val="20"/>
                <w:color w:val="auto"/>
              </w:rPr>
            </w:pPr>
            <w:r>
              <w:rPr>
                <w:rFonts w:ascii="Arial" w:cs="Arial" w:eastAsia="Arial" w:hAnsi="Arial"/>
                <w:sz w:val="13"/>
                <w:szCs w:val="13"/>
                <w:b w:val="1"/>
                <w:bCs w:val="1"/>
                <w:color w:val="auto"/>
                <w:w w:val="96"/>
              </w:rPr>
              <w:t>Significant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9"/>
              </w:rPr>
              <w:t>in active</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observable</w:t>
            </w:r>
          </w:p>
        </w:tc>
        <w:tc>
          <w:tcPr>
            <w:tcW w:w="220" w:type="dxa"/>
            <w:vAlign w:val="bottom"/>
          </w:tcPr>
          <w:p>
            <w:pPr>
              <w:spacing w:after="0"/>
              <w:rPr>
                <w:sz w:val="12"/>
                <w:szCs w:val="12"/>
                <w:color w:val="auto"/>
              </w:rPr>
            </w:pPr>
          </w:p>
        </w:tc>
        <w:tc>
          <w:tcPr>
            <w:tcW w:w="90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w w:val="87"/>
              </w:rPr>
              <w:t>unobservable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Date of valuation</w:t>
            </w:r>
          </w:p>
        </w:tc>
        <w:tc>
          <w:tcPr>
            <w:tcW w:w="10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9"/>
              </w:rPr>
              <w:t>markets</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5"/>
        </w:trPr>
        <w:tc>
          <w:tcPr>
            <w:tcW w:w="42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1)</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87"/>
        </w:trPr>
        <w:tc>
          <w:tcPr>
            <w:tcW w:w="4200" w:type="dxa"/>
            <w:vAlign w:val="bottom"/>
            <w:tcBorders>
              <w:top w:val="single" w:sz="8" w:color="CCEEFF"/>
            </w:tcBorders>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Liabilities measured at fair value</w:t>
            </w:r>
          </w:p>
        </w:tc>
        <w:tc>
          <w:tcPr>
            <w:tcW w:w="1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00" w:type="dxa"/>
            <w:vAlign w:val="bottom"/>
          </w:tcPr>
          <w:p>
            <w:pPr>
              <w:spacing w:after="0"/>
              <w:rPr>
                <w:sz w:val="20"/>
                <w:szCs w:val="20"/>
                <w:color w:val="auto"/>
              </w:rPr>
            </w:pPr>
            <w:r>
              <w:rPr>
                <w:rFonts w:ascii="Arial" w:cs="Arial" w:eastAsia="Arial" w:hAnsi="Arial"/>
                <w:sz w:val="17"/>
                <w:szCs w:val="17"/>
                <w:color w:val="auto"/>
              </w:rPr>
              <w:t>Provision for deferred cash consideration (Note 19)</w:t>
            </w:r>
          </w:p>
        </w:tc>
        <w:tc>
          <w:tcPr>
            <w:tcW w:w="1620" w:type="dxa"/>
            <w:vAlign w:val="bottom"/>
            <w:gridSpan w:val="2"/>
          </w:tcPr>
          <w:p>
            <w:pPr>
              <w:ind w:left="60"/>
              <w:spacing w:after="0"/>
              <w:rPr>
                <w:sz w:val="20"/>
                <w:szCs w:val="20"/>
                <w:color w:val="auto"/>
              </w:rPr>
            </w:pPr>
            <w:r>
              <w:rPr>
                <w:rFonts w:ascii="Arial" w:cs="Arial" w:eastAsia="Arial" w:hAnsi="Arial"/>
                <w:sz w:val="17"/>
                <w:szCs w:val="17"/>
                <w:color w:val="auto"/>
              </w:rPr>
              <w:t>December 31, 2017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2,061,000</w:t>
            </w:r>
          </w:p>
        </w:tc>
        <w:tc>
          <w:tcPr>
            <w:tcW w:w="10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2,061,000</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 (Note 20)</w:t>
            </w: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1,346,484</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1,346,484</w:t>
            </w:r>
          </w:p>
        </w:tc>
        <w:tc>
          <w:tcPr>
            <w:tcW w:w="0" w:type="dxa"/>
            <w:vAlign w:val="bottom"/>
          </w:tcPr>
          <w:p>
            <w:pPr>
              <w:spacing w:after="0"/>
              <w:rPr>
                <w:sz w:val="1"/>
                <w:szCs w:val="1"/>
                <w:color w:val="auto"/>
              </w:rPr>
            </w:pPr>
          </w:p>
        </w:tc>
      </w:tr>
      <w:tr>
        <w:trPr>
          <w:trHeight w:val="207"/>
        </w:trPr>
        <w:tc>
          <w:tcPr>
            <w:tcW w:w="4200" w:type="dxa"/>
            <w:vAlign w:val="bottom"/>
          </w:tcPr>
          <w:p>
            <w:pPr>
              <w:spacing w:after="0"/>
              <w:rPr>
                <w:sz w:val="20"/>
                <w:szCs w:val="20"/>
                <w:color w:val="auto"/>
              </w:rPr>
            </w:pPr>
            <w:r>
              <w:rPr>
                <w:rFonts w:ascii="Arial" w:cs="Arial" w:eastAsia="Arial" w:hAnsi="Arial"/>
                <w:sz w:val="17"/>
                <w:szCs w:val="17"/>
                <w:b w:val="1"/>
                <w:bCs w:val="1"/>
                <w:color w:val="auto"/>
              </w:rPr>
              <w:t>Liabilities for which fair values are disclosed</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Convertible loan (Note 18a)</w:t>
            </w: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1,977,393</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1,977,393</w:t>
            </w:r>
          </w:p>
        </w:tc>
        <w:tc>
          <w:tcPr>
            <w:tcW w:w="0" w:type="dxa"/>
            <w:vAlign w:val="bottom"/>
          </w:tcPr>
          <w:p>
            <w:pPr>
              <w:spacing w:after="0"/>
              <w:rPr>
                <w:sz w:val="1"/>
                <w:szCs w:val="1"/>
                <w:color w:val="auto"/>
              </w:rPr>
            </w:pPr>
          </w:p>
        </w:tc>
      </w:tr>
      <w:tr>
        <w:trPr>
          <w:trHeight w:val="220"/>
        </w:trPr>
        <w:tc>
          <w:tcPr>
            <w:tcW w:w="4200" w:type="dxa"/>
            <w:vAlign w:val="bottom"/>
          </w:tcPr>
          <w:p>
            <w:pPr>
              <w:spacing w:after="0"/>
              <w:rPr>
                <w:sz w:val="20"/>
                <w:szCs w:val="20"/>
                <w:color w:val="auto"/>
              </w:rPr>
            </w:pPr>
            <w:r>
              <w:rPr>
                <w:rFonts w:ascii="Arial" w:cs="Arial" w:eastAsia="Arial" w:hAnsi="Arial"/>
                <w:sz w:val="17"/>
                <w:szCs w:val="17"/>
                <w:color w:val="auto"/>
              </w:rPr>
              <w:t>Bank loan (Note 18b)</w:t>
            </w:r>
          </w:p>
        </w:tc>
        <w:tc>
          <w:tcPr>
            <w:tcW w:w="1620" w:type="dxa"/>
            <w:vAlign w:val="bottom"/>
            <w:gridSpan w:val="2"/>
          </w:tcPr>
          <w:p>
            <w:pPr>
              <w:ind w:left="60"/>
              <w:spacing w:after="0"/>
              <w:rPr>
                <w:sz w:val="20"/>
                <w:szCs w:val="20"/>
                <w:color w:val="auto"/>
              </w:rPr>
            </w:pPr>
            <w:r>
              <w:rPr>
                <w:rFonts w:ascii="Arial" w:cs="Arial" w:eastAsia="Arial" w:hAnsi="Arial"/>
                <w:sz w:val="17"/>
                <w:szCs w:val="17"/>
                <w:color w:val="auto"/>
              </w:rPr>
              <w:t>December 31, 2017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18,774,924</w:t>
            </w:r>
          </w:p>
        </w:tc>
        <w:tc>
          <w:tcPr>
            <w:tcW w:w="104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640" w:type="dxa"/>
            <w:vAlign w:val="bottom"/>
          </w:tcPr>
          <w:p>
            <w:pPr>
              <w:ind w:left="38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18,774,924</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There were no transfers between Level 1 and Level 2 during 2017.</w:t>
      </w:r>
    </w:p>
    <w:p>
      <w:pPr>
        <w:spacing w:after="0" w:line="15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0980"/>
          </w:cols>
          <w:pgMar w:left="240" w:top="446" w:right="67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Set out below is a comparison, by class, of the carrying amounts and fair values of the Group’s financial instruments:</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6220" w:type="dxa"/>
            <w:vAlign w:val="bottom"/>
          </w:tcPr>
          <w:p>
            <w:pPr>
              <w:spacing w:after="0"/>
              <w:rPr>
                <w:sz w:val="14"/>
                <w:szCs w:val="14"/>
                <w:color w:val="auto"/>
              </w:rPr>
            </w:pPr>
          </w:p>
        </w:tc>
        <w:tc>
          <w:tcPr>
            <w:tcW w:w="180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 2017</w:t>
            </w: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 2018</w:t>
            </w:r>
          </w:p>
        </w:tc>
      </w:tr>
      <w:tr>
        <w:trPr>
          <w:trHeight w:val="113"/>
        </w:trPr>
        <w:tc>
          <w:tcPr>
            <w:tcW w:w="6220" w:type="dxa"/>
            <w:vAlign w:val="bottom"/>
          </w:tcPr>
          <w:p>
            <w:pPr>
              <w:spacing w:after="0"/>
              <w:rPr>
                <w:sz w:val="9"/>
                <w:szCs w:val="9"/>
                <w:color w:val="auto"/>
              </w:rPr>
            </w:pPr>
          </w:p>
        </w:tc>
        <w:tc>
          <w:tcPr>
            <w:tcW w:w="860" w:type="dxa"/>
            <w:vAlign w:val="bottom"/>
            <w:tcBorders>
              <w:top w:val="single" w:sz="8" w:color="auto"/>
            </w:tcBorders>
          </w:tcPr>
          <w:p>
            <w:pPr>
              <w:jc w:val="right"/>
              <w:ind w:right="125"/>
              <w:spacing w:after="0" w:line="113" w:lineRule="exact"/>
              <w:rPr>
                <w:sz w:val="20"/>
                <w:szCs w:val="20"/>
                <w:color w:val="auto"/>
              </w:rPr>
            </w:pPr>
            <w:r>
              <w:rPr>
                <w:rFonts w:ascii="Arial" w:cs="Arial" w:eastAsia="Arial" w:hAnsi="Arial"/>
                <w:sz w:val="13"/>
                <w:szCs w:val="13"/>
                <w:b w:val="1"/>
                <w:bCs w:val="1"/>
                <w:color w:val="auto"/>
              </w:rPr>
              <w:t>Carrying</w:t>
            </w:r>
          </w:p>
        </w:tc>
        <w:tc>
          <w:tcPr>
            <w:tcW w:w="8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9"/>
                <w:szCs w:val="9"/>
                <w:color w:val="auto"/>
              </w:rPr>
            </w:pPr>
          </w:p>
        </w:tc>
        <w:tc>
          <w:tcPr>
            <w:tcW w:w="840" w:type="dxa"/>
            <w:vAlign w:val="bottom"/>
            <w:tcBorders>
              <w:top w:val="single" w:sz="8" w:color="auto"/>
            </w:tcBorders>
          </w:tcPr>
          <w:p>
            <w:pPr>
              <w:jc w:val="right"/>
              <w:ind w:right="125"/>
              <w:spacing w:after="0" w:line="113" w:lineRule="exact"/>
              <w:rPr>
                <w:sz w:val="20"/>
                <w:szCs w:val="20"/>
                <w:color w:val="auto"/>
              </w:rPr>
            </w:pPr>
            <w:r>
              <w:rPr>
                <w:rFonts w:ascii="Arial" w:cs="Arial" w:eastAsia="Arial" w:hAnsi="Arial"/>
                <w:sz w:val="13"/>
                <w:szCs w:val="13"/>
                <w:b w:val="1"/>
                <w:bCs w:val="1"/>
                <w:color w:val="auto"/>
              </w:rPr>
              <w:t>Carrying</w:t>
            </w:r>
          </w:p>
        </w:tc>
        <w:tc>
          <w:tcPr>
            <w:tcW w:w="8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9"/>
                <w:szCs w:val="9"/>
                <w:color w:val="auto"/>
              </w:rPr>
            </w:pPr>
          </w:p>
        </w:tc>
      </w:tr>
      <w:tr>
        <w:trPr>
          <w:trHeight w:val="165"/>
        </w:trPr>
        <w:tc>
          <w:tcPr>
            <w:tcW w:w="6220" w:type="dxa"/>
            <w:vAlign w:val="bottom"/>
          </w:tcPr>
          <w:p>
            <w:pPr>
              <w:spacing w:after="0"/>
              <w:rPr>
                <w:sz w:val="14"/>
                <w:szCs w:val="14"/>
                <w:color w:val="auto"/>
              </w:rPr>
            </w:pPr>
          </w:p>
        </w:tc>
        <w:tc>
          <w:tcPr>
            <w:tcW w:w="860" w:type="dxa"/>
            <w:vAlign w:val="bottom"/>
          </w:tcPr>
          <w:p>
            <w:pPr>
              <w:jc w:val="right"/>
              <w:ind w:right="185"/>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value</w:t>
            </w:r>
          </w:p>
        </w:tc>
        <w:tc>
          <w:tcPr>
            <w:tcW w:w="840" w:type="dxa"/>
            <w:vAlign w:val="bottom"/>
          </w:tcPr>
          <w:p>
            <w:pPr>
              <w:jc w:val="right"/>
              <w:ind w:right="165"/>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value</w:t>
            </w:r>
          </w:p>
        </w:tc>
      </w:tr>
      <w:tr>
        <w:trPr>
          <w:trHeight w:val="135"/>
        </w:trPr>
        <w:tc>
          <w:tcPr>
            <w:tcW w:w="62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gridSpan w:val="3"/>
          </w:tcPr>
          <w:p>
            <w:pPr>
              <w:jc w:val="right"/>
              <w:ind w:right="685"/>
              <w:spacing w:after="0" w:line="135" w:lineRule="exact"/>
              <w:rPr>
                <w:sz w:val="20"/>
                <w:szCs w:val="20"/>
                <w:color w:val="auto"/>
              </w:rPr>
            </w:pPr>
            <w:r>
              <w:rPr>
                <w:rFonts w:ascii="Arial" w:cs="Arial" w:eastAsia="Arial" w:hAnsi="Arial"/>
                <w:sz w:val="14"/>
                <w:szCs w:val="14"/>
                <w:b w:val="1"/>
                <w:bCs w:val="1"/>
                <w:color w:val="auto"/>
              </w:rPr>
              <w:t>(in £)</w:t>
            </w: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207"/>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7"/>
        </w:trPr>
        <w:tc>
          <w:tcPr>
            <w:tcW w:w="6220" w:type="dxa"/>
            <w:vAlign w:val="bottom"/>
          </w:tcPr>
          <w:p>
            <w:pPr>
              <w:spacing w:after="0"/>
              <w:rPr>
                <w:sz w:val="20"/>
                <w:szCs w:val="20"/>
                <w:color w:val="auto"/>
              </w:rPr>
            </w:pPr>
            <w:r>
              <w:rPr>
                <w:rFonts w:ascii="Arial" w:cs="Arial" w:eastAsia="Arial" w:hAnsi="Arial"/>
                <w:sz w:val="17"/>
                <w:szCs w:val="17"/>
                <w:color w:val="auto"/>
              </w:rPr>
              <w:t>Provision for deferred cash consideration</w:t>
            </w:r>
          </w:p>
        </w:tc>
        <w:tc>
          <w:tcPr>
            <w:tcW w:w="860" w:type="dxa"/>
            <w:vAlign w:val="bottom"/>
          </w:tcPr>
          <w:p>
            <w:pPr>
              <w:jc w:val="right"/>
              <w:ind w:right="25"/>
              <w:spacing w:after="0"/>
              <w:rPr>
                <w:sz w:val="20"/>
                <w:szCs w:val="20"/>
                <w:color w:val="auto"/>
              </w:rPr>
            </w:pPr>
            <w:r>
              <w:rPr>
                <w:rFonts w:ascii="Arial" w:cs="Arial" w:eastAsia="Arial" w:hAnsi="Arial"/>
                <w:sz w:val="17"/>
                <w:szCs w:val="17"/>
                <w:color w:val="auto"/>
                <w:w w:val="97"/>
              </w:rPr>
              <w:t>2,061,000</w:t>
            </w:r>
          </w:p>
        </w:tc>
        <w:tc>
          <w:tcPr>
            <w:tcW w:w="800" w:type="dxa"/>
            <w:vAlign w:val="bottom"/>
          </w:tcPr>
          <w:p>
            <w:pPr>
              <w:jc w:val="right"/>
              <w:spacing w:after="0"/>
              <w:rPr>
                <w:sz w:val="20"/>
                <w:szCs w:val="20"/>
                <w:color w:val="auto"/>
              </w:rPr>
            </w:pPr>
            <w:r>
              <w:rPr>
                <w:rFonts w:ascii="Arial" w:cs="Arial" w:eastAsia="Arial" w:hAnsi="Arial"/>
                <w:sz w:val="17"/>
                <w:szCs w:val="17"/>
                <w:color w:val="auto"/>
              </w:rPr>
              <w:t>2,061,000</w:t>
            </w:r>
          </w:p>
        </w:tc>
        <w:tc>
          <w:tcPr>
            <w:tcW w:w="140" w:type="dxa"/>
            <w:vAlign w:val="bottom"/>
          </w:tcPr>
          <w:p>
            <w:pPr>
              <w:spacing w:after="0"/>
              <w:rPr>
                <w:sz w:val="18"/>
                <w:szCs w:val="18"/>
                <w:color w:val="auto"/>
              </w:rPr>
            </w:pPr>
          </w:p>
        </w:tc>
        <w:tc>
          <w:tcPr>
            <w:tcW w:w="840" w:type="dxa"/>
            <w:vAlign w:val="bottom"/>
          </w:tcPr>
          <w:p>
            <w:pPr>
              <w:jc w:val="right"/>
              <w:ind w:right="25"/>
              <w:spacing w:after="0"/>
              <w:rPr>
                <w:sz w:val="20"/>
                <w:szCs w:val="20"/>
                <w:color w:val="auto"/>
              </w:rPr>
            </w:pPr>
            <w:r>
              <w:rPr>
                <w:rFonts w:ascii="Arial" w:cs="Arial" w:eastAsia="Arial" w:hAnsi="Arial"/>
                <w:sz w:val="17"/>
                <w:szCs w:val="17"/>
                <w:color w:val="auto"/>
                <w:w w:val="95"/>
              </w:rPr>
              <w:t>2,131,000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2,131,000</w:t>
            </w:r>
          </w:p>
        </w:tc>
      </w:tr>
      <w:tr>
        <w:trPr>
          <w:trHeight w:val="207"/>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w:t>
            </w: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w w:val="97"/>
              </w:rPr>
              <w:t>1,346,484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1,346,484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w w:val="95"/>
              </w:rPr>
              <w:t>1,005,613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1,005,613</w:t>
            </w:r>
          </w:p>
        </w:tc>
      </w:tr>
    </w:tbl>
    <w:p>
      <w:pPr>
        <w:spacing w:after="0" w:line="195" w:lineRule="exact"/>
        <w:rPr>
          <w:sz w:val="20"/>
          <w:szCs w:val="20"/>
          <w:color w:val="auto"/>
        </w:rPr>
      </w:pPr>
    </w:p>
    <w:p>
      <w:pPr>
        <w:ind w:left="440" w:right="280" w:firstLine="423"/>
        <w:spacing w:after="0" w:line="284" w:lineRule="auto"/>
        <w:rPr>
          <w:sz w:val="20"/>
          <w:szCs w:val="20"/>
          <w:color w:val="auto"/>
        </w:rPr>
      </w:pPr>
      <w:r>
        <w:rPr>
          <w:rFonts w:ascii="Arial" w:cs="Arial" w:eastAsia="Arial" w:hAnsi="Arial"/>
          <w:sz w:val="17"/>
          <w:szCs w:val="17"/>
          <w:color w:val="auto"/>
        </w:rPr>
        <w:t>The management of the Group assessed that the fair values of cash and short-term deposits, other receivables, trade payables, and other current liabilities approximate their carrying amounts largely due to the short-term maturities of these instruments.</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methods and assumptions were used to estimate the fair values:</w:t>
      </w:r>
    </w:p>
    <w:p>
      <w:pPr>
        <w:spacing w:after="0" w:line="128" w:lineRule="exact"/>
        <w:rPr>
          <w:sz w:val="20"/>
          <w:szCs w:val="20"/>
          <w:color w:val="auto"/>
        </w:rPr>
      </w:pPr>
    </w:p>
    <w:p>
      <w:pPr>
        <w:ind w:left="1260" w:right="60" w:hanging="415"/>
        <w:spacing w:after="0" w:line="260" w:lineRule="auto"/>
        <w:tabs>
          <w:tab w:leader="none" w:pos="12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89" w:lineRule="exact"/>
        <w:rPr>
          <w:rFonts w:ascii="Arial" w:cs="Arial" w:eastAsia="Arial" w:hAnsi="Arial"/>
          <w:sz w:val="17"/>
          <w:szCs w:val="17"/>
          <w:color w:val="auto"/>
        </w:rPr>
      </w:pPr>
    </w:p>
    <w:p>
      <w:pPr>
        <w:ind w:left="1260" w:right="640" w:hanging="415"/>
        <w:spacing w:after="0" w:line="284" w:lineRule="auto"/>
        <w:tabs>
          <w:tab w:leader="none" w:pos="12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warrant liability is estimated using the Black Scholes model taking into account appropriate amendments to inputs in respect of volatility, remaining expected life of the warrants, cost of capital, probability of success and rates of interest.</w:t>
      </w:r>
    </w:p>
    <w:p>
      <w:pPr>
        <w:spacing w:after="0" w:line="159" w:lineRule="exact"/>
        <w:rPr>
          <w:sz w:val="20"/>
          <w:szCs w:val="20"/>
          <w:color w:val="auto"/>
        </w:rPr>
      </w:pPr>
    </w:p>
    <w:p>
      <w:pPr>
        <w:ind w:left="440" w:right="320" w:firstLine="423"/>
        <w:spacing w:after="0" w:line="284" w:lineRule="auto"/>
        <w:rPr>
          <w:sz w:val="20"/>
          <w:szCs w:val="20"/>
          <w:color w:val="auto"/>
        </w:rPr>
      </w:pPr>
      <w:r>
        <w:rPr>
          <w:rFonts w:ascii="Arial" w:cs="Arial" w:eastAsia="Arial" w:hAnsi="Arial"/>
          <w:sz w:val="17"/>
          <w:szCs w:val="17"/>
          <w:color w:val="auto"/>
        </w:rPr>
        <w:t>The significant unobservable inputs used in the fair value measurements categorized within Level 3 of the fair value hierarchy, together with a quantitative sensitivity analysis as at December 31, 2018 and 2017 are as shown below:</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Valuation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Significant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Range</w:t>
            </w:r>
          </w:p>
        </w:tc>
        <w:tc>
          <w:tcPr>
            <w:tcW w:w="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87"/>
              </w:rPr>
              <w:t>unobservable</w:t>
            </w:r>
          </w:p>
        </w:tc>
        <w:tc>
          <w:tcPr>
            <w:tcW w:w="14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2"/>
                <w:szCs w:val="12"/>
                <w:color w:val="auto"/>
              </w:rPr>
            </w:pPr>
          </w:p>
        </w:tc>
        <w:tc>
          <w:tcPr>
            <w:tcW w:w="30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68"/>
        </w:trPr>
        <w:tc>
          <w:tcPr>
            <w:tcW w:w="2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technique</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inputs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Provision for deferred cash</w:t>
            </w:r>
          </w:p>
        </w:tc>
        <w:tc>
          <w:tcPr>
            <w:tcW w:w="3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7"/>
                <w:szCs w:val="17"/>
                <w:color w:val="auto"/>
              </w:rPr>
              <w:t>DCF</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7"/>
                <w:szCs w:val="17"/>
                <w:color w:val="auto"/>
              </w:rPr>
              <w:t>WACC</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7"/>
                <w:szCs w:val="17"/>
                <w:color w:val="auto"/>
                <w:w w:val="94"/>
              </w:rPr>
              <w:t>2018: 15.3%</w:t>
            </w:r>
          </w:p>
        </w:tc>
        <w:tc>
          <w:tcPr>
            <w:tcW w:w="8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7"/>
                <w:szCs w:val="17"/>
                <w:color w:val="auto"/>
                <w:w w:val="97"/>
              </w:rPr>
              <w:t>1% increase/(decrease) would result in a</w:t>
            </w:r>
          </w:p>
        </w:tc>
        <w:tc>
          <w:tcPr>
            <w:tcW w:w="0" w:type="dxa"/>
            <w:vAlign w:val="bottom"/>
          </w:tcPr>
          <w:p>
            <w:pPr>
              <w:spacing w:after="0"/>
              <w:rPr>
                <w:sz w:val="1"/>
                <w:szCs w:val="1"/>
                <w:color w:val="auto"/>
              </w:rPr>
            </w:pPr>
          </w:p>
        </w:tc>
      </w:tr>
      <w:tr>
        <w:trPr>
          <w:trHeight w:val="226"/>
        </w:trPr>
        <w:tc>
          <w:tcPr>
            <w:tcW w:w="23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consideration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decrease/(increase) in fair value by</w:t>
            </w: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£33,000.</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WACC</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2017: 15.3%</w:t>
            </w:r>
          </w:p>
        </w:tc>
        <w:tc>
          <w:tcPr>
            <w:tcW w:w="3080" w:type="dxa"/>
            <w:vAlign w:val="bottom"/>
            <w:gridSpan w:val="2"/>
          </w:tcPr>
          <w:p>
            <w:pPr>
              <w:ind w:left="80"/>
              <w:spacing w:after="0"/>
              <w:rPr>
                <w:sz w:val="20"/>
                <w:szCs w:val="20"/>
                <w:color w:val="auto"/>
              </w:rPr>
            </w:pPr>
            <w:r>
              <w:rPr>
                <w:rFonts w:ascii="Arial" w:cs="Arial" w:eastAsia="Arial" w:hAnsi="Arial"/>
                <w:sz w:val="17"/>
                <w:szCs w:val="17"/>
                <w:color w:val="auto"/>
                <w:w w:val="97"/>
              </w:rPr>
              <w:t>1% increase/(decrease) would result in a</w:t>
            </w: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80" w:type="dxa"/>
            <w:vAlign w:val="bottom"/>
            <w:gridSpan w:val="2"/>
          </w:tcPr>
          <w:p>
            <w:pPr>
              <w:ind w:left="80"/>
              <w:spacing w:after="0"/>
              <w:rPr>
                <w:sz w:val="20"/>
                <w:szCs w:val="20"/>
                <w:color w:val="auto"/>
              </w:rPr>
            </w:pPr>
            <w:r>
              <w:rPr>
                <w:rFonts w:ascii="Arial" w:cs="Arial" w:eastAsia="Arial" w:hAnsi="Arial"/>
                <w:sz w:val="17"/>
                <w:szCs w:val="17"/>
                <w:color w:val="auto"/>
              </w:rPr>
              <w:t>decrease/(increase) in fair value by</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80" w:type="dxa"/>
            <w:vAlign w:val="bottom"/>
            <w:gridSpan w:val="2"/>
          </w:tcPr>
          <w:p>
            <w:pPr>
              <w:ind w:left="80"/>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195"/>
        </w:trPr>
        <w:tc>
          <w:tcPr>
            <w:tcW w:w="2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Probability of</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2018: 28%-95%</w:t>
            </w:r>
          </w:p>
        </w:tc>
        <w:tc>
          <w:tcPr>
            <w:tcW w:w="3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8"/>
              </w:rPr>
              <w:t>10% increase/(decrease) would result in</w:t>
            </w:r>
          </w:p>
        </w:tc>
        <w:tc>
          <w:tcPr>
            <w:tcW w:w="0" w:type="dxa"/>
            <w:vAlign w:val="bottom"/>
          </w:tcPr>
          <w:p>
            <w:pPr>
              <w:spacing w:after="0"/>
              <w:rPr>
                <w:sz w:val="1"/>
                <w:szCs w:val="1"/>
                <w:color w:val="auto"/>
              </w:rPr>
            </w:pPr>
          </w:p>
        </w:tc>
      </w:tr>
      <w:tr>
        <w:trPr>
          <w:trHeight w:val="207"/>
        </w:trPr>
        <w:tc>
          <w:tcPr>
            <w:tcW w:w="2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success</w:t>
            </w:r>
          </w:p>
        </w:tc>
        <w:tc>
          <w:tcPr>
            <w:tcW w:w="146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an increase/(decrease) in fair value by</w:t>
            </w: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£600,000.</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Probability of</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2017: 28%-85%</w:t>
            </w:r>
          </w:p>
        </w:tc>
        <w:tc>
          <w:tcPr>
            <w:tcW w:w="3080" w:type="dxa"/>
            <w:vAlign w:val="bottom"/>
            <w:gridSpan w:val="2"/>
          </w:tcPr>
          <w:p>
            <w:pPr>
              <w:ind w:left="80"/>
              <w:spacing w:after="0"/>
              <w:rPr>
                <w:sz w:val="20"/>
                <w:szCs w:val="20"/>
                <w:color w:val="auto"/>
              </w:rPr>
            </w:pPr>
            <w:r>
              <w:rPr>
                <w:rFonts w:ascii="Arial" w:cs="Arial" w:eastAsia="Arial" w:hAnsi="Arial"/>
                <w:sz w:val="17"/>
                <w:szCs w:val="17"/>
                <w:color w:val="auto"/>
                <w:w w:val="98"/>
              </w:rPr>
              <w:t>10% increase/(decrease) would result in</w:t>
            </w: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success</w:t>
            </w:r>
          </w:p>
        </w:tc>
        <w:tc>
          <w:tcPr>
            <w:tcW w:w="1460" w:type="dxa"/>
            <w:vAlign w:val="bottom"/>
          </w:tcPr>
          <w:p>
            <w:pPr>
              <w:spacing w:after="0"/>
              <w:rPr>
                <w:sz w:val="18"/>
                <w:szCs w:val="18"/>
                <w:color w:val="auto"/>
              </w:rPr>
            </w:pPr>
          </w:p>
        </w:tc>
        <w:tc>
          <w:tcPr>
            <w:tcW w:w="3080" w:type="dxa"/>
            <w:vAlign w:val="bottom"/>
            <w:gridSpan w:val="2"/>
          </w:tcPr>
          <w:p>
            <w:pPr>
              <w:ind w:left="80"/>
              <w:spacing w:after="0"/>
              <w:rPr>
                <w:sz w:val="20"/>
                <w:szCs w:val="20"/>
                <w:color w:val="auto"/>
              </w:rPr>
            </w:pPr>
            <w:r>
              <w:rPr>
                <w:rFonts w:ascii="Arial" w:cs="Arial" w:eastAsia="Arial" w:hAnsi="Arial"/>
                <w:sz w:val="17"/>
                <w:szCs w:val="17"/>
                <w:color w:val="auto"/>
              </w:rPr>
              <w:t>an increase/(decrease) in fair value by</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80" w:type="dxa"/>
            <w:vAlign w:val="bottom"/>
            <w:gridSpan w:val="2"/>
          </w:tcPr>
          <w:p>
            <w:pPr>
              <w:ind w:left="80"/>
              <w:spacing w:after="0"/>
              <w:rPr>
                <w:sz w:val="20"/>
                <w:szCs w:val="20"/>
                <w:color w:val="auto"/>
              </w:rPr>
            </w:pPr>
            <w:r>
              <w:rPr>
                <w:rFonts w:ascii="Arial" w:cs="Arial" w:eastAsia="Arial" w:hAnsi="Arial"/>
                <w:sz w:val="17"/>
                <w:szCs w:val="17"/>
                <w:color w:val="auto"/>
              </w:rPr>
              <w:t>£600,000.</w:t>
            </w:r>
          </w:p>
        </w:tc>
        <w:tc>
          <w:tcPr>
            <w:tcW w:w="0" w:type="dxa"/>
            <w:vAlign w:val="bottom"/>
          </w:tcPr>
          <w:p>
            <w:pPr>
              <w:spacing w:after="0"/>
              <w:rPr>
                <w:sz w:val="1"/>
                <w:szCs w:val="1"/>
                <w:color w:val="auto"/>
              </w:rPr>
            </w:pPr>
          </w:p>
        </w:tc>
      </w:tr>
      <w:tr>
        <w:trPr>
          <w:trHeight w:val="195"/>
        </w:trPr>
        <w:tc>
          <w:tcPr>
            <w:tcW w:w="2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Warrant liability</w:t>
            </w:r>
          </w:p>
        </w:tc>
        <w:tc>
          <w:tcPr>
            <w:tcW w:w="14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Black Scholes</w:t>
            </w:r>
          </w:p>
        </w:tc>
        <w:tc>
          <w:tcPr>
            <w:tcW w:w="1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2018: 1.33%</w:t>
            </w:r>
          </w:p>
        </w:tc>
        <w:tc>
          <w:tcPr>
            <w:tcW w:w="3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4"/>
              </w:rPr>
              <w:t>1% increase/(decrease) would result in an</w:t>
            </w: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rate</w:t>
            </w:r>
          </w:p>
        </w:tc>
        <w:tc>
          <w:tcPr>
            <w:tcW w:w="146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increase/(decrease) of £25,000</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Risk-free interest</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2017: 1.25%</w:t>
            </w:r>
          </w:p>
        </w:tc>
        <w:tc>
          <w:tcPr>
            <w:tcW w:w="3080" w:type="dxa"/>
            <w:vAlign w:val="bottom"/>
            <w:gridSpan w:val="2"/>
          </w:tcPr>
          <w:p>
            <w:pPr>
              <w:ind w:left="80"/>
              <w:spacing w:after="0"/>
              <w:rPr>
                <w:sz w:val="20"/>
                <w:szCs w:val="20"/>
                <w:color w:val="auto"/>
              </w:rPr>
            </w:pPr>
            <w:r>
              <w:rPr>
                <w:rFonts w:ascii="Arial" w:cs="Arial" w:eastAsia="Arial" w:hAnsi="Arial"/>
                <w:sz w:val="17"/>
                <w:szCs w:val="17"/>
                <w:color w:val="auto"/>
                <w:w w:val="94"/>
              </w:rPr>
              <w:t>1% increase/(decrease) would result in an</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rate</w:t>
            </w:r>
          </w:p>
        </w:tc>
        <w:tc>
          <w:tcPr>
            <w:tcW w:w="1460" w:type="dxa"/>
            <w:vAlign w:val="bottom"/>
          </w:tcPr>
          <w:p>
            <w:pPr>
              <w:spacing w:after="0"/>
              <w:rPr>
                <w:sz w:val="19"/>
                <w:szCs w:val="19"/>
                <w:color w:val="auto"/>
              </w:rPr>
            </w:pPr>
          </w:p>
        </w:tc>
        <w:tc>
          <w:tcPr>
            <w:tcW w:w="3080" w:type="dxa"/>
            <w:vAlign w:val="bottom"/>
            <w:gridSpan w:val="2"/>
          </w:tcPr>
          <w:p>
            <w:pPr>
              <w:ind w:left="80"/>
              <w:spacing w:after="0"/>
              <w:rPr>
                <w:sz w:val="20"/>
                <w:szCs w:val="20"/>
                <w:color w:val="auto"/>
              </w:rPr>
            </w:pPr>
            <w:r>
              <w:rPr>
                <w:rFonts w:ascii="Arial" w:cs="Arial" w:eastAsia="Arial" w:hAnsi="Arial"/>
                <w:sz w:val="17"/>
                <w:szCs w:val="17"/>
                <w:color w:val="auto"/>
              </w:rPr>
              <w:t>increase/(decrease) of £46,000</w:t>
            </w:r>
          </w:p>
        </w:tc>
        <w:tc>
          <w:tcPr>
            <w:tcW w:w="0" w:type="dxa"/>
            <w:vAlign w:val="bottom"/>
          </w:tcPr>
          <w:p>
            <w:pPr>
              <w:spacing w:after="0"/>
              <w:rPr>
                <w:sz w:val="1"/>
                <w:szCs w:val="1"/>
                <w:color w:val="auto"/>
              </w:rPr>
            </w:pPr>
          </w:p>
        </w:tc>
      </w:tr>
      <w:tr>
        <w:trPr>
          <w:trHeight w:val="195"/>
        </w:trPr>
        <w:tc>
          <w:tcPr>
            <w:tcW w:w="2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Volatility</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2018: 65%</w:t>
            </w:r>
          </w:p>
        </w:tc>
        <w:tc>
          <w:tcPr>
            <w:tcW w:w="3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1"/>
              </w:rPr>
              <w:t>10% increase/(decrease) would result in an</w:t>
            </w: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increase/(decrease) of £145,000</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Volatility</w:t>
            </w:r>
          </w:p>
        </w:tc>
        <w:tc>
          <w:tcPr>
            <w:tcW w:w="1460" w:type="dxa"/>
            <w:vAlign w:val="bottom"/>
          </w:tcPr>
          <w:p>
            <w:pPr>
              <w:jc w:val="center"/>
              <w:spacing w:after="0"/>
              <w:rPr>
                <w:sz w:val="20"/>
                <w:szCs w:val="20"/>
                <w:color w:val="auto"/>
              </w:rPr>
            </w:pPr>
            <w:r>
              <w:rPr>
                <w:rFonts w:ascii="Arial" w:cs="Arial" w:eastAsia="Arial" w:hAnsi="Arial"/>
                <w:sz w:val="17"/>
                <w:szCs w:val="17"/>
                <w:color w:val="auto"/>
                <w:w w:val="90"/>
              </w:rPr>
              <w:t>2017: 50%</w:t>
            </w:r>
          </w:p>
        </w:tc>
        <w:tc>
          <w:tcPr>
            <w:tcW w:w="3080" w:type="dxa"/>
            <w:vAlign w:val="bottom"/>
            <w:gridSpan w:val="2"/>
          </w:tcPr>
          <w:p>
            <w:pPr>
              <w:ind w:left="80"/>
              <w:spacing w:after="0"/>
              <w:rPr>
                <w:sz w:val="20"/>
                <w:szCs w:val="20"/>
                <w:color w:val="auto"/>
              </w:rPr>
            </w:pPr>
            <w:r>
              <w:rPr>
                <w:rFonts w:ascii="Arial" w:cs="Arial" w:eastAsia="Arial" w:hAnsi="Arial"/>
                <w:sz w:val="17"/>
                <w:szCs w:val="17"/>
                <w:color w:val="auto"/>
                <w:w w:val="91"/>
              </w:rPr>
              <w:t>10% increase/(decrease) would result in an</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80" w:type="dxa"/>
            <w:vAlign w:val="bottom"/>
            <w:gridSpan w:val="2"/>
          </w:tcPr>
          <w:p>
            <w:pPr>
              <w:ind w:left="80"/>
              <w:spacing w:after="0"/>
              <w:rPr>
                <w:sz w:val="20"/>
                <w:szCs w:val="20"/>
                <w:color w:val="auto"/>
              </w:rPr>
            </w:pPr>
            <w:r>
              <w:rPr>
                <w:rFonts w:ascii="Arial" w:cs="Arial" w:eastAsia="Arial" w:hAnsi="Arial"/>
                <w:sz w:val="17"/>
                <w:szCs w:val="17"/>
                <w:color w:val="auto"/>
              </w:rPr>
              <w:t>increase/(decrease) of £200,000</w:t>
            </w:r>
          </w:p>
        </w:tc>
        <w:tc>
          <w:tcPr>
            <w:tcW w:w="0" w:type="dxa"/>
            <w:vAlign w:val="bottom"/>
          </w:tcPr>
          <w:p>
            <w:pPr>
              <w:spacing w:after="0"/>
              <w:rPr>
                <w:sz w:val="1"/>
                <w:szCs w:val="1"/>
                <w:color w:val="auto"/>
              </w:rPr>
            </w:pPr>
          </w:p>
        </w:tc>
      </w:tr>
      <w:tr>
        <w:trPr>
          <w:trHeight w:val="195"/>
        </w:trPr>
        <w:tc>
          <w:tcPr>
            <w:tcW w:w="2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Remaining life</w:t>
            </w: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2018: 3,254 days</w:t>
            </w:r>
          </w:p>
        </w:tc>
        <w:tc>
          <w:tcPr>
            <w:tcW w:w="3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Increase/(decrease) of 365 days would</w:t>
            </w: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2"/>
              </w:rPr>
              <w:t>result in an increase/(decrease) of £56,000</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auto"/>
              </w:rPr>
              <w:t>Remaining life</w:t>
            </w:r>
          </w:p>
        </w:tc>
        <w:tc>
          <w:tcPr>
            <w:tcW w:w="1460" w:type="dxa"/>
            <w:vAlign w:val="bottom"/>
          </w:tcPr>
          <w:p>
            <w:pPr>
              <w:jc w:val="center"/>
              <w:spacing w:after="0"/>
              <w:rPr>
                <w:sz w:val="20"/>
                <w:szCs w:val="20"/>
                <w:color w:val="auto"/>
              </w:rPr>
            </w:pPr>
            <w:r>
              <w:rPr>
                <w:rFonts w:ascii="Arial" w:cs="Arial" w:eastAsia="Arial" w:hAnsi="Arial"/>
                <w:sz w:val="17"/>
                <w:szCs w:val="17"/>
                <w:color w:val="auto"/>
                <w:w w:val="90"/>
              </w:rPr>
              <w:t>2017: 3,519 days</w:t>
            </w:r>
          </w:p>
        </w:tc>
        <w:tc>
          <w:tcPr>
            <w:tcW w:w="3080" w:type="dxa"/>
            <w:vAlign w:val="bottom"/>
            <w:gridSpan w:val="2"/>
          </w:tcPr>
          <w:p>
            <w:pPr>
              <w:ind w:left="80"/>
              <w:spacing w:after="0"/>
              <w:rPr>
                <w:sz w:val="20"/>
                <w:szCs w:val="20"/>
                <w:color w:val="auto"/>
              </w:rPr>
            </w:pPr>
            <w:r>
              <w:rPr>
                <w:rFonts w:ascii="Arial" w:cs="Arial" w:eastAsia="Arial" w:hAnsi="Arial"/>
                <w:sz w:val="17"/>
                <w:szCs w:val="17"/>
                <w:color w:val="auto"/>
              </w:rPr>
              <w:t>Increase/(decrease) of 365 days would</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80" w:type="dxa"/>
            <w:vAlign w:val="bottom"/>
            <w:gridSpan w:val="2"/>
          </w:tcPr>
          <w:p>
            <w:pPr>
              <w:ind w:left="80"/>
              <w:spacing w:after="0"/>
              <w:rPr>
                <w:sz w:val="20"/>
                <w:szCs w:val="20"/>
                <w:color w:val="auto"/>
              </w:rPr>
            </w:pPr>
            <w:r>
              <w:rPr>
                <w:rFonts w:ascii="Arial" w:cs="Arial" w:eastAsia="Arial" w:hAnsi="Arial"/>
                <w:sz w:val="17"/>
                <w:szCs w:val="17"/>
                <w:color w:val="auto"/>
                <w:w w:val="92"/>
              </w:rPr>
              <w:t>result in an increase/(decrease) of £54,000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table below summarizes the maturity profile of the Group’s financial liabilities based on contractual undiscounted payments at December 31,</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2018:</w:t>
      </w:r>
    </w:p>
    <w:p>
      <w:pPr>
        <w:spacing w:after="0" w:line="222"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3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Payments due by period</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35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80" w:type="dxa"/>
            <w:vAlign w:val="bottom"/>
            <w:tcBorders>
              <w:bottom w:val="single" w:sz="8" w:color="auto"/>
            </w:tcBorders>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Up to 1 year</w:t>
            </w:r>
          </w:p>
        </w:tc>
        <w:tc>
          <w:tcPr>
            <w:tcW w:w="1080" w:type="dxa"/>
            <w:vAlign w:val="bottom"/>
            <w:tcBorders>
              <w:bottom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1–3 years</w:t>
            </w:r>
          </w:p>
        </w:tc>
        <w:tc>
          <w:tcPr>
            <w:tcW w:w="7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7"/>
              </w:rPr>
              <w:t>3–5 years</w:t>
            </w: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7"/>
              </w:rPr>
              <w:t>Over 5 years</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82"/>
              <w:spacing w:after="0" w:line="13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r>
      <w:tr>
        <w:trPr>
          <w:trHeight w:val="135"/>
        </w:trPr>
        <w:tc>
          <w:tcPr>
            <w:tcW w:w="35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(in £)</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7"/>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Novartis Notes</w:t>
            </w:r>
          </w:p>
        </w:tc>
        <w:tc>
          <w:tcPr>
            <w:tcW w:w="30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82,600</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2,161,642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2,244,242</w:t>
            </w:r>
          </w:p>
        </w:tc>
      </w:tr>
      <w:tr>
        <w:trPr>
          <w:trHeight w:val="207"/>
        </w:trPr>
        <w:tc>
          <w:tcPr>
            <w:tcW w:w="3580" w:type="dxa"/>
            <w:vAlign w:val="bottom"/>
          </w:tcPr>
          <w:p>
            <w:pPr>
              <w:spacing w:after="0"/>
              <w:rPr>
                <w:sz w:val="20"/>
                <w:szCs w:val="20"/>
                <w:color w:val="auto"/>
              </w:rPr>
            </w:pPr>
            <w:r>
              <w:rPr>
                <w:rFonts w:ascii="Arial" w:cs="Arial" w:eastAsia="Arial" w:hAnsi="Arial"/>
                <w:sz w:val="17"/>
                <w:szCs w:val="17"/>
                <w:color w:val="auto"/>
              </w:rPr>
              <w:t>Bank loan</w:t>
            </w:r>
          </w:p>
        </w:tc>
        <w:tc>
          <w:tcPr>
            <w:tcW w:w="30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8,260,337</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6"/>
              </w:rPr>
              <w:t>15,589,137</w:t>
            </w:r>
          </w:p>
        </w:tc>
        <w:tc>
          <w:tcPr>
            <w:tcW w:w="760" w:type="dxa"/>
            <w:vAlign w:val="bottom"/>
          </w:tcPr>
          <w:p>
            <w:pPr>
              <w:ind w:left="5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23,849,474</w:t>
            </w:r>
          </w:p>
        </w:tc>
      </w:tr>
      <w:tr>
        <w:trPr>
          <w:trHeight w:val="207"/>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(see Note 26)</w:t>
            </w:r>
          </w:p>
        </w:tc>
        <w:tc>
          <w:tcPr>
            <w:tcW w:w="30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331,527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204,138</w:t>
            </w:r>
          </w:p>
        </w:tc>
        <w:tc>
          <w:tcPr>
            <w:tcW w:w="76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535,665</w:t>
            </w:r>
          </w:p>
        </w:tc>
      </w:tr>
      <w:tr>
        <w:trPr>
          <w:trHeight w:val="213"/>
        </w:trPr>
        <w:tc>
          <w:tcPr>
            <w:tcW w:w="3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8,674,464</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17,954,917</w:t>
            </w:r>
          </w:p>
        </w:tc>
        <w:tc>
          <w:tcPr>
            <w:tcW w:w="240" w:type="dxa"/>
            <w:vAlign w:val="bottom"/>
          </w:tcPr>
          <w:p>
            <w:pPr>
              <w:spacing w:after="0"/>
              <w:rPr>
                <w:sz w:val="18"/>
                <w:szCs w:val="18"/>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8"/>
                <w:szCs w:val="18"/>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26,629,381</w:t>
            </w:r>
          </w:p>
        </w:tc>
        <w:tc>
          <w:tcPr>
            <w:tcW w:w="6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2"/>
        </w:trPr>
        <w:tc>
          <w:tcPr>
            <w:tcW w:w="3580" w:type="dxa"/>
            <w:vAlign w:val="bottom"/>
          </w:tcPr>
          <w:p>
            <w:pPr>
              <w:spacing w:after="0"/>
              <w:rPr>
                <w:sz w:val="24"/>
                <w:szCs w:val="24"/>
                <w:color w:val="auto"/>
              </w:rPr>
            </w:pPr>
          </w:p>
        </w:tc>
        <w:tc>
          <w:tcPr>
            <w:tcW w:w="3020" w:type="dxa"/>
            <w:vAlign w:val="bottom"/>
            <w:gridSpan w:val="3"/>
          </w:tcPr>
          <w:p>
            <w:pPr>
              <w:jc w:val="right"/>
              <w:ind w:right="1160"/>
              <w:spacing w:after="0"/>
              <w:rPr>
                <w:sz w:val="20"/>
                <w:szCs w:val="20"/>
                <w:color w:val="auto"/>
              </w:rPr>
            </w:pPr>
            <w:r>
              <w:rPr>
                <w:rFonts w:ascii="Arial" w:cs="Arial" w:eastAsia="Arial" w:hAnsi="Arial"/>
                <w:sz w:val="17"/>
                <w:szCs w:val="17"/>
                <w:color w:val="auto"/>
              </w:rPr>
              <w:t>F-33</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240" w:top="445" w:right="65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table below summarizes our contractual obligations at December 31, 2017:</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56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Payments due by period</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5620" w:type="dxa"/>
            <w:vAlign w:val="bottom"/>
          </w:tcPr>
          <w:p>
            <w:pPr>
              <w:spacing w:after="0"/>
              <w:rPr>
                <w:sz w:val="11"/>
                <w:szCs w:val="11"/>
                <w:color w:val="auto"/>
              </w:rPr>
            </w:pPr>
          </w:p>
        </w:tc>
        <w:tc>
          <w:tcPr>
            <w:tcW w:w="98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Up to 1 year</w:t>
            </w:r>
          </w:p>
        </w:tc>
        <w:tc>
          <w:tcPr>
            <w:tcW w:w="1080" w:type="dxa"/>
            <w:vAlign w:val="bottom"/>
            <w:tcBorders>
              <w:bottom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1–3 years</w:t>
            </w:r>
          </w:p>
        </w:tc>
        <w:tc>
          <w:tcPr>
            <w:tcW w:w="1000" w:type="dxa"/>
            <w:vAlign w:val="bottom"/>
            <w:tcBorders>
              <w:bottom w:val="single" w:sz="8" w:color="auto"/>
            </w:tcBorders>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3–5 years</w:t>
            </w:r>
          </w:p>
        </w:tc>
        <w:tc>
          <w:tcPr>
            <w:tcW w:w="76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7"/>
              </w:rPr>
              <w:t>Over 5 years</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82"/>
              <w:spacing w:after="0" w:line="13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r>
      <w:tr>
        <w:trPr>
          <w:trHeight w:val="135"/>
        </w:trPr>
        <w:tc>
          <w:tcPr>
            <w:tcW w:w="5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 £)</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Novartis Notes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82,600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165,427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w w:val="97"/>
              </w:rPr>
              <w:t>2,078,815</w:t>
            </w:r>
          </w:p>
        </w:tc>
        <w:tc>
          <w:tcPr>
            <w:tcW w:w="76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2,326,842</w:t>
            </w:r>
          </w:p>
        </w:tc>
      </w:tr>
      <w:tr>
        <w:trPr>
          <w:trHeight w:val="207"/>
        </w:trPr>
        <w:tc>
          <w:tcPr>
            <w:tcW w:w="5620" w:type="dxa"/>
            <w:vAlign w:val="bottom"/>
          </w:tcPr>
          <w:p>
            <w:pPr>
              <w:spacing w:after="0"/>
              <w:rPr>
                <w:sz w:val="20"/>
                <w:szCs w:val="20"/>
                <w:color w:val="auto"/>
              </w:rPr>
            </w:pPr>
            <w:r>
              <w:rPr>
                <w:rFonts w:ascii="Arial" w:cs="Arial" w:eastAsia="Arial" w:hAnsi="Arial"/>
                <w:sz w:val="17"/>
                <w:szCs w:val="17"/>
                <w:color w:val="auto"/>
              </w:rPr>
              <w:t>Bank loan</w:t>
            </w:r>
          </w:p>
        </w:tc>
        <w:tc>
          <w:tcPr>
            <w:tcW w:w="7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95"/>
              </w:rPr>
              <w:t>3,574,208</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6"/>
              </w:rPr>
              <w:t>17,793,665</w:t>
            </w:r>
          </w:p>
        </w:tc>
        <w:tc>
          <w:tcPr>
            <w:tcW w:w="10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7"/>
              </w:rPr>
              <w:t>2,982,805</w:t>
            </w:r>
          </w:p>
        </w:tc>
        <w:tc>
          <w:tcPr>
            <w:tcW w:w="760" w:type="dxa"/>
            <w:vAlign w:val="bottom"/>
          </w:tcPr>
          <w:p>
            <w:pPr>
              <w:ind w:left="50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24,350,678</w:t>
            </w:r>
          </w:p>
        </w:tc>
      </w:t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(see Note 26)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743,858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535,203</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1,279,061</w:t>
            </w:r>
          </w:p>
        </w:tc>
      </w:tr>
      <w:tr>
        <w:trPr>
          <w:trHeight w:val="213"/>
        </w:trPr>
        <w:tc>
          <w:tcPr>
            <w:tcW w:w="56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4,400,666</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18,494,295</w:t>
            </w:r>
          </w:p>
        </w:tc>
        <w:tc>
          <w:tcPr>
            <w:tcW w:w="2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7"/>
              </w:rPr>
              <w:t>5,061,620</w:t>
            </w:r>
          </w:p>
        </w:tc>
        <w:tc>
          <w:tcPr>
            <w:tcW w:w="240" w:type="dxa"/>
            <w:vAlign w:val="bottom"/>
          </w:tcPr>
          <w:p>
            <w:pPr>
              <w:spacing w:after="0"/>
              <w:rPr>
                <w:sz w:val="18"/>
                <w:szCs w:val="18"/>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27,956,581</w:t>
            </w:r>
          </w:p>
        </w:tc>
        <w:tc>
          <w:tcPr>
            <w:tcW w:w="6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right="80" w:firstLine="423"/>
        <w:spacing w:after="0" w:line="285" w:lineRule="auto"/>
        <w:rPr>
          <w:sz w:val="20"/>
          <w:szCs w:val="20"/>
          <w:color w:val="auto"/>
        </w:rPr>
      </w:pPr>
      <w:r>
        <w:rPr>
          <w:rFonts w:ascii="Arial" w:cs="Arial" w:eastAsia="Arial" w:hAnsi="Arial"/>
          <w:sz w:val="16"/>
          <w:szCs w:val="16"/>
          <w:color w:val="auto"/>
        </w:rPr>
        <w:t>The Group may incur potential payments upon achievement of clinical, regulatory and commercial milestones, as applicable, or royalty payments that may be required to be made under license agreements the Group entered into with various entities pursuant to which the Group has in-licensed certain intellectual property, including license agreements with Novartis and AstraZeneca. Due to the uncertainty of the achievement and timing of the events requiring payment under these agreements, the amounts to be paid are not fixed or determinable at this time.</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25. Share-based payments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charge for share-based payments under IFRS 2 arises across the following schemes:</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940" w:type="dxa"/>
            <w:vAlign w:val="bottom"/>
          </w:tcPr>
          <w:p>
            <w:pPr>
              <w:spacing w:after="0"/>
              <w:rPr>
                <w:sz w:val="14"/>
                <w:szCs w:val="14"/>
                <w:color w:val="auto"/>
              </w:rPr>
            </w:pPr>
          </w:p>
        </w:tc>
        <w:tc>
          <w:tcPr>
            <w:tcW w:w="2180" w:type="dxa"/>
            <w:vAlign w:val="bottom"/>
            <w:tcBorders>
              <w:bottom w:val="single" w:sz="8" w:color="auto"/>
            </w:tcBorders>
            <w:gridSpan w:val="5"/>
          </w:tcPr>
          <w:p>
            <w:pPr>
              <w:jc w:val="center"/>
              <w:ind w:left="619"/>
              <w:spacing w:after="0"/>
              <w:rPr>
                <w:sz w:val="20"/>
                <w:szCs w:val="20"/>
                <w:color w:val="auto"/>
              </w:rPr>
            </w:pPr>
            <w:r>
              <w:rPr>
                <w:rFonts w:ascii="Arial" w:cs="Arial" w:eastAsia="Arial" w:hAnsi="Arial"/>
                <w:sz w:val="14"/>
                <w:szCs w:val="14"/>
                <w:b w:val="1"/>
                <w:bCs w:val="1"/>
                <w:color w:val="auto"/>
                <w:w w:val="86"/>
              </w:rPr>
              <w:t>Year ended December 31,</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5940" w:type="dxa"/>
            <w:vAlign w:val="bottom"/>
          </w:tcPr>
          <w:p>
            <w:pPr>
              <w:spacing w:after="0"/>
              <w:rPr>
                <w:sz w:val="11"/>
                <w:szCs w:val="11"/>
                <w:color w:val="auto"/>
              </w:rPr>
            </w:pPr>
          </w:p>
        </w:tc>
        <w:tc>
          <w:tcPr>
            <w:tcW w:w="760" w:type="dxa"/>
            <w:vAlign w:val="bottom"/>
            <w:tcBorders>
              <w:bottom w:val="single" w:sz="8" w:color="auto"/>
            </w:tcBorders>
          </w:tcPr>
          <w:p>
            <w:pPr>
              <w:jc w:val="right"/>
              <w:ind w:right="159"/>
              <w:spacing w:after="0" w:line="135" w:lineRule="exact"/>
              <w:rPr>
                <w:sz w:val="20"/>
                <w:szCs w:val="20"/>
                <w:color w:val="auto"/>
              </w:rPr>
            </w:pPr>
            <w:r>
              <w:rPr>
                <w:rFonts w:ascii="Arial" w:cs="Arial" w:eastAsia="Arial" w:hAnsi="Arial"/>
                <w:sz w:val="14"/>
                <w:szCs w:val="14"/>
                <w:b w:val="1"/>
                <w:bCs w:val="1"/>
                <w:color w:val="auto"/>
              </w:rPr>
              <w:t>2016</w:t>
            </w:r>
          </w:p>
        </w:tc>
        <w:tc>
          <w:tcPr>
            <w:tcW w:w="1060" w:type="dxa"/>
            <w:vAlign w:val="bottom"/>
            <w:tcBorders>
              <w:bottom w:val="single" w:sz="8" w:color="auto"/>
            </w:tcBorders>
            <w:gridSpan w:val="2"/>
          </w:tcPr>
          <w:p>
            <w:pPr>
              <w:jc w:val="center"/>
              <w:ind w:left="217"/>
              <w:spacing w:after="0" w:line="135"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r>
      <w:tr>
        <w:trPr>
          <w:trHeight w:val="135"/>
        </w:trPr>
        <w:tc>
          <w:tcPr>
            <w:tcW w:w="5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jc w:val="center"/>
              <w:ind w:right="380"/>
              <w:spacing w:after="0" w:line="135" w:lineRule="exact"/>
              <w:rPr>
                <w:sz w:val="20"/>
                <w:szCs w:val="20"/>
                <w:color w:val="auto"/>
              </w:rPr>
            </w:pPr>
            <w:r>
              <w:rPr>
                <w:rFonts w:ascii="Arial" w:cs="Arial" w:eastAsia="Arial" w:hAnsi="Arial"/>
                <w:sz w:val="14"/>
                <w:szCs w:val="14"/>
                <w:b w:val="1"/>
                <w:bCs w:val="1"/>
                <w:color w:val="auto"/>
                <w:w w:val="95"/>
              </w:rPr>
              <w:t>(in £)</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2015 Plan</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6,185,067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2,441,671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805,738</w:t>
            </w:r>
          </w:p>
        </w:tc>
        <w:tc>
          <w:tcPr>
            <w:tcW w:w="60" w:type="dxa"/>
            <w:vAlign w:val="bottom"/>
            <w:shd w:val="clear" w:color="auto" w:fill="CCEEFF"/>
          </w:tcPr>
          <w:p>
            <w:pPr>
              <w:spacing w:after="0"/>
              <w:rPr>
                <w:sz w:val="18"/>
                <w:szCs w:val="18"/>
                <w:color w:val="auto"/>
              </w:rPr>
            </w:pPr>
          </w:p>
        </w:tc>
      </w:tr>
      <w:tr>
        <w:trPr>
          <w:trHeight w:val="207"/>
        </w:trPr>
        <w:tc>
          <w:tcPr>
            <w:tcW w:w="5940" w:type="dxa"/>
            <w:vAlign w:val="bottom"/>
          </w:tcPr>
          <w:p>
            <w:pPr>
              <w:spacing w:after="0"/>
              <w:rPr>
                <w:sz w:val="20"/>
                <w:szCs w:val="20"/>
                <w:color w:val="auto"/>
              </w:rPr>
            </w:pPr>
            <w:r>
              <w:rPr>
                <w:rFonts w:ascii="Arial" w:cs="Arial" w:eastAsia="Arial" w:hAnsi="Arial"/>
                <w:sz w:val="17"/>
                <w:szCs w:val="17"/>
                <w:color w:val="auto"/>
              </w:rPr>
              <w:t>Mereo BioPharma Group plc Share Option Plan</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586,291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1,064,217</w:t>
            </w:r>
          </w:p>
        </w:tc>
        <w:tc>
          <w:tcPr>
            <w:tcW w:w="60" w:type="dxa"/>
            <w:vAlign w:val="bottom"/>
          </w:tcPr>
          <w:p>
            <w:pPr>
              <w:spacing w:after="0"/>
              <w:rPr>
                <w:sz w:val="18"/>
                <w:szCs w:val="18"/>
                <w:color w:val="auto"/>
              </w:rPr>
            </w:pPr>
          </w:p>
        </w:tc>
      </w:t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Long Term Incentive Plan</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298,287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319,338</w:t>
            </w:r>
          </w:p>
        </w:tc>
        <w:tc>
          <w:tcPr>
            <w:tcW w:w="60" w:type="dxa"/>
            <w:vAlign w:val="bottom"/>
            <w:shd w:val="clear" w:color="auto" w:fill="CCEEFF"/>
          </w:tcPr>
          <w:p>
            <w:pPr>
              <w:spacing w:after="0"/>
              <w:rPr>
                <w:sz w:val="18"/>
                <w:szCs w:val="18"/>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7"/>
                <w:szCs w:val="17"/>
                <w:color w:val="auto"/>
              </w:rPr>
              <w:t>Deferred Bonus Share Plan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175,350</w:t>
            </w:r>
          </w:p>
        </w:tc>
        <w:tc>
          <w:tcPr>
            <w:tcW w:w="3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325,649</w:t>
            </w:r>
          </w:p>
        </w:tc>
        <w:tc>
          <w:tcPr>
            <w:tcW w:w="3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07"/>
        </w:trPr>
        <w:tc>
          <w:tcPr>
            <w:tcW w:w="59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6,494,018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3,651,898</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2,189,293</w:t>
            </w:r>
          </w:p>
        </w:tc>
        <w:tc>
          <w:tcPr>
            <w:tcW w:w="60" w:type="dxa"/>
            <w:vAlign w:val="bottom"/>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2015 Plan</w:t>
      </w:r>
    </w:p>
    <w:p>
      <w:pPr>
        <w:spacing w:after="0" w:line="115" w:lineRule="exact"/>
        <w:rPr>
          <w:sz w:val="20"/>
          <w:szCs w:val="20"/>
          <w:color w:val="auto"/>
        </w:rPr>
      </w:pPr>
    </w:p>
    <w:p>
      <w:pPr>
        <w:ind w:left="440" w:right="20" w:firstLine="423"/>
        <w:spacing w:after="0" w:line="304" w:lineRule="auto"/>
        <w:rPr>
          <w:sz w:val="20"/>
          <w:szCs w:val="20"/>
          <w:color w:val="auto"/>
        </w:rPr>
      </w:pPr>
      <w:r>
        <w:rPr>
          <w:rFonts w:ascii="Arial" w:cs="Arial" w:eastAsia="Arial" w:hAnsi="Arial"/>
          <w:sz w:val="15"/>
          <w:szCs w:val="15"/>
          <w:color w:val="auto"/>
        </w:rPr>
        <w:t>Under the Mereo BioPharma Group Limited Share Option Plan (the “2015 Plan”), the Group, at its discretion, granted share options to employees, including executive management, and NEDs. Share options vest over four years for executive management and employees and over three years for NEDs. There are no performance conditions attached to the options issued under the Option Plan. The fair value of share options granted was estimated at the date of grant using a Black Scholes pricing model, taking into account the terms and conditions upon which the share options were granted. The fair value calculation does not include any allowance for dividends as the Company has no available profits for distribution.</w:t>
      </w:r>
    </w:p>
    <w:p>
      <w:pPr>
        <w:spacing w:after="0" w:line="151" w:lineRule="exact"/>
        <w:rPr>
          <w:sz w:val="20"/>
          <w:szCs w:val="20"/>
          <w:color w:val="auto"/>
        </w:rPr>
      </w:pPr>
    </w:p>
    <w:p>
      <w:pPr>
        <w:ind w:left="440" w:right="160" w:firstLine="423"/>
        <w:spacing w:after="0" w:line="284" w:lineRule="auto"/>
        <w:rPr>
          <w:sz w:val="20"/>
          <w:szCs w:val="20"/>
          <w:color w:val="auto"/>
        </w:rPr>
      </w:pPr>
      <w:r>
        <w:rPr>
          <w:rFonts w:ascii="Arial" w:cs="Arial" w:eastAsia="Arial" w:hAnsi="Arial"/>
          <w:sz w:val="17"/>
          <w:szCs w:val="17"/>
          <w:color w:val="auto"/>
        </w:rPr>
        <w:t>The exercise price of the share options will be equal to the market price of the underlying shares on the date of grant, less a discount agreed with the Group’s institutional investors. The contractual term of the share options is ten years.</w:t>
      </w:r>
    </w:p>
    <w:p>
      <w:pPr>
        <w:spacing w:after="0" w:line="159" w:lineRule="exact"/>
        <w:rPr>
          <w:sz w:val="20"/>
          <w:szCs w:val="20"/>
          <w:color w:val="auto"/>
        </w:rPr>
      </w:pPr>
    </w:p>
    <w:p>
      <w:pPr>
        <w:ind w:left="440" w:right="500" w:firstLine="423"/>
        <w:spacing w:after="0" w:line="284" w:lineRule="auto"/>
        <w:rPr>
          <w:sz w:val="20"/>
          <w:szCs w:val="20"/>
          <w:color w:val="auto"/>
        </w:rPr>
      </w:pPr>
      <w:r>
        <w:rPr>
          <w:rFonts w:ascii="Arial" w:cs="Arial" w:eastAsia="Arial" w:hAnsi="Arial"/>
          <w:sz w:val="17"/>
          <w:szCs w:val="17"/>
          <w:color w:val="auto"/>
        </w:rPr>
        <w:t>Of the £6,185,067 expense recognized under the option plan for employee services received during 2016, £298,836 is an accelerated charge relating to 500,000 options which were cancelled on June 9, 2016.</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No share options were issued during the year under the 2015 Share Plan.</w:t>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Movements during the year</w:t>
      </w:r>
    </w:p>
    <w:p>
      <w:pPr>
        <w:spacing w:after="0" w:line="115" w:lineRule="exact"/>
        <w:rPr>
          <w:sz w:val="20"/>
          <w:szCs w:val="20"/>
          <w:color w:val="auto"/>
        </w:rPr>
      </w:pPr>
    </w:p>
    <w:p>
      <w:pPr>
        <w:ind w:left="440" w:right="140" w:firstLine="423"/>
        <w:spacing w:after="0" w:line="284" w:lineRule="auto"/>
        <w:rPr>
          <w:sz w:val="20"/>
          <w:szCs w:val="20"/>
          <w:color w:val="auto"/>
        </w:rPr>
      </w:pPr>
      <w:r>
        <w:rPr>
          <w:rFonts w:ascii="Arial" w:cs="Arial" w:eastAsia="Arial" w:hAnsi="Arial"/>
          <w:sz w:val="17"/>
          <w:szCs w:val="17"/>
          <w:color w:val="auto"/>
        </w:rPr>
        <w:t>The following table illustrates the number and weighted average exercise prices (WAEP) of, and movements in, options for the 2015 Plan during the year:</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3820" w:type="dxa"/>
            <w:vAlign w:val="bottom"/>
          </w:tcPr>
          <w:p>
            <w:pPr>
              <w:spacing w:after="0"/>
              <w:rPr>
                <w:sz w:val="14"/>
                <w:szCs w:val="14"/>
                <w:color w:val="auto"/>
              </w:rPr>
            </w:pPr>
          </w:p>
        </w:tc>
        <w:tc>
          <w:tcPr>
            <w:tcW w:w="32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8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96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b w:val="1"/>
                <w:bCs w:val="1"/>
                <w:color w:val="auto"/>
                <w:w w:val="97"/>
              </w:rPr>
              <w:t>WAEP</w:t>
            </w:r>
          </w:p>
        </w:tc>
        <w:tc>
          <w:tcPr>
            <w:tcW w:w="160" w:type="dxa"/>
            <w:vAlign w:val="bottom"/>
          </w:tcPr>
          <w:p>
            <w:pPr>
              <w:spacing w:after="0"/>
              <w:rPr>
                <w:sz w:val="9"/>
                <w:szCs w:val="9"/>
                <w:color w:val="auto"/>
              </w:rPr>
            </w:pPr>
          </w:p>
        </w:tc>
        <w:tc>
          <w:tcPr>
            <w:tcW w:w="94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w w:val="97"/>
              </w:rPr>
              <w:t>WAEP</w:t>
            </w:r>
          </w:p>
        </w:tc>
        <w:tc>
          <w:tcPr>
            <w:tcW w:w="140" w:type="dxa"/>
            <w:vAlign w:val="bottom"/>
          </w:tcPr>
          <w:p>
            <w:pPr>
              <w:spacing w:after="0"/>
              <w:rPr>
                <w:sz w:val="9"/>
                <w:szCs w:val="9"/>
                <w:color w:val="auto"/>
              </w:rPr>
            </w:pPr>
          </w:p>
        </w:tc>
        <w:tc>
          <w:tcPr>
            <w:tcW w:w="96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WAEP</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8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0" w:type="dxa"/>
            <w:vAlign w:val="bottom"/>
          </w:tcPr>
          <w:p>
            <w:pPr>
              <w:jc w:val="right"/>
              <w:ind w:right="9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20" w:type="dxa"/>
            <w:vAlign w:val="bottom"/>
          </w:tcPr>
          <w:p>
            <w:pPr>
              <w:jc w:val="right"/>
              <w:ind w:right="9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0" w:type="dxa"/>
            <w:vAlign w:val="bottom"/>
          </w:tcPr>
          <w:p>
            <w:pPr>
              <w:jc w:val="right"/>
              <w:ind w:right="7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beginning of the year</w:t>
            </w:r>
          </w:p>
        </w:tc>
        <w:tc>
          <w:tcPr>
            <w:tcW w:w="2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8,964,394</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9,198,655</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ind w:left="18"/>
              <w:spacing w:after="0"/>
              <w:rPr>
                <w:sz w:val="20"/>
                <w:szCs w:val="20"/>
                <w:color w:val="auto"/>
              </w:rPr>
            </w:pPr>
            <w:r>
              <w:rPr>
                <w:rFonts w:ascii="Arial" w:cs="Arial" w:eastAsia="Arial" w:hAnsi="Arial"/>
                <w:sz w:val="17"/>
                <w:szCs w:val="17"/>
                <w:color w:val="auto"/>
                <w:w w:val="96"/>
              </w:rPr>
              <w:t>1.32</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9,124,610</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ind w:left="18"/>
              <w:spacing w:after="0"/>
              <w:rPr>
                <w:sz w:val="20"/>
                <w:szCs w:val="20"/>
                <w:color w:val="auto"/>
              </w:rPr>
            </w:pPr>
            <w:r>
              <w:rPr>
                <w:rFonts w:ascii="Arial" w:cs="Arial" w:eastAsia="Arial" w:hAnsi="Arial"/>
                <w:sz w:val="17"/>
                <w:szCs w:val="17"/>
                <w:b w:val="1"/>
                <w:bCs w:val="1"/>
                <w:color w:val="auto"/>
                <w:w w:val="90"/>
              </w:rPr>
              <w:t>1.32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20" w:type="dxa"/>
            <w:vAlign w:val="bottom"/>
          </w:tcPr>
          <w:p>
            <w:pPr>
              <w:spacing w:after="0"/>
              <w:rPr>
                <w:sz w:val="20"/>
                <w:szCs w:val="20"/>
                <w:color w:val="auto"/>
              </w:rPr>
            </w:pPr>
            <w:r>
              <w:rPr>
                <w:rFonts w:ascii="Arial" w:cs="Arial" w:eastAsia="Arial" w:hAnsi="Arial"/>
                <w:sz w:val="17"/>
                <w:szCs w:val="17"/>
                <w:color w:val="auto"/>
              </w:rPr>
              <w:t>Granted during the year</w:t>
            </w:r>
          </w:p>
        </w:tc>
        <w:tc>
          <w:tcPr>
            <w:tcW w:w="3260" w:type="dxa"/>
            <w:vAlign w:val="bottom"/>
            <w:gridSpan w:val="3"/>
          </w:tcPr>
          <w:p>
            <w:pPr>
              <w:jc w:val="right"/>
              <w:ind w:right="220"/>
              <w:spacing w:after="0"/>
              <w:rPr>
                <w:sz w:val="20"/>
                <w:szCs w:val="20"/>
                <w:color w:val="auto"/>
              </w:rPr>
            </w:pPr>
            <w:r>
              <w:rPr>
                <w:rFonts w:ascii="Arial" w:cs="Arial" w:eastAsia="Arial" w:hAnsi="Arial"/>
                <w:sz w:val="17"/>
                <w:szCs w:val="17"/>
                <w:color w:val="auto"/>
              </w:rPr>
              <w:t>1,316,117</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1.49</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Cancelled during the year</w:t>
            </w:r>
          </w:p>
        </w:tc>
        <w:tc>
          <w:tcPr>
            <w:tcW w:w="32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(500,000)</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3"/>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3820" w:type="dxa"/>
            <w:vAlign w:val="bottom"/>
          </w:tcPr>
          <w:p>
            <w:pPr>
              <w:spacing w:after="0"/>
              <w:rPr>
                <w:sz w:val="20"/>
                <w:szCs w:val="20"/>
                <w:color w:val="auto"/>
              </w:rPr>
            </w:pPr>
            <w:r>
              <w:rPr>
                <w:rFonts w:ascii="Arial" w:cs="Arial" w:eastAsia="Arial" w:hAnsi="Arial"/>
                <w:sz w:val="17"/>
                <w:szCs w:val="17"/>
                <w:color w:val="auto"/>
              </w:rPr>
              <w:t>Forfeited during the year</w:t>
            </w:r>
          </w:p>
        </w:tc>
        <w:tc>
          <w:tcPr>
            <w:tcW w:w="3260" w:type="dxa"/>
            <w:vAlign w:val="bottom"/>
            <w:gridSpan w:val="3"/>
          </w:tcPr>
          <w:p>
            <w:pPr>
              <w:jc w:val="right"/>
              <w:ind w:right="160"/>
              <w:spacing w:after="0"/>
              <w:rPr>
                <w:sz w:val="20"/>
                <w:szCs w:val="20"/>
                <w:color w:val="auto"/>
              </w:rPr>
            </w:pPr>
            <w:r>
              <w:rPr>
                <w:rFonts w:ascii="Arial" w:cs="Arial" w:eastAsia="Arial" w:hAnsi="Arial"/>
                <w:sz w:val="17"/>
                <w:szCs w:val="17"/>
                <w:color w:val="auto"/>
              </w:rPr>
              <w:t>(581,856)</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1.29</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(74,045)</w:t>
            </w:r>
          </w:p>
        </w:tc>
        <w:tc>
          <w:tcPr>
            <w:tcW w:w="560" w:type="dxa"/>
            <w:vAlign w:val="bottom"/>
            <w:gridSpan w:val="2"/>
          </w:tcPr>
          <w:p>
            <w:pPr>
              <w:jc w:val="center"/>
              <w:ind w:right="40"/>
              <w:spacing w:after="0"/>
              <w:rPr>
                <w:sz w:val="20"/>
                <w:szCs w:val="20"/>
                <w:color w:val="auto"/>
              </w:rPr>
            </w:pPr>
            <w:r>
              <w:rPr>
                <w:rFonts w:ascii="Arial" w:cs="Arial" w:eastAsia="Arial" w:hAnsi="Arial"/>
                <w:sz w:val="17"/>
                <w:szCs w:val="17"/>
                <w:color w:val="auto"/>
                <w:w w:val="96"/>
              </w:rPr>
              <w:t>1.29</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(46,255)</w:t>
            </w:r>
          </w:p>
        </w:tc>
        <w:tc>
          <w:tcPr>
            <w:tcW w:w="4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1.29</w:t>
            </w:r>
          </w:p>
        </w:tc>
        <w:tc>
          <w:tcPr>
            <w:tcW w:w="0" w:type="dxa"/>
            <w:vAlign w:val="bottom"/>
          </w:tcPr>
          <w:p>
            <w:pPr>
              <w:spacing w:after="0"/>
              <w:rPr>
                <w:sz w:val="1"/>
                <w:szCs w:val="1"/>
                <w:color w:val="auto"/>
              </w:rPr>
            </w:pPr>
          </w:p>
        </w:tc>
      </w:tr>
      <w:tr>
        <w:trPr>
          <w:trHeight w:val="207"/>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Exercised during the year</w:t>
            </w:r>
          </w:p>
        </w:tc>
        <w:tc>
          <w:tcPr>
            <w:tcW w:w="2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(95,222)</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1.29</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7"/>
                <w:szCs w:val="17"/>
                <w:color w:val="auto"/>
              </w:rPr>
              <w:t>Outstanding at December 31</w:t>
            </w:r>
          </w:p>
        </w:tc>
        <w:tc>
          <w:tcPr>
            <w:tcW w:w="2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2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w w:val="95"/>
              </w:rPr>
              <w:t>9,198,655</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1.32</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9,124,610</w:t>
            </w:r>
          </w:p>
        </w:tc>
        <w:tc>
          <w:tcPr>
            <w:tcW w:w="560" w:type="dxa"/>
            <w:vAlign w:val="bottom"/>
            <w:gridSpan w:val="2"/>
          </w:tcPr>
          <w:p>
            <w:pPr>
              <w:jc w:val="center"/>
              <w:ind w:right="40"/>
              <w:spacing w:after="0"/>
              <w:rPr>
                <w:sz w:val="20"/>
                <w:szCs w:val="20"/>
                <w:color w:val="auto"/>
              </w:rPr>
            </w:pPr>
            <w:r>
              <w:rPr>
                <w:rFonts w:ascii="Arial" w:cs="Arial" w:eastAsia="Arial" w:hAnsi="Arial"/>
                <w:sz w:val="17"/>
                <w:szCs w:val="17"/>
                <w:color w:val="auto"/>
                <w:w w:val="96"/>
              </w:rPr>
              <w:t>1.32</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w w:val="97"/>
              </w:rPr>
              <w:t>8,983,133</w:t>
            </w:r>
          </w:p>
        </w:tc>
        <w:tc>
          <w:tcPr>
            <w:tcW w:w="200" w:type="dxa"/>
            <w:vAlign w:val="bottom"/>
            <w:vMerge w:val="continue"/>
          </w:tcPr>
          <w:p>
            <w:pPr>
              <w:spacing w:after="0"/>
              <w:rPr>
                <w:sz w:val="18"/>
                <w:szCs w:val="18"/>
                <w:color w:val="auto"/>
              </w:rPr>
            </w:pPr>
          </w:p>
        </w:tc>
        <w:tc>
          <w:tcPr>
            <w:tcW w:w="400" w:type="dxa"/>
            <w:vAlign w:val="bottom"/>
          </w:tcPr>
          <w:p>
            <w:pPr>
              <w:jc w:val="center"/>
              <w:ind w:left="18"/>
              <w:spacing w:after="0"/>
              <w:rPr>
                <w:sz w:val="20"/>
                <w:szCs w:val="20"/>
                <w:color w:val="auto"/>
              </w:rPr>
            </w:pPr>
            <w:r>
              <w:rPr>
                <w:rFonts w:ascii="Arial" w:cs="Arial" w:eastAsia="Arial" w:hAnsi="Arial"/>
                <w:sz w:val="17"/>
                <w:szCs w:val="17"/>
                <w:b w:val="1"/>
                <w:bCs w:val="1"/>
                <w:color w:val="auto"/>
                <w:w w:val="90"/>
              </w:rPr>
              <w:t>1.32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Exercisable at December 31</w:t>
            </w:r>
          </w:p>
        </w:tc>
        <w:tc>
          <w:tcPr>
            <w:tcW w:w="2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5"/>
              </w:rPr>
              <w:t>3,115,337</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5"/>
              </w:rPr>
              <w:t>5,655,676</w:t>
            </w:r>
          </w:p>
        </w:tc>
        <w:tc>
          <w:tcPr>
            <w:tcW w:w="56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6"/>
              </w:rPr>
              <w:t>1.31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w w:val="97"/>
              </w:rPr>
              <w:t>8,007,029</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1.31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820" w:type="dxa"/>
            <w:vAlign w:val="bottom"/>
          </w:tcPr>
          <w:p>
            <w:pPr>
              <w:spacing w:after="0"/>
              <w:rPr>
                <w:sz w:val="24"/>
                <w:szCs w:val="24"/>
                <w:color w:val="auto"/>
              </w:rPr>
            </w:pPr>
          </w:p>
        </w:tc>
        <w:tc>
          <w:tcPr>
            <w:tcW w:w="3260" w:type="dxa"/>
            <w:vAlign w:val="bottom"/>
            <w:gridSpan w:val="3"/>
          </w:tcPr>
          <w:p>
            <w:pPr>
              <w:jc w:val="right"/>
              <w:ind w:right="1640"/>
              <w:spacing w:after="0"/>
              <w:rPr>
                <w:sz w:val="20"/>
                <w:szCs w:val="20"/>
                <w:color w:val="auto"/>
              </w:rPr>
            </w:pPr>
            <w:r>
              <w:rPr>
                <w:rFonts w:ascii="Arial" w:cs="Arial" w:eastAsia="Arial" w:hAnsi="Arial"/>
                <w:sz w:val="17"/>
                <w:szCs w:val="17"/>
                <w:color w:val="auto"/>
              </w:rPr>
              <w:t>F-34</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45" w:right="65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weighted average remaining contractual life for the share options outstanding as at December 31, 2018 was 6.6 years (2017: 7.6 years; 2016:</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8.3 years).</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weighted average fair value of options granted during 2016 was £1.29. There were no options granted in 2017.</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Options outstanding at the end of the year had an exercise price of between £1.29 and £2.21.</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tables list the weighted average inputs to the models used for the fair value of share options granted during the years ended</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2016, 2017 and 2018:</w:t>
      </w:r>
    </w:p>
    <w:p>
      <w:pPr>
        <w:spacing w:after="0" w:line="222"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6540" w:type="dxa"/>
            <w:vAlign w:val="bottom"/>
          </w:tcPr>
          <w:p>
            <w:pPr>
              <w:spacing w:after="0"/>
              <w:rPr>
                <w:sz w:val="14"/>
                <w:szCs w:val="14"/>
                <w:color w:val="auto"/>
              </w:rPr>
            </w:pPr>
          </w:p>
        </w:tc>
        <w:tc>
          <w:tcPr>
            <w:tcW w:w="19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0"/>
              </w:rPr>
              <w:t>Year ended December 31</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6540" w:type="dxa"/>
            <w:vAlign w:val="bottom"/>
          </w:tcPr>
          <w:p>
            <w:pPr>
              <w:spacing w:after="0"/>
              <w:rPr>
                <w:sz w:val="11"/>
                <w:szCs w:val="11"/>
                <w:color w:val="auto"/>
              </w:rPr>
            </w:pPr>
          </w:p>
        </w:tc>
        <w:tc>
          <w:tcPr>
            <w:tcW w:w="1320" w:type="dxa"/>
            <w:vAlign w:val="bottom"/>
            <w:tcBorders>
              <w:bottom w:val="single" w:sz="8" w:color="auto"/>
            </w:tcBorders>
          </w:tcPr>
          <w:p>
            <w:pPr>
              <w:jc w:val="right"/>
              <w:ind w:right="580"/>
              <w:spacing w:after="0" w:line="13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jc w:val="center"/>
              <w:ind w:right="157"/>
              <w:spacing w:after="0" w:line="135" w:lineRule="exact"/>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1"/>
                <w:szCs w:val="11"/>
                <w:color w:val="auto"/>
              </w:rPr>
            </w:pPr>
          </w:p>
        </w:tc>
      </w:tr>
      <w:tr>
        <w:trPr>
          <w:trHeight w:val="135"/>
        </w:trPr>
        <w:tc>
          <w:tcPr>
            <w:tcW w:w="654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(in £)</w:t>
            </w: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7"/>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 (%)</w:t>
            </w:r>
          </w:p>
        </w:tc>
        <w:tc>
          <w:tcPr>
            <w:tcW w:w="13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56</w:t>
            </w:r>
          </w:p>
        </w:tc>
        <w:tc>
          <w:tcPr>
            <w:tcW w:w="600" w:type="dxa"/>
            <w:vAlign w:val="bottom"/>
            <w:shd w:val="clear" w:color="auto" w:fill="CCEEFF"/>
          </w:tcPr>
          <w:p>
            <w:pPr>
              <w:jc w:val="center"/>
              <w:ind w:right="197"/>
              <w:spacing w:after="0"/>
              <w:rPr>
                <w:sz w:val="20"/>
                <w:szCs w:val="20"/>
                <w:color w:val="auto"/>
              </w:rPr>
            </w:pPr>
            <w:r>
              <w:rPr>
                <w:rFonts w:ascii="Arial" w:cs="Arial" w:eastAsia="Arial" w:hAnsi="Arial"/>
                <w:sz w:val="17"/>
                <w:szCs w:val="17"/>
                <w:color w:val="auto"/>
                <w:w w:val="93"/>
              </w:rPr>
              <w:t>—</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rPr>
              <w:t>—</w:t>
            </w:r>
          </w:p>
        </w:tc>
      </w:tr>
      <w:tr>
        <w:trPr>
          <w:trHeight w:val="207"/>
        </w:trPr>
        <w:tc>
          <w:tcPr>
            <w:tcW w:w="6540" w:type="dxa"/>
            <w:vAlign w:val="bottom"/>
          </w:tcPr>
          <w:p>
            <w:pPr>
              <w:spacing w:after="0"/>
              <w:rPr>
                <w:sz w:val="20"/>
                <w:szCs w:val="20"/>
                <w:color w:val="auto"/>
              </w:rPr>
            </w:pPr>
            <w:r>
              <w:rPr>
                <w:rFonts w:ascii="Arial" w:cs="Arial" w:eastAsia="Arial" w:hAnsi="Arial"/>
                <w:sz w:val="17"/>
                <w:szCs w:val="17"/>
                <w:color w:val="auto"/>
              </w:rPr>
              <w:t>Risk-free interest rate (%)</w:t>
            </w:r>
          </w:p>
        </w:tc>
        <w:tc>
          <w:tcPr>
            <w:tcW w:w="1320" w:type="dxa"/>
            <w:vAlign w:val="bottom"/>
          </w:tcPr>
          <w:p>
            <w:pPr>
              <w:jc w:val="right"/>
              <w:ind w:right="200"/>
              <w:spacing w:after="0"/>
              <w:rPr>
                <w:sz w:val="20"/>
                <w:szCs w:val="20"/>
                <w:color w:val="auto"/>
              </w:rPr>
            </w:pPr>
            <w:r>
              <w:rPr>
                <w:rFonts w:ascii="Arial" w:cs="Arial" w:eastAsia="Arial" w:hAnsi="Arial"/>
                <w:sz w:val="17"/>
                <w:szCs w:val="17"/>
                <w:color w:val="auto"/>
              </w:rPr>
              <w:t>1.48-2.07</w:t>
            </w:r>
          </w:p>
        </w:tc>
        <w:tc>
          <w:tcPr>
            <w:tcW w:w="600" w:type="dxa"/>
            <w:vAlign w:val="bottom"/>
          </w:tcPr>
          <w:p>
            <w:pPr>
              <w:jc w:val="center"/>
              <w:ind w:right="197"/>
              <w:spacing w:after="0"/>
              <w:rPr>
                <w:sz w:val="20"/>
                <w:szCs w:val="20"/>
                <w:color w:val="auto"/>
              </w:rPr>
            </w:pPr>
            <w:r>
              <w:rPr>
                <w:rFonts w:ascii="Arial" w:cs="Arial" w:eastAsia="Arial" w:hAnsi="Arial"/>
                <w:sz w:val="17"/>
                <w:szCs w:val="17"/>
                <w:color w:val="auto"/>
                <w:w w:val="93"/>
              </w:rPr>
              <w:t>—</w:t>
            </w:r>
          </w:p>
        </w:tc>
        <w:tc>
          <w:tcPr>
            <w:tcW w:w="4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p>
        </w:tc>
      </w:tr>
      <w:tr>
        <w:trPr>
          <w:trHeight w:val="207"/>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Expected life of share options (years)</w:t>
            </w:r>
          </w:p>
        </w:tc>
        <w:tc>
          <w:tcPr>
            <w:tcW w:w="13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600" w:type="dxa"/>
            <w:vAlign w:val="bottom"/>
            <w:shd w:val="clear" w:color="auto" w:fill="CCEEFF"/>
          </w:tcPr>
          <w:p>
            <w:pPr>
              <w:jc w:val="center"/>
              <w:ind w:right="197"/>
              <w:spacing w:after="0"/>
              <w:rPr>
                <w:sz w:val="20"/>
                <w:szCs w:val="20"/>
                <w:color w:val="auto"/>
              </w:rPr>
            </w:pPr>
            <w:r>
              <w:rPr>
                <w:rFonts w:ascii="Arial" w:cs="Arial" w:eastAsia="Arial" w:hAnsi="Arial"/>
                <w:sz w:val="17"/>
                <w:szCs w:val="17"/>
                <w:color w:val="auto"/>
                <w:w w:val="93"/>
              </w:rPr>
              <w:t>—</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rPr>
              <w:t>—</w:t>
            </w:r>
          </w:p>
        </w:tc>
      </w:tr>
      <w:tr>
        <w:trPr>
          <w:trHeight w:val="207"/>
        </w:trPr>
        <w:tc>
          <w:tcPr>
            <w:tcW w:w="6540" w:type="dxa"/>
            <w:vAlign w:val="bottom"/>
          </w:tcPr>
          <w:p>
            <w:pPr>
              <w:spacing w:after="0"/>
              <w:rPr>
                <w:sz w:val="20"/>
                <w:szCs w:val="20"/>
                <w:color w:val="auto"/>
              </w:rPr>
            </w:pPr>
            <w:r>
              <w:rPr>
                <w:rFonts w:ascii="Arial" w:cs="Arial" w:eastAsia="Arial" w:hAnsi="Arial"/>
                <w:sz w:val="17"/>
                <w:szCs w:val="17"/>
                <w:color w:val="auto"/>
              </w:rPr>
              <w:t>Market price of ordinary shares (£)</w:t>
            </w:r>
          </w:p>
        </w:tc>
        <w:tc>
          <w:tcPr>
            <w:tcW w:w="1320" w:type="dxa"/>
            <w:vAlign w:val="bottom"/>
          </w:tcPr>
          <w:p>
            <w:pPr>
              <w:jc w:val="right"/>
              <w:ind w:right="200"/>
              <w:spacing w:after="0"/>
              <w:rPr>
                <w:sz w:val="20"/>
                <w:szCs w:val="20"/>
                <w:color w:val="auto"/>
              </w:rPr>
            </w:pPr>
            <w:r>
              <w:rPr>
                <w:rFonts w:ascii="Arial" w:cs="Arial" w:eastAsia="Arial" w:hAnsi="Arial"/>
                <w:sz w:val="17"/>
                <w:szCs w:val="17"/>
                <w:color w:val="auto"/>
              </w:rPr>
              <w:t>1.84-2.21</w:t>
            </w:r>
          </w:p>
        </w:tc>
        <w:tc>
          <w:tcPr>
            <w:tcW w:w="600" w:type="dxa"/>
            <w:vAlign w:val="bottom"/>
          </w:tcPr>
          <w:p>
            <w:pPr>
              <w:jc w:val="center"/>
              <w:ind w:right="197"/>
              <w:spacing w:after="0"/>
              <w:rPr>
                <w:sz w:val="20"/>
                <w:szCs w:val="20"/>
                <w:color w:val="auto"/>
              </w:rPr>
            </w:pPr>
            <w:r>
              <w:rPr>
                <w:rFonts w:ascii="Arial" w:cs="Arial" w:eastAsia="Arial" w:hAnsi="Arial"/>
                <w:sz w:val="17"/>
                <w:szCs w:val="17"/>
                <w:color w:val="auto"/>
                <w:w w:val="93"/>
              </w:rPr>
              <w:t>—</w:t>
            </w:r>
          </w:p>
        </w:tc>
        <w:tc>
          <w:tcPr>
            <w:tcW w:w="4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p>
        </w:tc>
      </w:tr>
      <w:tr>
        <w:trPr>
          <w:trHeight w:val="207"/>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Model used</w:t>
            </w:r>
          </w:p>
        </w:tc>
        <w:tc>
          <w:tcPr>
            <w:tcW w:w="13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w w:val="95"/>
              </w:rPr>
              <w:t>Black Scholes</w:t>
            </w:r>
          </w:p>
        </w:tc>
        <w:tc>
          <w:tcPr>
            <w:tcW w:w="600" w:type="dxa"/>
            <w:vAlign w:val="bottom"/>
            <w:shd w:val="clear" w:color="auto" w:fill="CCEEFF"/>
          </w:tcPr>
          <w:p>
            <w:pPr>
              <w:jc w:val="center"/>
              <w:ind w:right="197"/>
              <w:spacing w:after="0"/>
              <w:rPr>
                <w:sz w:val="20"/>
                <w:szCs w:val="20"/>
                <w:color w:val="auto"/>
              </w:rPr>
            </w:pPr>
            <w:r>
              <w:rPr>
                <w:rFonts w:ascii="Arial" w:cs="Arial" w:eastAsia="Arial" w:hAnsi="Arial"/>
                <w:sz w:val="17"/>
                <w:szCs w:val="17"/>
                <w:color w:val="auto"/>
                <w:w w:val="93"/>
              </w:rPr>
              <w:t>—</w:t>
            </w: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ind w:left="440" w:right="240" w:firstLine="423"/>
        <w:spacing w:after="0" w:line="284" w:lineRule="auto"/>
        <w:rPr>
          <w:sz w:val="20"/>
          <w:szCs w:val="20"/>
          <w:color w:val="auto"/>
        </w:rPr>
      </w:pPr>
      <w:r>
        <w:rPr>
          <w:rFonts w:ascii="Arial" w:cs="Arial" w:eastAsia="Arial" w:hAnsi="Arial"/>
          <w:sz w:val="17"/>
          <w:szCs w:val="17"/>
          <w:color w:val="auto"/>
        </w:rPr>
        <w:t>Since there is no historical data in relation to the expected life of the share options the contractual life of the options was used in calculating the expense for the year.</w:t>
      </w:r>
    </w:p>
    <w:p>
      <w:pPr>
        <w:spacing w:after="0" w:line="159" w:lineRule="exact"/>
        <w:rPr>
          <w:sz w:val="20"/>
          <w:szCs w:val="20"/>
          <w:color w:val="auto"/>
        </w:rPr>
      </w:pPr>
    </w:p>
    <w:p>
      <w:pPr>
        <w:ind w:left="440" w:right="540" w:firstLine="423"/>
        <w:spacing w:after="0" w:line="284" w:lineRule="auto"/>
        <w:rPr>
          <w:sz w:val="20"/>
          <w:szCs w:val="20"/>
          <w:color w:val="auto"/>
        </w:rPr>
      </w:pPr>
      <w:r>
        <w:rPr>
          <w:rFonts w:ascii="Arial" w:cs="Arial" w:eastAsia="Arial" w:hAnsi="Arial"/>
          <w:sz w:val="17"/>
          <w:szCs w:val="17"/>
          <w:color w:val="auto"/>
        </w:rPr>
        <w:t>Volatility was estimated by reference to the share price volatility of a group of comparable companies over a retrospective year equal to the expected life of the share options.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Mereo BioPharma Group plc Share Option Plan</w:t>
      </w:r>
    </w:p>
    <w:p>
      <w:pPr>
        <w:spacing w:after="0" w:line="115" w:lineRule="exact"/>
        <w:rPr>
          <w:sz w:val="20"/>
          <w:szCs w:val="20"/>
          <w:color w:val="auto"/>
        </w:rPr>
      </w:pPr>
    </w:p>
    <w:p>
      <w:pPr>
        <w:ind w:left="440" w:right="20" w:firstLine="423"/>
        <w:spacing w:after="0" w:line="274" w:lineRule="auto"/>
        <w:rPr>
          <w:sz w:val="20"/>
          <w:szCs w:val="20"/>
          <w:color w:val="auto"/>
        </w:rPr>
      </w:pPr>
      <w:r>
        <w:rPr>
          <w:rFonts w:ascii="Arial" w:cs="Arial" w:eastAsia="Arial" w:hAnsi="Arial"/>
          <w:sz w:val="16"/>
          <w:szCs w:val="16"/>
          <w:color w:val="auto"/>
        </w:rPr>
        <w:t>The Mereo BioPharma Group plc Share Option Plan (“Share Option Plan”) provides for the grant of options to acquire our ordinary shares to employees, executive directors and executive officers. Options may be granted to all eligible employees on commencement of employment and may be granted on a periodic basis after that. Under the Share Option Plan, our Board of directors may determine if the vesting of an option will be subject to the satisfaction of a performance condition. With regard to an option which is subject to satisfaction of a performance condition, the option will normally vest on the later of: (i) the date on which our Board of directors determines that the performance condition has been satisfied; and (ii) the third anniversary of the date of grant. With regard to an option which is not subject to the satisfaction of a performance condition, the option will normally vest on the third anniversary of the date of grant, or such other date determined by our Board of directors and notified to the participant.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Options are not currently subject to performance conditions other than continued service with us and typically vest on the third anniversary of the date of grant, after which they remain exercisable generally until the tenth anniversary of the grant date. Our Board of directors may determine that an option be settled in cash or by net exercise of the option.</w:t>
      </w:r>
    </w:p>
    <w:p>
      <w:pPr>
        <w:spacing w:after="0" w:line="276"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Movements during the year</w:t>
      </w:r>
    </w:p>
    <w:p>
      <w:pPr>
        <w:spacing w:after="0" w:line="115"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The following table illustrates the number and weighted average exercise prices (WAEP) of, and movements in, options for the Option Plan during the year:</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3820" w:type="dxa"/>
            <w:vAlign w:val="bottom"/>
          </w:tcPr>
          <w:p>
            <w:pPr>
              <w:spacing w:after="0"/>
              <w:rPr>
                <w:sz w:val="14"/>
                <w:szCs w:val="14"/>
                <w:color w:val="auto"/>
              </w:rPr>
            </w:pPr>
          </w:p>
        </w:tc>
        <w:tc>
          <w:tcPr>
            <w:tcW w:w="2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8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7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WAEP</w:t>
            </w:r>
          </w:p>
        </w:tc>
        <w:tc>
          <w:tcPr>
            <w:tcW w:w="240" w:type="dxa"/>
            <w:vAlign w:val="bottom"/>
          </w:tcPr>
          <w:p>
            <w:pPr>
              <w:spacing w:after="0"/>
              <w:rPr>
                <w:sz w:val="9"/>
                <w:szCs w:val="9"/>
                <w:color w:val="auto"/>
              </w:rPr>
            </w:pPr>
          </w:p>
        </w:tc>
        <w:tc>
          <w:tcPr>
            <w:tcW w:w="1040" w:type="dxa"/>
            <w:vAlign w:val="bottom"/>
            <w:tcBorders>
              <w:top w:val="single" w:sz="8" w:color="auto"/>
            </w:tcBorders>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WAEP</w:t>
            </w:r>
          </w:p>
        </w:tc>
        <w:tc>
          <w:tcPr>
            <w:tcW w:w="260" w:type="dxa"/>
            <w:vAlign w:val="bottom"/>
          </w:tcPr>
          <w:p>
            <w:pPr>
              <w:spacing w:after="0"/>
              <w:rPr>
                <w:sz w:val="9"/>
                <w:szCs w:val="9"/>
                <w:color w:val="auto"/>
              </w:rPr>
            </w:pPr>
          </w:p>
        </w:tc>
        <w:tc>
          <w:tcPr>
            <w:tcW w:w="1040" w:type="dxa"/>
            <w:vAlign w:val="bottom"/>
            <w:tcBorders>
              <w:top w:val="single" w:sz="8" w:color="auto"/>
            </w:tcBorders>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3"/>
                <w:szCs w:val="13"/>
                <w:b w:val="1"/>
                <w:bCs w:val="1"/>
                <w:color w:val="auto"/>
              </w:rPr>
              <w:t>WAEP</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beginning of the year</w:t>
            </w:r>
          </w:p>
        </w:tc>
        <w:tc>
          <w:tcPr>
            <w:tcW w:w="2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w:t>
            </w: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1,578,188</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ind w:left="19"/>
              <w:spacing w:after="0"/>
              <w:rPr>
                <w:sz w:val="20"/>
                <w:szCs w:val="20"/>
                <w:color w:val="auto"/>
              </w:rPr>
            </w:pPr>
            <w:r>
              <w:rPr>
                <w:rFonts w:ascii="Arial" w:cs="Arial" w:eastAsia="Arial" w:hAnsi="Arial"/>
                <w:sz w:val="17"/>
                <w:szCs w:val="17"/>
                <w:b w:val="1"/>
                <w:bCs w:val="1"/>
                <w:color w:val="auto"/>
                <w:w w:val="90"/>
              </w:rPr>
              <w:t>3.05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20" w:type="dxa"/>
            <w:vAlign w:val="bottom"/>
          </w:tcPr>
          <w:p>
            <w:pPr>
              <w:spacing w:after="0"/>
              <w:rPr>
                <w:sz w:val="20"/>
                <w:szCs w:val="20"/>
                <w:color w:val="auto"/>
              </w:rPr>
            </w:pPr>
            <w:r>
              <w:rPr>
                <w:rFonts w:ascii="Arial" w:cs="Arial" w:eastAsia="Arial" w:hAnsi="Arial"/>
                <w:sz w:val="17"/>
                <w:szCs w:val="17"/>
                <w:color w:val="auto"/>
              </w:rPr>
              <w:t>Granted during the year</w:t>
            </w:r>
          </w:p>
        </w:tc>
        <w:tc>
          <w:tcPr>
            <w:tcW w:w="216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jc w:val="center"/>
              <w:spacing w:after="0"/>
              <w:rPr>
                <w:sz w:val="20"/>
                <w:szCs w:val="20"/>
                <w:color w:val="auto"/>
              </w:rPr>
            </w:pPr>
            <w:r>
              <w:rPr>
                <w:rFonts w:ascii="Arial" w:cs="Arial" w:eastAsia="Arial" w:hAnsi="Arial"/>
                <w:sz w:val="17"/>
                <w:szCs w:val="17"/>
                <w:b w:val="1"/>
                <w:bCs w:val="1"/>
                <w:color w:val="auto"/>
                <w:w w:val="93"/>
              </w:rPr>
              <w:t>—</w:t>
            </w:r>
          </w:p>
        </w:tc>
        <w:tc>
          <w:tcPr>
            <w:tcW w:w="1280" w:type="dxa"/>
            <w:vAlign w:val="bottom"/>
            <w:gridSpan w:val="3"/>
          </w:tcPr>
          <w:p>
            <w:pPr>
              <w:jc w:val="right"/>
              <w:ind w:right="300"/>
              <w:spacing w:after="0"/>
              <w:rPr>
                <w:sz w:val="20"/>
                <w:szCs w:val="20"/>
                <w:color w:val="auto"/>
              </w:rPr>
            </w:pPr>
            <w:r>
              <w:rPr>
                <w:rFonts w:ascii="Arial" w:cs="Arial" w:eastAsia="Arial" w:hAnsi="Arial"/>
                <w:sz w:val="17"/>
                <w:szCs w:val="17"/>
                <w:color w:val="auto"/>
              </w:rPr>
              <w:t>1,593,188</w:t>
            </w:r>
          </w:p>
        </w:tc>
        <w:tc>
          <w:tcPr>
            <w:tcW w:w="66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3.05</w:t>
            </w:r>
          </w:p>
        </w:tc>
        <w:tc>
          <w:tcPr>
            <w:tcW w:w="10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388,000</w:t>
            </w:r>
          </w:p>
        </w:tc>
        <w:tc>
          <w:tcPr>
            <w:tcW w:w="4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3.14</w:t>
            </w:r>
          </w:p>
        </w:tc>
        <w:tc>
          <w:tcPr>
            <w:tcW w:w="0" w:type="dxa"/>
            <w:vAlign w:val="bottom"/>
          </w:tcPr>
          <w:p>
            <w:pPr>
              <w:spacing w:after="0"/>
              <w:rPr>
                <w:sz w:val="1"/>
                <w:szCs w:val="1"/>
                <w:color w:val="auto"/>
              </w:rPr>
            </w:pPr>
          </w:p>
        </w:tc>
      </w:tr>
      <w:tr>
        <w:trPr>
          <w:trHeight w:val="207"/>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Cancelled during the year</w:t>
            </w:r>
          </w:p>
        </w:tc>
        <w:tc>
          <w:tcPr>
            <w:tcW w:w="2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3"/>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3820" w:type="dxa"/>
            <w:vAlign w:val="bottom"/>
          </w:tcPr>
          <w:p>
            <w:pPr>
              <w:spacing w:after="0"/>
              <w:rPr>
                <w:sz w:val="20"/>
                <w:szCs w:val="20"/>
                <w:color w:val="auto"/>
              </w:rPr>
            </w:pPr>
            <w:r>
              <w:rPr>
                <w:rFonts w:ascii="Arial" w:cs="Arial" w:eastAsia="Arial" w:hAnsi="Arial"/>
                <w:sz w:val="17"/>
                <w:szCs w:val="17"/>
                <w:color w:val="auto"/>
              </w:rPr>
              <w:t>Forfeited during the year</w:t>
            </w:r>
          </w:p>
        </w:tc>
        <w:tc>
          <w:tcPr>
            <w:tcW w:w="216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jc w:val="center"/>
              <w:spacing w:after="0"/>
              <w:rPr>
                <w:sz w:val="20"/>
                <w:szCs w:val="20"/>
                <w:color w:val="auto"/>
              </w:rPr>
            </w:pPr>
            <w:r>
              <w:rPr>
                <w:rFonts w:ascii="Arial" w:cs="Arial" w:eastAsia="Arial" w:hAnsi="Arial"/>
                <w:sz w:val="17"/>
                <w:szCs w:val="17"/>
                <w:b w:val="1"/>
                <w:bCs w:val="1"/>
                <w:color w:val="auto"/>
                <w:w w:val="93"/>
              </w:rPr>
              <w:t>—</w:t>
            </w:r>
          </w:p>
        </w:tc>
        <w:tc>
          <w:tcPr>
            <w:tcW w:w="1280" w:type="dxa"/>
            <w:vAlign w:val="bottom"/>
            <w:gridSpan w:val="3"/>
          </w:tcPr>
          <w:p>
            <w:pPr>
              <w:jc w:val="right"/>
              <w:ind w:right="240"/>
              <w:spacing w:after="0"/>
              <w:rPr>
                <w:sz w:val="20"/>
                <w:szCs w:val="20"/>
                <w:color w:val="auto"/>
              </w:rPr>
            </w:pPr>
            <w:r>
              <w:rPr>
                <w:rFonts w:ascii="Arial" w:cs="Arial" w:eastAsia="Arial" w:hAnsi="Arial"/>
                <w:sz w:val="17"/>
                <w:szCs w:val="17"/>
                <w:color w:val="auto"/>
              </w:rPr>
              <w:t>(15,000)</w:t>
            </w:r>
          </w:p>
        </w:tc>
        <w:tc>
          <w:tcPr>
            <w:tcW w:w="66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3.03</w:t>
            </w:r>
          </w:p>
        </w:tc>
        <w:tc>
          <w:tcPr>
            <w:tcW w:w="10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(84,633)</w:t>
            </w:r>
          </w:p>
        </w:tc>
        <w:tc>
          <w:tcPr>
            <w:tcW w:w="4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3.03</w:t>
            </w:r>
          </w:p>
        </w:tc>
        <w:tc>
          <w:tcPr>
            <w:tcW w:w="0" w:type="dxa"/>
            <w:vAlign w:val="bottom"/>
          </w:tcPr>
          <w:p>
            <w:pPr>
              <w:spacing w:after="0"/>
              <w:rPr>
                <w:sz w:val="1"/>
                <w:szCs w:val="1"/>
                <w:color w:val="auto"/>
              </w:rPr>
            </w:pPr>
          </w:p>
        </w:tc>
      </w:tr>
      <w:tr>
        <w:trPr>
          <w:trHeight w:val="207"/>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w:t>
            </w:r>
          </w:p>
        </w:tc>
        <w:tc>
          <w:tcPr>
            <w:tcW w:w="2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1,578,188</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0"/>
              </w:rPr>
              <w:t>3.05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1,881,555</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3.10</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7"/>
                <w:szCs w:val="17"/>
                <w:color w:val="auto"/>
              </w:rPr>
              <w:t>Exercisable at December 31</w:t>
            </w:r>
          </w:p>
        </w:tc>
        <w:tc>
          <w:tcPr>
            <w:tcW w:w="2160" w:type="dxa"/>
            <w:vAlign w:val="bottom"/>
          </w:tcPr>
          <w:p>
            <w:pPr>
              <w:spacing w:after="0"/>
              <w:rPr>
                <w:sz w:val="18"/>
                <w:szCs w:val="18"/>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w:t>
            </w: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w:t>
            </w:r>
          </w:p>
        </w:tc>
        <w:tc>
          <w:tcPr>
            <w:tcW w:w="2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820" w:type="dxa"/>
            <w:vAlign w:val="bottom"/>
          </w:tcPr>
          <w:p>
            <w:pPr>
              <w:spacing w:after="0"/>
              <w:rPr>
                <w:sz w:val="24"/>
                <w:szCs w:val="24"/>
                <w:color w:val="auto"/>
              </w:rPr>
            </w:pPr>
          </w:p>
        </w:tc>
        <w:tc>
          <w:tcPr>
            <w:tcW w:w="2900" w:type="dxa"/>
            <w:vAlign w:val="bottom"/>
            <w:gridSpan w:val="3"/>
          </w:tcPr>
          <w:p>
            <w:pPr>
              <w:jc w:val="right"/>
              <w:ind w:right="1280"/>
              <w:spacing w:after="0"/>
              <w:rPr>
                <w:sz w:val="20"/>
                <w:szCs w:val="20"/>
                <w:color w:val="auto"/>
              </w:rPr>
            </w:pPr>
            <w:r>
              <w:rPr>
                <w:rFonts w:ascii="Arial" w:cs="Arial" w:eastAsia="Arial" w:hAnsi="Arial"/>
                <w:sz w:val="17"/>
                <w:szCs w:val="17"/>
                <w:color w:val="auto"/>
              </w:rPr>
              <w:t>F-35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46" w:right="65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weighted average remaining contractual life for the share options outstanding as at December 31, 2018 was 8.6 years (2017: 9.4 years).</w:t>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weighted average fair value of options granted during the year was £2.29 (2017: £1.85).</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Options outstanding at the end of the year had an exercise price of between £2.76 and £3.23.</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tables list the weighted average inputs to the models used for the fair value of share options granted during the years ended</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w:t>
      </w:r>
    </w:p>
    <w:p>
      <w:pPr>
        <w:spacing w:after="0" w:line="222"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gridSpan w:val="3"/>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35"/>
        </w:trPr>
        <w:tc>
          <w:tcPr>
            <w:tcW w:w="57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center"/>
              <w:ind w:right="97"/>
              <w:spacing w:after="0" w:line="135" w:lineRule="exact"/>
              <w:rPr>
                <w:sz w:val="20"/>
                <w:szCs w:val="20"/>
                <w:color w:val="auto"/>
              </w:rPr>
            </w:pPr>
            <w:r>
              <w:rPr>
                <w:rFonts w:ascii="Arial" w:cs="Arial" w:eastAsia="Arial" w:hAnsi="Arial"/>
                <w:sz w:val="14"/>
                <w:szCs w:val="14"/>
                <w:b w:val="1"/>
                <w:bCs w:val="1"/>
                <w:color w:val="auto"/>
                <w:w w:val="83"/>
              </w:rPr>
              <w:t>2016</w:t>
            </w:r>
          </w:p>
        </w:tc>
        <w:tc>
          <w:tcPr>
            <w:tcW w:w="1360" w:type="dxa"/>
            <w:vAlign w:val="bottom"/>
            <w:tcBorders>
              <w:top w:val="single" w:sz="8" w:color="auto"/>
              <w:bottom w:val="single" w:sz="8" w:color="auto"/>
            </w:tcBorders>
          </w:tcPr>
          <w:p>
            <w:pPr>
              <w:jc w:val="right"/>
              <w:ind w:right="480"/>
              <w:spacing w:after="0" w:line="135" w:lineRule="exact"/>
              <w:rPr>
                <w:sz w:val="20"/>
                <w:szCs w:val="20"/>
                <w:color w:val="auto"/>
              </w:rPr>
            </w:pPr>
            <w:r>
              <w:rPr>
                <w:rFonts w:ascii="Arial" w:cs="Arial" w:eastAsia="Arial" w:hAnsi="Arial"/>
                <w:sz w:val="14"/>
                <w:szCs w:val="14"/>
                <w:b w:val="1"/>
                <w:bCs w:val="1"/>
                <w:color w:val="auto"/>
              </w:rPr>
              <w:t>2017</w:t>
            </w:r>
          </w:p>
        </w:tc>
        <w:tc>
          <w:tcPr>
            <w:tcW w:w="1200" w:type="dxa"/>
            <w:vAlign w:val="bottom"/>
            <w:tcBorders>
              <w:top w:val="single" w:sz="8" w:color="auto"/>
              <w:bottom w:val="single" w:sz="8" w:color="auto"/>
            </w:tcBorders>
          </w:tcPr>
          <w:p>
            <w:pPr>
              <w:jc w:val="right"/>
              <w:ind w:right="317"/>
              <w:spacing w:after="0" w:line="13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r>
      <w:tr>
        <w:trPr>
          <w:trHeight w:val="135"/>
        </w:trPr>
        <w:tc>
          <w:tcPr>
            <w:tcW w:w="5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tcPr>
          <w:p>
            <w:pPr>
              <w:jc w:val="right"/>
              <w:ind w:right="80"/>
              <w:spacing w:after="0" w:line="135" w:lineRule="exact"/>
              <w:rPr>
                <w:sz w:val="20"/>
                <w:szCs w:val="20"/>
                <w:color w:val="auto"/>
              </w:rPr>
            </w:pPr>
            <w:r>
              <w:rPr>
                <w:rFonts w:ascii="Arial" w:cs="Arial" w:eastAsia="Arial" w:hAnsi="Arial"/>
                <w:sz w:val="14"/>
                <w:szCs w:val="14"/>
                <w:b w:val="1"/>
                <w:bCs w:val="1"/>
                <w:color w:val="auto"/>
              </w:rPr>
              <w:t>(in £)</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7"/>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 (%)</w:t>
            </w:r>
          </w:p>
        </w:tc>
        <w:tc>
          <w:tcPr>
            <w:tcW w:w="48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49-51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65-67</w:t>
            </w:r>
          </w:p>
        </w:tc>
        <w:tc>
          <w:tcPr>
            <w:tcW w:w="60" w:type="dxa"/>
            <w:vAlign w:val="bottom"/>
            <w:shd w:val="clear" w:color="auto" w:fill="CCEEFF"/>
          </w:tcPr>
          <w:p>
            <w:pPr>
              <w:spacing w:after="0"/>
              <w:rPr>
                <w:sz w:val="18"/>
                <w:szCs w:val="18"/>
                <w:color w:val="auto"/>
              </w:rPr>
            </w:pPr>
          </w:p>
        </w:tc>
      </w:tr>
      <w:tr>
        <w:trPr>
          <w:trHeight w:val="207"/>
        </w:trPr>
        <w:tc>
          <w:tcPr>
            <w:tcW w:w="5780" w:type="dxa"/>
            <w:vAlign w:val="bottom"/>
          </w:tcPr>
          <w:p>
            <w:pPr>
              <w:spacing w:after="0"/>
              <w:rPr>
                <w:sz w:val="20"/>
                <w:szCs w:val="20"/>
                <w:color w:val="auto"/>
              </w:rPr>
            </w:pPr>
            <w:r>
              <w:rPr>
                <w:rFonts w:ascii="Arial" w:cs="Arial" w:eastAsia="Arial" w:hAnsi="Arial"/>
                <w:sz w:val="17"/>
                <w:szCs w:val="17"/>
                <w:color w:val="auto"/>
              </w:rPr>
              <w:t>Risk-free interest rate (%)</w:t>
            </w:r>
          </w:p>
        </w:tc>
        <w:tc>
          <w:tcPr>
            <w:tcW w:w="480" w:type="dxa"/>
            <w:vAlign w:val="bottom"/>
          </w:tcPr>
          <w:p>
            <w:pPr>
              <w:jc w:val="center"/>
              <w:ind w:right="137"/>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00"/>
              <w:spacing w:after="0"/>
              <w:rPr>
                <w:sz w:val="20"/>
                <w:szCs w:val="20"/>
                <w:color w:val="auto"/>
              </w:rPr>
            </w:pPr>
            <w:r>
              <w:rPr>
                <w:rFonts w:ascii="Arial" w:cs="Arial" w:eastAsia="Arial" w:hAnsi="Arial"/>
                <w:sz w:val="17"/>
                <w:szCs w:val="17"/>
                <w:color w:val="auto"/>
              </w:rPr>
              <w:t>1.06-1.33</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1.39-1.53</w:t>
            </w:r>
          </w:p>
        </w:tc>
        <w:tc>
          <w:tcPr>
            <w:tcW w:w="60" w:type="dxa"/>
            <w:vAlign w:val="bottom"/>
          </w:tcPr>
          <w:p>
            <w:pPr>
              <w:spacing w:after="0"/>
              <w:rPr>
                <w:sz w:val="18"/>
                <w:szCs w:val="18"/>
                <w:color w:val="auto"/>
              </w:rPr>
            </w:pPr>
          </w:p>
        </w:tc>
      </w:tr>
      <w:tr>
        <w:trPr>
          <w:trHeight w:val="207"/>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Expected life of share options (years)</w:t>
            </w:r>
          </w:p>
        </w:tc>
        <w:tc>
          <w:tcPr>
            <w:tcW w:w="48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60" w:type="dxa"/>
            <w:vAlign w:val="bottom"/>
            <w:shd w:val="clear" w:color="auto" w:fill="CCEEFF"/>
          </w:tcPr>
          <w:p>
            <w:pPr>
              <w:spacing w:after="0"/>
              <w:rPr>
                <w:sz w:val="18"/>
                <w:szCs w:val="18"/>
                <w:color w:val="auto"/>
              </w:rPr>
            </w:pPr>
          </w:p>
        </w:tc>
      </w:tr>
      <w:tr>
        <w:trPr>
          <w:trHeight w:val="207"/>
        </w:trPr>
        <w:tc>
          <w:tcPr>
            <w:tcW w:w="5780" w:type="dxa"/>
            <w:vAlign w:val="bottom"/>
          </w:tcPr>
          <w:p>
            <w:pPr>
              <w:spacing w:after="0"/>
              <w:rPr>
                <w:sz w:val="20"/>
                <w:szCs w:val="20"/>
                <w:color w:val="auto"/>
              </w:rPr>
            </w:pPr>
            <w:r>
              <w:rPr>
                <w:rFonts w:ascii="Arial" w:cs="Arial" w:eastAsia="Arial" w:hAnsi="Arial"/>
                <w:sz w:val="17"/>
                <w:szCs w:val="17"/>
                <w:color w:val="auto"/>
              </w:rPr>
              <w:t>Market price of ordinary shares (£)</w:t>
            </w:r>
          </w:p>
        </w:tc>
        <w:tc>
          <w:tcPr>
            <w:tcW w:w="480" w:type="dxa"/>
            <w:vAlign w:val="bottom"/>
          </w:tcPr>
          <w:p>
            <w:pPr>
              <w:jc w:val="center"/>
              <w:ind w:right="137"/>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00"/>
              <w:spacing w:after="0"/>
              <w:rPr>
                <w:sz w:val="20"/>
                <w:szCs w:val="20"/>
                <w:color w:val="auto"/>
              </w:rPr>
            </w:pPr>
            <w:r>
              <w:rPr>
                <w:rFonts w:ascii="Arial" w:cs="Arial" w:eastAsia="Arial" w:hAnsi="Arial"/>
                <w:sz w:val="17"/>
                <w:szCs w:val="17"/>
                <w:color w:val="auto"/>
              </w:rPr>
              <w:t>3.03-3.23</w:t>
            </w: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2.76-3.25</w:t>
            </w:r>
          </w:p>
        </w:tc>
        <w:tc>
          <w:tcPr>
            <w:tcW w:w="60" w:type="dxa"/>
            <w:vAlign w:val="bottom"/>
          </w:tcPr>
          <w:p>
            <w:pPr>
              <w:spacing w:after="0"/>
              <w:rPr>
                <w:sz w:val="18"/>
                <w:szCs w:val="18"/>
                <w:color w:val="auto"/>
              </w:rPr>
            </w:pPr>
          </w:p>
        </w:tc>
      </w:tr>
      <w:tr>
        <w:trPr>
          <w:trHeight w:val="207"/>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Model used</w:t>
            </w:r>
          </w:p>
        </w:tc>
        <w:tc>
          <w:tcPr>
            <w:tcW w:w="48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Black Scholes</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w w:val="91"/>
              </w:rPr>
              <w:t>Black Scholes</w:t>
            </w:r>
          </w:p>
        </w:tc>
      </w:tr>
    </w:tbl>
    <w:p>
      <w:pPr>
        <w:spacing w:after="0" w:line="195" w:lineRule="exact"/>
        <w:rPr>
          <w:sz w:val="20"/>
          <w:szCs w:val="20"/>
          <w:color w:val="auto"/>
        </w:rPr>
      </w:pPr>
    </w:p>
    <w:p>
      <w:pPr>
        <w:ind w:left="440" w:right="60" w:firstLine="423"/>
        <w:spacing w:after="0" w:line="284" w:lineRule="auto"/>
        <w:rPr>
          <w:sz w:val="20"/>
          <w:szCs w:val="20"/>
          <w:color w:val="auto"/>
        </w:rPr>
      </w:pPr>
      <w:r>
        <w:rPr>
          <w:rFonts w:ascii="Arial" w:cs="Arial" w:eastAsia="Arial" w:hAnsi="Arial"/>
          <w:sz w:val="17"/>
          <w:szCs w:val="17"/>
          <w:color w:val="auto"/>
        </w:rPr>
        <w:t>Since there is no historical data in relation to the expected life of the share options, the contractual life of the options was used in calculating the expense for the year.</w:t>
      </w:r>
    </w:p>
    <w:p>
      <w:pPr>
        <w:spacing w:after="0" w:line="159" w:lineRule="exact"/>
        <w:rPr>
          <w:sz w:val="20"/>
          <w:szCs w:val="20"/>
          <w:color w:val="auto"/>
        </w:rPr>
      </w:pPr>
    </w:p>
    <w:p>
      <w:pPr>
        <w:ind w:left="440" w:right="260" w:firstLine="423"/>
        <w:spacing w:after="0" w:line="284" w:lineRule="auto"/>
        <w:rPr>
          <w:sz w:val="20"/>
          <w:szCs w:val="20"/>
          <w:color w:val="auto"/>
        </w:rPr>
      </w:pPr>
      <w:r>
        <w:rPr>
          <w:rFonts w:ascii="Arial" w:cs="Arial" w:eastAsia="Arial" w:hAnsi="Arial"/>
          <w:sz w:val="17"/>
          <w:szCs w:val="17"/>
          <w:color w:val="auto"/>
        </w:rPr>
        <w:t>Volatility was estimated by reference to the share price volatility of a group of comparable companies over a retrospective period equal to the expected life of the share options.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Long Term Incentive Plan</w:t>
      </w:r>
    </w:p>
    <w:p>
      <w:pPr>
        <w:spacing w:after="0" w:line="115" w:lineRule="exact"/>
        <w:rPr>
          <w:sz w:val="20"/>
          <w:szCs w:val="20"/>
          <w:color w:val="auto"/>
        </w:rPr>
      </w:pPr>
    </w:p>
    <w:p>
      <w:pPr>
        <w:jc w:val="both"/>
        <w:ind w:left="440" w:right="220" w:firstLine="423"/>
        <w:spacing w:after="0" w:line="264" w:lineRule="auto"/>
        <w:rPr>
          <w:sz w:val="20"/>
          <w:szCs w:val="20"/>
          <w:color w:val="auto"/>
        </w:rPr>
      </w:pPr>
      <w:r>
        <w:rPr>
          <w:rFonts w:ascii="Arial" w:cs="Arial" w:eastAsia="Arial" w:hAnsi="Arial"/>
          <w:sz w:val="17"/>
          <w:szCs w:val="17"/>
          <w:color w:val="auto"/>
        </w:rPr>
        <w:t>Under the Company’s Long Term Incentive Plan (“LTIP”), initiated in 2016, the Group, at its discretion, may grant nil-cost options to acquire shares to employees. Under the LTIP rules, vesting of 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176"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The fair value of the LTIP Share Price Element is estimated at the date of grant using a Monte Carlo pricing model, taking into account the terms and conditions upon which the share options were granted.</w:t>
      </w:r>
    </w:p>
    <w:p>
      <w:pPr>
        <w:spacing w:after="0" w:line="159" w:lineRule="exact"/>
        <w:rPr>
          <w:sz w:val="20"/>
          <w:szCs w:val="20"/>
          <w:color w:val="auto"/>
        </w:rPr>
      </w:pPr>
    </w:p>
    <w:p>
      <w:pPr>
        <w:ind w:left="440" w:right="80" w:firstLine="423"/>
        <w:spacing w:after="0" w:line="269" w:lineRule="auto"/>
        <w:rPr>
          <w:sz w:val="20"/>
          <w:szCs w:val="20"/>
          <w:color w:val="auto"/>
        </w:rPr>
      </w:pPr>
      <w:r>
        <w:rPr>
          <w:rFonts w:ascii="Arial" w:cs="Arial" w:eastAsia="Arial" w:hAnsi="Arial"/>
          <w:sz w:val="17"/>
          <w:szCs w:val="17"/>
          <w:color w:val="auto"/>
        </w:rPr>
        <w:t>The fair value of the LTIP Strategic Element is estimated at the date of grant using a Black Scholes pricing model, taking into account the terms and conditions upon which the share options were granted, and the expense recorded is based upon the expected level of achievement of strategic targets.</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fair value calculations do not include any allowance for dividends as the Company has no available profits for distribution.</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contractual term of the LTIP options is five years.</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expense recognized for employee services received during the year to December 31, 2018 was £319,338 (2017: £298,287).</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860"/>
          </w:cols>
          <w:pgMar w:left="240" w:top="445" w:right="79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Movements during the year</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table illustrates the number of, and movements in, LTIP options during the year:</w:t>
      </w:r>
    </w:p>
    <w:p>
      <w:pPr>
        <w:spacing w:after="0" w:line="216"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60" w:type="dxa"/>
            <w:vAlign w:val="bottom"/>
          </w:tcPr>
          <w:p>
            <w:pPr>
              <w:jc w:val="right"/>
              <w:ind w:right="319"/>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1040" w:type="dxa"/>
            <w:vAlign w:val="bottom"/>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06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65"/>
        </w:trPr>
        <w:tc>
          <w:tcPr>
            <w:tcW w:w="530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Number</w:t>
            </w:r>
          </w:p>
        </w:tc>
        <w:tc>
          <w:tcPr>
            <w:tcW w:w="1040" w:type="dxa"/>
            <w:vAlign w:val="bottom"/>
          </w:tcPr>
          <w:p>
            <w:pPr>
              <w:jc w:val="right"/>
              <w:ind w:right="199"/>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Number</w:t>
            </w:r>
          </w:p>
        </w:tc>
      </w:tr>
      <w:tr>
        <w:trPr>
          <w:trHeight w:val="20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Granted during the year</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1,199,658</w:t>
            </w:r>
          </w:p>
        </w:tc>
        <w:tc>
          <w:tcPr>
            <w:tcW w:w="3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185,950</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7"/>
                <w:szCs w:val="17"/>
                <w:b w:val="1"/>
                <w:bCs w:val="1"/>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5300" w:type="dxa"/>
            <w:vAlign w:val="bottom"/>
          </w:tcPr>
          <w:p>
            <w:pPr>
              <w:spacing w:after="0"/>
              <w:rPr>
                <w:sz w:val="20"/>
                <w:szCs w:val="20"/>
                <w:color w:val="auto"/>
              </w:rPr>
            </w:pPr>
            <w:r>
              <w:rPr>
                <w:rFonts w:ascii="Arial" w:cs="Arial" w:eastAsia="Arial" w:hAnsi="Arial"/>
                <w:sz w:val="17"/>
                <w:szCs w:val="17"/>
                <w:color w:val="auto"/>
              </w:rPr>
              <w:t>Cancelled during the year</w:t>
            </w:r>
          </w:p>
        </w:tc>
        <w:tc>
          <w:tcPr>
            <w:tcW w:w="14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b w:val="1"/>
                <w:bCs w:val="1"/>
                <w:color w:val="auto"/>
              </w:rPr>
              <w:t>—</w:t>
            </w:r>
          </w:p>
        </w:tc>
      </w:tr>
      <w:tr>
        <w:trPr>
          <w:trHeight w:val="207"/>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Forfeited during the year</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(234,162)</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b w:val="1"/>
                <w:bCs w:val="1"/>
                <w:color w:val="auto"/>
              </w:rPr>
              <w:t>—</w:t>
            </w:r>
          </w:p>
        </w:tc>
      </w:tr>
      <w:tr>
        <w:trPr>
          <w:trHeight w:val="207"/>
        </w:trPr>
        <w:tc>
          <w:tcPr>
            <w:tcW w:w="5300" w:type="dxa"/>
            <w:vAlign w:val="bottom"/>
          </w:tcPr>
          <w:p>
            <w:pPr>
              <w:spacing w:after="0"/>
              <w:rPr>
                <w:sz w:val="20"/>
                <w:szCs w:val="20"/>
                <w:color w:val="auto"/>
              </w:rPr>
            </w:pPr>
            <w:r>
              <w:rPr>
                <w:rFonts w:ascii="Arial" w:cs="Arial" w:eastAsia="Arial" w:hAnsi="Arial"/>
                <w:sz w:val="17"/>
                <w:szCs w:val="17"/>
                <w:color w:val="auto"/>
              </w:rPr>
              <w:t>Outstanding at December 31</w:t>
            </w:r>
          </w:p>
        </w:tc>
        <w:tc>
          <w:tcPr>
            <w:tcW w:w="1060" w:type="dxa"/>
            <w:vAlign w:val="bottom"/>
          </w:tcPr>
          <w:p>
            <w:pPr>
              <w:jc w:val="right"/>
              <w:spacing w:after="0"/>
              <w:rPr>
                <w:sz w:val="20"/>
                <w:szCs w:val="20"/>
                <w:color w:val="auto"/>
              </w:rPr>
            </w:pPr>
            <w:r>
              <w:rPr>
                <w:rFonts w:ascii="Arial" w:cs="Arial" w:eastAsia="Arial" w:hAnsi="Arial"/>
                <w:sz w:val="17"/>
                <w:szCs w:val="17"/>
                <w:color w:val="auto"/>
              </w:rPr>
              <w:t>965,496</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1,151,446</w:t>
            </w: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1,151,446</w:t>
            </w:r>
          </w:p>
        </w:tc>
        <w:tc>
          <w:tcPr>
            <w:tcW w:w="6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Exercisable at December 31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b w:val="1"/>
                <w:bCs w:val="1"/>
                <w:color w:val="auto"/>
              </w:rPr>
              <w:t>—</w:t>
            </w:r>
          </w:p>
        </w:tc>
      </w:tr>
      <w:tr>
        <w:trPr>
          <w:trHeight w:val="20"/>
        </w:trPr>
        <w:tc>
          <w:tcPr>
            <w:tcW w:w="5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weighted average remaining contractual life for the LTIP options outstanding as at December 31, 2018 was 1.8 years (2017: 2.9 years; 2016:</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3.7 years).</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weighted average fair value of LTIP options granted during the year to December 31, 2018 was £nil (2017: £1.99; 2016: £1.21).</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tables list the weighted average inputs to the models used for the fair value of LTIP options granted during the years ended</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w:t>
      </w:r>
    </w:p>
    <w:p>
      <w:pPr>
        <w:spacing w:after="0" w:line="310"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LTIP Share Price Element</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4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Borders>
              <w:bottom w:val="single" w:sz="8" w:color="auto"/>
            </w:tcBorders>
            <w:gridSpan w:val="6"/>
          </w:tcPr>
          <w:p>
            <w:pPr>
              <w:ind w:left="98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420" w:type="dxa"/>
            <w:vAlign w:val="bottom"/>
          </w:tcPr>
          <w:p>
            <w:pPr>
              <w:spacing w:after="0"/>
              <w:rPr>
                <w:sz w:val="11"/>
                <w:szCs w:val="11"/>
                <w:color w:val="auto"/>
              </w:rPr>
            </w:pPr>
          </w:p>
        </w:tc>
        <w:tc>
          <w:tcPr>
            <w:tcW w:w="53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299"/>
              <w:spacing w:after="0" w:line="13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297"/>
              <w:spacing w:after="0" w:line="13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ind w:left="220"/>
              <w:spacing w:after="0" w:line="13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1"/>
                <w:szCs w:val="11"/>
                <w:color w:val="auto"/>
              </w:rPr>
            </w:pPr>
          </w:p>
        </w:tc>
      </w:tr>
      <w:tr>
        <w:trPr>
          <w:trHeight w:val="200"/>
        </w:trPr>
        <w:tc>
          <w:tcPr>
            <w:tcW w:w="420" w:type="dxa"/>
            <w:vAlign w:val="bottom"/>
          </w:tcPr>
          <w:p>
            <w:pPr>
              <w:spacing w:after="0"/>
              <w:rPr>
                <w:sz w:val="17"/>
                <w:szCs w:val="17"/>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volatility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48.9</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7"/>
        </w:trPr>
        <w:tc>
          <w:tcPr>
            <w:tcW w:w="4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7"/>
                <w:szCs w:val="17"/>
                <w:color w:val="auto"/>
              </w:rPr>
              <w:t>Risk-free interest rate (%)</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0.48-0.74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0.17-0.39</w:t>
            </w:r>
          </w:p>
        </w:tc>
        <w:tc>
          <w:tcPr>
            <w:tcW w:w="3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r>
      <w:tr>
        <w:trPr>
          <w:trHeight w:val="207"/>
        </w:trPr>
        <w:tc>
          <w:tcPr>
            <w:tcW w:w="4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life of share options (years)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207"/>
        </w:trPr>
        <w:tc>
          <w:tcPr>
            <w:tcW w:w="4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7"/>
                <w:szCs w:val="17"/>
                <w:color w:val="auto"/>
              </w:rPr>
              <w:t>Market price of ordinary shares (£)</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2.21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3.03</w:t>
            </w:r>
          </w:p>
        </w:tc>
        <w:tc>
          <w:tcPr>
            <w:tcW w:w="3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r>
      <w:tr>
        <w:trPr>
          <w:trHeight w:val="207"/>
        </w:trPr>
        <w:tc>
          <w:tcPr>
            <w:tcW w:w="4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Model used</w:t>
            </w:r>
          </w:p>
        </w:tc>
        <w:tc>
          <w:tcPr>
            <w:tcW w:w="134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Monte Carlo</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Monte Carlo</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518"/>
        </w:trPr>
        <w:tc>
          <w:tcPr>
            <w:tcW w:w="5820" w:type="dxa"/>
            <w:vAlign w:val="bottom"/>
            <w:gridSpan w:val="3"/>
          </w:tcPr>
          <w:p>
            <w:pPr>
              <w:spacing w:after="0"/>
              <w:rPr>
                <w:sz w:val="20"/>
                <w:szCs w:val="20"/>
                <w:color w:val="auto"/>
              </w:rPr>
            </w:pPr>
            <w:r>
              <w:rPr>
                <w:rFonts w:ascii="Arial" w:cs="Arial" w:eastAsia="Arial" w:hAnsi="Arial"/>
                <w:sz w:val="17"/>
                <w:szCs w:val="17"/>
                <w:i w:val="1"/>
                <w:iCs w:val="1"/>
                <w:color w:val="auto"/>
              </w:rPr>
              <w:t>LTIP Strategic Element</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5"/>
        </w:trPr>
        <w:tc>
          <w:tcPr>
            <w:tcW w:w="4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5"/>
        </w:trPr>
        <w:tc>
          <w:tcPr>
            <w:tcW w:w="420" w:type="dxa"/>
            <w:vAlign w:val="bottom"/>
          </w:tcPr>
          <w:p>
            <w:pPr>
              <w:spacing w:after="0"/>
              <w:rPr>
                <w:sz w:val="11"/>
                <w:szCs w:val="11"/>
                <w:color w:val="auto"/>
              </w:rPr>
            </w:pPr>
          </w:p>
        </w:tc>
        <w:tc>
          <w:tcPr>
            <w:tcW w:w="53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19"/>
              <w:spacing w:after="0" w:line="13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97"/>
              <w:spacing w:after="0" w:line="13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ind w:left="220"/>
              <w:spacing w:after="0" w:line="13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1"/>
                <w:szCs w:val="11"/>
                <w:color w:val="auto"/>
              </w:rPr>
            </w:pPr>
          </w:p>
        </w:tc>
      </w:tr>
      <w:tr>
        <w:trPr>
          <w:trHeight w:val="200"/>
        </w:trPr>
        <w:tc>
          <w:tcPr>
            <w:tcW w:w="4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 (%)</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7"/>
        </w:trPr>
        <w:tc>
          <w:tcPr>
            <w:tcW w:w="4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7"/>
                <w:szCs w:val="17"/>
                <w:color w:val="auto"/>
              </w:rPr>
              <w:t>Risk-free interest rate (%)</w:t>
            </w:r>
          </w:p>
        </w:tc>
        <w:tc>
          <w:tcPr>
            <w:tcW w:w="1020" w:type="dxa"/>
            <w:vAlign w:val="bottom"/>
          </w:tcPr>
          <w:p>
            <w:pPr>
              <w:jc w:val="right"/>
              <w:spacing w:after="0"/>
              <w:rPr>
                <w:sz w:val="20"/>
                <w:szCs w:val="20"/>
                <w:color w:val="auto"/>
              </w:rPr>
            </w:pPr>
            <w:r>
              <w:rPr>
                <w:rFonts w:ascii="Arial" w:cs="Arial" w:eastAsia="Arial" w:hAnsi="Arial"/>
                <w:sz w:val="17"/>
                <w:szCs w:val="17"/>
                <w:color w:val="auto"/>
              </w:rPr>
              <w:t>0.74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0.39</w:t>
            </w:r>
          </w:p>
        </w:tc>
        <w:tc>
          <w:tcPr>
            <w:tcW w:w="3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r>
      <w:tr>
        <w:trPr>
          <w:trHeight w:val="207"/>
        </w:trPr>
        <w:tc>
          <w:tcPr>
            <w:tcW w:w="4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life of share options (years)</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207"/>
        </w:trPr>
        <w:tc>
          <w:tcPr>
            <w:tcW w:w="4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7"/>
                <w:szCs w:val="17"/>
                <w:color w:val="auto"/>
              </w:rPr>
              <w:t>Market price of ordinary shares (£)</w:t>
            </w:r>
          </w:p>
        </w:tc>
        <w:tc>
          <w:tcPr>
            <w:tcW w:w="1020" w:type="dxa"/>
            <w:vAlign w:val="bottom"/>
          </w:tcPr>
          <w:p>
            <w:pPr>
              <w:jc w:val="right"/>
              <w:spacing w:after="0"/>
              <w:rPr>
                <w:sz w:val="20"/>
                <w:szCs w:val="20"/>
                <w:color w:val="auto"/>
              </w:rPr>
            </w:pPr>
            <w:r>
              <w:rPr>
                <w:rFonts w:ascii="Arial" w:cs="Arial" w:eastAsia="Arial" w:hAnsi="Arial"/>
                <w:sz w:val="17"/>
                <w:szCs w:val="17"/>
                <w:color w:val="auto"/>
              </w:rPr>
              <w:t>2.21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3.03</w:t>
            </w:r>
          </w:p>
        </w:tc>
        <w:tc>
          <w:tcPr>
            <w:tcW w:w="3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r>
      <w:tr>
        <w:trPr>
          <w:trHeight w:val="207"/>
        </w:trPr>
        <w:tc>
          <w:tcPr>
            <w:tcW w:w="4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Model used</w:t>
            </w:r>
          </w:p>
        </w:tc>
        <w:tc>
          <w:tcPr>
            <w:tcW w:w="13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Black Scholes</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3"/>
              </w:rPr>
              <w:t>Black Scholes</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ind w:left="440" w:right="100" w:firstLine="423"/>
        <w:spacing w:after="0" w:line="284" w:lineRule="auto"/>
        <w:rPr>
          <w:sz w:val="20"/>
          <w:szCs w:val="20"/>
          <w:color w:val="auto"/>
        </w:rPr>
      </w:pPr>
      <w:r>
        <w:rPr>
          <w:rFonts w:ascii="Arial" w:cs="Arial" w:eastAsia="Arial" w:hAnsi="Arial"/>
          <w:sz w:val="17"/>
          <w:szCs w:val="17"/>
          <w:color w:val="auto"/>
        </w:rPr>
        <w:t>Since there is no historical data in relation to the expected life of the LTIP options, the contractual life of the options has been used in calculating the expense for the year.</w:t>
      </w:r>
    </w:p>
    <w:p>
      <w:pPr>
        <w:spacing w:after="0" w:line="159" w:lineRule="exact"/>
        <w:rPr>
          <w:sz w:val="20"/>
          <w:szCs w:val="20"/>
          <w:color w:val="auto"/>
        </w:rPr>
      </w:pPr>
    </w:p>
    <w:p>
      <w:pPr>
        <w:ind w:left="440" w:right="500" w:firstLine="423"/>
        <w:spacing w:after="0" w:line="284" w:lineRule="auto"/>
        <w:rPr>
          <w:sz w:val="20"/>
          <w:szCs w:val="20"/>
          <w:color w:val="auto"/>
        </w:rPr>
      </w:pPr>
      <w:r>
        <w:rPr>
          <w:rFonts w:ascii="Arial" w:cs="Arial" w:eastAsia="Arial" w:hAnsi="Arial"/>
          <w:sz w:val="17"/>
          <w:szCs w:val="17"/>
          <w:color w:val="auto"/>
        </w:rPr>
        <w:t>Volatility is estimated by reference to the share price volatility of a group of comparable companies over a retrospective period equal to the expected life of the LTIP options.</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Deferred Bonus Share Plan</w:t>
      </w:r>
    </w:p>
    <w:p>
      <w:pPr>
        <w:spacing w:after="0" w:line="115" w:lineRule="exact"/>
        <w:rPr>
          <w:sz w:val="20"/>
          <w:szCs w:val="20"/>
          <w:color w:val="auto"/>
        </w:rPr>
      </w:pPr>
    </w:p>
    <w:p>
      <w:pPr>
        <w:ind w:left="440" w:firstLine="423"/>
        <w:spacing w:after="0" w:line="297" w:lineRule="auto"/>
        <w:rPr>
          <w:sz w:val="20"/>
          <w:szCs w:val="20"/>
          <w:color w:val="auto"/>
        </w:rPr>
      </w:pPr>
      <w:r>
        <w:rPr>
          <w:rFonts w:ascii="Arial" w:cs="Arial" w:eastAsia="Arial" w:hAnsi="Arial"/>
          <w:sz w:val="15"/>
          <w:szCs w:val="15"/>
          <w:color w:val="auto"/>
        </w:rPr>
        <w:t>Under the previous terms of the Company’s Deferred Bonus Share Plan (DBSP), 30% of the annual bonus for 2017 for the senior management team was payable in deferred shares, which are governed by the DBSP plan rules. At the date of grant of the awards, the monetary bonus amount will be divided by the closing share price to give the number of shares issued to the employee under the DBSP. The number of shares is fixed and not subject to adjustment between the issue date and vesting date. Under the DBSP, awards vest after three years from the date of the award. There are no further performance conditions attached to the award, nor any service conditions (including no requirement for continued employment once the awards have been made). The plan does allow for adjustment of awards in the event of a material misstatement of Mereo’s accounts or fraud or misconduct on the part of an individual. The plan also allows for adjustment of awards in the event there was an error in calculating the vesting of the awards. Since the awards are issued at nil cost they will be satisfied by the issue of shares from the Employee Benefit Trust.</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0960"/>
          </w:cols>
          <w:pgMar w:left="240" w:top="445" w:right="69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table illustrates the number of, and movements in, DBSP options during the year:</w:t>
      </w:r>
    </w:p>
    <w:p>
      <w:pPr>
        <w:spacing w:after="0" w:line="216"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360" w:type="dxa"/>
            <w:vAlign w:val="bottom"/>
            <w:gridSpan w:val="2"/>
          </w:tcPr>
          <w:p>
            <w:pPr>
              <w:jc w:val="right"/>
              <w:ind w:right="318"/>
              <w:spacing w:after="0"/>
              <w:rPr>
                <w:sz w:val="20"/>
                <w:szCs w:val="20"/>
                <w:color w:val="auto"/>
              </w:rPr>
            </w:pPr>
            <w:r>
              <w:rPr>
                <w:rFonts w:ascii="Arial" w:cs="Arial" w:eastAsia="Arial" w:hAnsi="Arial"/>
                <w:sz w:val="14"/>
                <w:szCs w:val="14"/>
                <w:b w:val="1"/>
                <w:bCs w:val="1"/>
                <w:color w:val="auto"/>
              </w:rPr>
              <w:t>2017</w:t>
            </w:r>
          </w:p>
        </w:tc>
        <w:tc>
          <w:tcPr>
            <w:tcW w:w="106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65"/>
        </w:trPr>
        <w:tc>
          <w:tcPr>
            <w:tcW w:w="54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4"/>
                <w:szCs w:val="14"/>
                <w:color w:val="auto"/>
              </w:rPr>
            </w:pPr>
          </w:p>
        </w:tc>
        <w:tc>
          <w:tcPr>
            <w:tcW w:w="1040" w:type="dxa"/>
            <w:vAlign w:val="bottom"/>
          </w:tcPr>
          <w:p>
            <w:pPr>
              <w:jc w:val="right"/>
              <w:ind w:right="198"/>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r>
      <w:tr>
        <w:trPr>
          <w:trHeight w:val="20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62,180</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163,000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Awarded during the year</w:t>
            </w:r>
          </w:p>
        </w:tc>
        <w:tc>
          <w:tcPr>
            <w:tcW w:w="1000" w:type="dxa"/>
            <w:vAlign w:val="bottom"/>
          </w:tcPr>
          <w:p>
            <w:pPr>
              <w:jc w:val="right"/>
              <w:spacing w:after="0"/>
              <w:rPr>
                <w:sz w:val="20"/>
                <w:szCs w:val="20"/>
                <w:color w:val="auto"/>
              </w:rPr>
            </w:pPr>
            <w:r>
              <w:rPr>
                <w:rFonts w:ascii="Arial" w:cs="Arial" w:eastAsia="Arial" w:hAnsi="Arial"/>
                <w:sz w:val="17"/>
                <w:szCs w:val="17"/>
                <w:color w:val="auto"/>
              </w:rPr>
              <w:t>62,180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100,820</w:t>
            </w:r>
          </w:p>
        </w:tc>
        <w:tc>
          <w:tcPr>
            <w:tcW w:w="3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b w:val="1"/>
                <w:bCs w:val="1"/>
                <w:color w:val="auto"/>
              </w:rPr>
              <w:t>—</w:t>
            </w: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Granted during the year</w:t>
            </w:r>
          </w:p>
        </w:tc>
        <w:tc>
          <w:tcPr>
            <w:tcW w:w="10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b w:val="1"/>
                <w:bCs w:val="1"/>
                <w:color w:val="auto"/>
              </w:rPr>
              <w:t>—</w:t>
            </w: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Outstanding at December 31</w:t>
            </w:r>
          </w:p>
        </w:tc>
        <w:tc>
          <w:tcPr>
            <w:tcW w:w="1000" w:type="dxa"/>
            <w:vAlign w:val="bottom"/>
          </w:tcPr>
          <w:p>
            <w:pPr>
              <w:jc w:val="right"/>
              <w:spacing w:after="0"/>
              <w:rPr>
                <w:sz w:val="20"/>
                <w:szCs w:val="20"/>
                <w:color w:val="auto"/>
              </w:rPr>
            </w:pPr>
            <w:r>
              <w:rPr>
                <w:rFonts w:ascii="Arial" w:cs="Arial" w:eastAsia="Arial" w:hAnsi="Arial"/>
                <w:sz w:val="17"/>
                <w:szCs w:val="17"/>
                <w:color w:val="auto"/>
              </w:rPr>
              <w:t>62,180</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163,000</w:t>
            </w: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rPr>
              <w:t>163,000</w:t>
            </w:r>
          </w:p>
        </w:tc>
        <w:tc>
          <w:tcPr>
            <w:tcW w:w="6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Exercisable at December 31</w:t>
            </w:r>
          </w:p>
        </w:tc>
        <w:tc>
          <w:tcPr>
            <w:tcW w:w="100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b w:val="1"/>
                <w:bCs w:val="1"/>
                <w:color w:val="auto"/>
              </w:rPr>
              <w:t>—</w:t>
            </w:r>
          </w:p>
        </w:tc>
      </w:tr>
      <w:tr>
        <w:trPr>
          <w:trHeight w:val="20"/>
        </w:trPr>
        <w:tc>
          <w:tcPr>
            <w:tcW w:w="5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weighted average remaining contractual life for the DBSP options outstanding as at December 31, 2018 was 2.6 years (2017: 3.6 years; 2016:</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4 years).</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weighted average fair value of DBSP options granted during the year was £nil (2017: £3.23; 2016: £2.80).</w:t>
      </w:r>
    </w:p>
    <w:p>
      <w:pPr>
        <w:spacing w:after="0" w:line="219"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7"/>
          <w:szCs w:val="17"/>
          <w:color w:val="auto"/>
        </w:rPr>
        <w:t>On January 18, 2019 the Board approved an amendment to the terms of the Deferred Bonus Share Plan and the terms were amended such that in the event that the Board decides to award a bonus to eligible participants in respect of performance for any given financial year, 30% of the bonus (after deduction of income tax and employee’s National Insurance contributions) must be used to purchase ordinary shares in the Company within 12 months. Following a purchase, the relevant ordinary shares must be held for a period of at least two years. Bonus awards made in respect of 2018 were awarded under these revised terms.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Mereo 2019 Equity Incentive Plan (The 2019 EIP)</w:t>
      </w:r>
    </w:p>
    <w:p>
      <w:pPr>
        <w:spacing w:after="0" w:line="115" w:lineRule="exact"/>
        <w:rPr>
          <w:sz w:val="20"/>
          <w:szCs w:val="20"/>
          <w:color w:val="auto"/>
        </w:rPr>
      </w:pPr>
    </w:p>
    <w:p>
      <w:pPr>
        <w:ind w:left="440" w:right="40" w:firstLine="423"/>
        <w:spacing w:after="0" w:line="264" w:lineRule="auto"/>
        <w:rPr>
          <w:sz w:val="20"/>
          <w:szCs w:val="20"/>
          <w:color w:val="auto"/>
        </w:rPr>
      </w:pPr>
      <w:r>
        <w:rPr>
          <w:rFonts w:ascii="Arial" w:cs="Arial" w:eastAsia="Arial" w:hAnsi="Arial"/>
          <w:sz w:val="17"/>
          <w:szCs w:val="17"/>
          <w:color w:val="auto"/>
        </w:rPr>
        <w:t>On April 4, 2019 the Company established The Mereo 2019 Equity Incentive Plan. Under the plan it is anticipated that market value options will be granted to executives and other employees with a four-year vesting period and no performance conditions. No grants have been made under this plan as at the date of this report. The plan provides a framework for the grant of market value options and/or restricted stock unit awards to officers of the Company (or of any subsidiary).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Mereo 2019 NED Equity Incentive Plan (The 2019 NED EIP)</w:t>
      </w:r>
    </w:p>
    <w:p>
      <w:pPr>
        <w:spacing w:after="0" w:line="115" w:lineRule="exact"/>
        <w:rPr>
          <w:sz w:val="20"/>
          <w:szCs w:val="20"/>
          <w:color w:val="auto"/>
        </w:rPr>
      </w:pPr>
    </w:p>
    <w:p>
      <w:pPr>
        <w:ind w:left="440" w:firstLine="423"/>
        <w:spacing w:after="0" w:line="261" w:lineRule="auto"/>
        <w:rPr>
          <w:sz w:val="20"/>
          <w:szCs w:val="20"/>
          <w:color w:val="auto"/>
        </w:rPr>
      </w:pPr>
      <w:r>
        <w:rPr>
          <w:rFonts w:ascii="Arial" w:cs="Arial" w:eastAsia="Arial" w:hAnsi="Arial"/>
          <w:sz w:val="17"/>
          <w:szCs w:val="17"/>
          <w:color w:val="auto"/>
        </w:rPr>
        <w:t>On April 4, 2019 the Company established The Mereo 2019 NED Equity Incentive Plan. Under the plan it is anticipated that market value options will be granted to non-executive directors with no performance conditions. Options to existing non-executive directors will be granted with a one-year vesting period and options to newly appointed non-executive directors will be granted with a three-year vesting period. No grants have been made under this plan as at the date of this report. The plan provides a framework for a range of different types of share related awards (including market value options, share appreciation rights, restricted stock and restricted stock units).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Deferred equity consideration</w:t>
      </w:r>
    </w:p>
    <w:p>
      <w:pPr>
        <w:spacing w:after="0" w:line="115" w:lineRule="exact"/>
        <w:rPr>
          <w:sz w:val="20"/>
          <w:szCs w:val="20"/>
          <w:color w:val="auto"/>
        </w:rPr>
      </w:pPr>
    </w:p>
    <w:p>
      <w:pPr>
        <w:ind w:left="440" w:right="60" w:firstLine="423"/>
        <w:spacing w:after="0" w:line="264" w:lineRule="auto"/>
        <w:rPr>
          <w:sz w:val="20"/>
          <w:szCs w:val="20"/>
          <w:color w:val="auto"/>
        </w:rPr>
      </w:pPr>
      <w:r>
        <w:rPr>
          <w:rFonts w:ascii="Arial" w:cs="Arial" w:eastAsia="Arial" w:hAnsi="Arial"/>
          <w:sz w:val="17"/>
          <w:szCs w:val="17"/>
          <w:color w:val="auto"/>
        </w:rPr>
        <w:t>In October 2017, our wholly owned subsidiary Mereo BioPharma 4 Limited entered into an exclusive license and option agreement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(the “Option”), together with the acquisition of certain related assets.</w:t>
      </w:r>
    </w:p>
    <w:p>
      <w:pPr>
        <w:spacing w:after="0" w:line="176" w:lineRule="exact"/>
        <w:rPr>
          <w:sz w:val="20"/>
          <w:szCs w:val="20"/>
          <w:color w:val="auto"/>
        </w:rPr>
      </w:pPr>
    </w:p>
    <w:p>
      <w:pPr>
        <w:ind w:left="440" w:right="520" w:firstLine="423"/>
        <w:spacing w:after="0" w:line="284" w:lineRule="auto"/>
        <w:rPr>
          <w:sz w:val="20"/>
          <w:szCs w:val="20"/>
          <w:color w:val="auto"/>
        </w:rPr>
      </w:pPr>
      <w:r>
        <w:rPr>
          <w:rFonts w:ascii="Arial" w:cs="Arial" w:eastAsia="Arial" w:hAnsi="Arial"/>
          <w:sz w:val="17"/>
          <w:szCs w:val="17"/>
          <w:color w:val="auto"/>
        </w:rPr>
        <w:t>Under the agreement with AstraZeneca, the Company may issue up to 1,349,693 ordinary shares which are dependent on achieving certain milestones.</w:t>
      </w:r>
    </w:p>
    <w:p>
      <w:pPr>
        <w:spacing w:after="0" w:line="159" w:lineRule="exact"/>
        <w:rPr>
          <w:sz w:val="20"/>
          <w:szCs w:val="20"/>
          <w:color w:val="auto"/>
        </w:rPr>
      </w:pPr>
    </w:p>
    <w:p>
      <w:pPr>
        <w:ind w:left="440" w:right="100" w:firstLine="423"/>
        <w:spacing w:after="0" w:line="284" w:lineRule="auto"/>
        <w:rPr>
          <w:sz w:val="20"/>
          <w:szCs w:val="20"/>
          <w:color w:val="auto"/>
        </w:rPr>
      </w:pPr>
      <w:r>
        <w:rPr>
          <w:rFonts w:ascii="Arial" w:cs="Arial" w:eastAsia="Arial" w:hAnsi="Arial"/>
          <w:sz w:val="17"/>
          <w:szCs w:val="17"/>
          <w:color w:val="auto"/>
        </w:rPr>
        <w:t>In respect of milestones that are probable, the Group has accounted for, but not yet issued, 429,448 ordinary shares which have been measured at fair value, being £3.10, giving a total of £1,331,288.</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0960"/>
          </w:cols>
          <w:pgMar w:left="240" w:top="445" w:right="69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26. Commitments and contingencies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Operating lease commitments – Group as lessee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Future minimum rentals payable under non-cancellable operating leases as at December 31, 2018 are as follows: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17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Year ended December 31,</w:t>
            </w:r>
          </w:p>
        </w:tc>
      </w:tr>
      <w:tr>
        <w:trPr>
          <w:trHeight w:val="135"/>
        </w:trPr>
        <w:tc>
          <w:tcPr>
            <w:tcW w:w="632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39"/>
              <w:spacing w:after="0" w:line="13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7"/>
              <w:spacing w:after="0" w:line="13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1"/>
                <w:szCs w:val="11"/>
                <w:color w:val="auto"/>
              </w:rPr>
            </w:pPr>
          </w:p>
        </w:tc>
      </w:tr>
      <w:tr>
        <w:trPr>
          <w:trHeight w:val="200"/>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Within one year</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743,858</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331,527</w:t>
            </w:r>
          </w:p>
        </w:tc>
        <w:tc>
          <w:tcPr>
            <w:tcW w:w="40" w:type="dxa"/>
            <w:vAlign w:val="bottom"/>
            <w:shd w:val="clear" w:color="auto" w:fill="CCEEFF"/>
          </w:tcPr>
          <w:p>
            <w:pPr>
              <w:spacing w:after="0"/>
              <w:rPr>
                <w:sz w:val="17"/>
                <w:szCs w:val="17"/>
                <w:color w:val="auto"/>
              </w:rPr>
            </w:pPr>
          </w:p>
        </w:tc>
      </w:tr>
      <w:tr>
        <w:trPr>
          <w:trHeight w:val="207"/>
        </w:trPr>
        <w:tc>
          <w:tcPr>
            <w:tcW w:w="6320" w:type="dxa"/>
            <w:vAlign w:val="bottom"/>
          </w:tcPr>
          <w:p>
            <w:pPr>
              <w:spacing w:after="0"/>
              <w:rPr>
                <w:sz w:val="20"/>
                <w:szCs w:val="20"/>
                <w:color w:val="auto"/>
              </w:rPr>
            </w:pPr>
            <w:r>
              <w:rPr>
                <w:rFonts w:ascii="Arial" w:cs="Arial" w:eastAsia="Arial" w:hAnsi="Arial"/>
                <w:sz w:val="17"/>
                <w:szCs w:val="17"/>
                <w:color w:val="auto"/>
              </w:rPr>
              <w:t>After one year but not more than three years</w:t>
            </w: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535,203</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w w:val="97"/>
              </w:rPr>
              <w:t>204,138</w:t>
            </w:r>
          </w:p>
        </w:tc>
      </w:tr>
      <w:tr>
        <w:trPr>
          <w:trHeight w:val="207"/>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After one year but not more than five years</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r>
      <w:tr>
        <w:trPr>
          <w:trHeight w:val="213"/>
        </w:trPr>
        <w:tc>
          <w:tcPr>
            <w:tcW w:w="6320" w:type="dxa"/>
            <w:vAlign w:val="bottom"/>
          </w:tcPr>
          <w:p>
            <w:pPr>
              <w:spacing w:after="0"/>
              <w:rPr>
                <w:sz w:val="20"/>
                <w:szCs w:val="20"/>
                <w:color w:val="auto"/>
              </w:rPr>
            </w:pPr>
            <w:r>
              <w:rPr>
                <w:rFonts w:ascii="Arial" w:cs="Arial" w:eastAsia="Arial" w:hAnsi="Arial"/>
                <w:sz w:val="17"/>
                <w:szCs w:val="17"/>
                <w:color w:val="auto"/>
              </w:rPr>
              <w:t>More than five years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8"/>
                <w:szCs w:val="18"/>
                <w:color w:val="auto"/>
              </w:rPr>
            </w:pPr>
          </w:p>
        </w:tc>
      </w:tr>
      <w:tr>
        <w:trPr>
          <w:trHeight w:val="207"/>
        </w:trPr>
        <w:tc>
          <w:tcPr>
            <w:tcW w:w="6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7"/>
              </w:rPr>
              <w:t>1,279,061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7"/>
              </w:rPr>
              <w:t>535,665</w:t>
            </w:r>
          </w:p>
        </w:tc>
      </w:tr>
      <w:tr>
        <w:trPr>
          <w:trHeight w:val="20"/>
        </w:trPr>
        <w:tc>
          <w:tcPr>
            <w:tcW w:w="6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0" w:right="340" w:firstLine="423"/>
        <w:spacing w:after="0" w:line="354" w:lineRule="auto"/>
        <w:rPr>
          <w:sz w:val="20"/>
          <w:szCs w:val="20"/>
          <w:color w:val="auto"/>
        </w:rPr>
      </w:pPr>
      <w:r>
        <w:rPr>
          <w:rFonts w:ascii="Arial" w:cs="Arial" w:eastAsia="Arial" w:hAnsi="Arial"/>
          <w:sz w:val="15"/>
          <w:szCs w:val="15"/>
          <w:color w:val="auto"/>
        </w:rPr>
        <w:t>The Group has entered into a lease for its premises at Fourth Floor, 1 Cavendish Place, London W1G 0QF. The term of the lease agreement is from August 17, 2015 through to August 16, 2025. The total lease expense for the year ended December 31, 2018 was £293,328 (2017: £293,328).</w:t>
      </w:r>
    </w:p>
    <w:p>
      <w:pPr>
        <w:spacing w:after="0" w:line="113" w:lineRule="exact"/>
        <w:rPr>
          <w:sz w:val="20"/>
          <w:szCs w:val="20"/>
          <w:color w:val="auto"/>
        </w:rPr>
      </w:pPr>
    </w:p>
    <w:p>
      <w:pPr>
        <w:ind w:left="440" w:right="340" w:firstLine="423"/>
        <w:spacing w:after="0" w:line="264" w:lineRule="auto"/>
        <w:rPr>
          <w:sz w:val="20"/>
          <w:szCs w:val="20"/>
          <w:color w:val="auto"/>
        </w:rPr>
      </w:pPr>
      <w:r>
        <w:rPr>
          <w:rFonts w:ascii="Arial" w:cs="Arial" w:eastAsia="Arial" w:hAnsi="Arial"/>
          <w:sz w:val="17"/>
          <w:szCs w:val="17"/>
          <w:color w:val="auto"/>
        </w:rPr>
        <w:t>The premises comprise approximately 4,000 sq ft. The principal rent for the premises is £162,960 per annum through December 16, 2016 and £325,920 per annum thereafter, subject to an increase on August 17, 2020 based on the open market value of the premises (the “Principal Rent”). In addition to the Principal Rent, the Group is responsible for value-added tax on the Principal Rent and certain insurance costs and service charges incurred by the landlord.</w:t>
      </w:r>
    </w:p>
    <w:p>
      <w:pPr>
        <w:spacing w:after="0" w:line="176" w:lineRule="exact"/>
        <w:rPr>
          <w:sz w:val="20"/>
          <w:szCs w:val="20"/>
          <w:color w:val="auto"/>
        </w:rPr>
      </w:pPr>
    </w:p>
    <w:p>
      <w:pPr>
        <w:ind w:left="440" w:right="20" w:firstLine="423"/>
        <w:spacing w:after="0" w:line="316" w:lineRule="auto"/>
        <w:rPr>
          <w:sz w:val="20"/>
          <w:szCs w:val="20"/>
          <w:color w:val="auto"/>
        </w:rPr>
      </w:pPr>
      <w:r>
        <w:rPr>
          <w:rFonts w:ascii="Arial" w:cs="Arial" w:eastAsia="Arial" w:hAnsi="Arial"/>
          <w:sz w:val="16"/>
          <w:szCs w:val="16"/>
          <w:color w:val="auto"/>
        </w:rPr>
        <w:t>The Group may break the lease agreement on August 16, 2020 by providing six months’ prior written notice to the landlord. If the Group does not exercise its break option, the landlord will decrease by 50% the Principal Rent for the period from August 16, 2020 through to April 15, 2021.</w:t>
      </w:r>
    </w:p>
    <w:p>
      <w:pPr>
        <w:spacing w:after="0" w:line="137" w:lineRule="exact"/>
        <w:rPr>
          <w:sz w:val="20"/>
          <w:szCs w:val="20"/>
          <w:color w:val="auto"/>
        </w:rPr>
      </w:pPr>
    </w:p>
    <w:p>
      <w:pPr>
        <w:ind w:left="440" w:right="580" w:firstLine="423"/>
        <w:spacing w:after="0" w:line="284" w:lineRule="auto"/>
        <w:rPr>
          <w:sz w:val="20"/>
          <w:szCs w:val="20"/>
          <w:color w:val="auto"/>
        </w:rPr>
      </w:pPr>
      <w:r>
        <w:rPr>
          <w:rFonts w:ascii="Arial" w:cs="Arial" w:eastAsia="Arial" w:hAnsi="Arial"/>
          <w:sz w:val="17"/>
          <w:szCs w:val="17"/>
          <w:color w:val="auto"/>
        </w:rPr>
        <w:t>The Group has entered into a lease for six high-resolution peripheral quantitative computed tomography (HRpQCT) scanners for use in its ongoing clinical studies.</w:t>
      </w:r>
    </w:p>
    <w:p>
      <w:pPr>
        <w:spacing w:after="0" w:line="159" w:lineRule="exact"/>
        <w:rPr>
          <w:sz w:val="20"/>
          <w:szCs w:val="20"/>
          <w:color w:val="auto"/>
        </w:rPr>
      </w:pPr>
    </w:p>
    <w:p>
      <w:pPr>
        <w:jc w:val="both"/>
        <w:ind w:left="440" w:right="260" w:firstLine="423"/>
        <w:spacing w:after="0" w:line="269" w:lineRule="auto"/>
        <w:rPr>
          <w:sz w:val="20"/>
          <w:szCs w:val="20"/>
          <w:color w:val="auto"/>
        </w:rPr>
      </w:pPr>
      <w:r>
        <w:rPr>
          <w:rFonts w:ascii="Arial" w:cs="Arial" w:eastAsia="Arial" w:hAnsi="Arial"/>
          <w:sz w:val="17"/>
          <w:szCs w:val="17"/>
          <w:color w:val="auto"/>
        </w:rPr>
        <w:t>Each scanner has a lease term of 12 months from the date on which delivery of that scanner occurred. The Company has the right to extend the lease period for a further six months at any point during the lease term. This option may be exercised in respect of any of the individual scanners and does not have to be exercised in respect of all the scanners.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Finance leases – Group as lessee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Group did not have any leasing arrangements classified as finance leases at December 31, 2018 (2017: £nil).</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Financial commitments</w:t>
      </w:r>
    </w:p>
    <w:p>
      <w:pPr>
        <w:spacing w:after="0" w:line="115" w:lineRule="exact"/>
        <w:rPr>
          <w:sz w:val="20"/>
          <w:szCs w:val="20"/>
          <w:color w:val="auto"/>
        </w:rPr>
      </w:pPr>
    </w:p>
    <w:p>
      <w:pPr>
        <w:ind w:left="440" w:right="80" w:firstLine="423"/>
        <w:spacing w:after="0" w:line="259" w:lineRule="auto"/>
        <w:rPr>
          <w:sz w:val="20"/>
          <w:szCs w:val="20"/>
          <w:color w:val="auto"/>
        </w:rPr>
      </w:pPr>
      <w:r>
        <w:rPr>
          <w:rFonts w:ascii="Arial" w:cs="Arial" w:eastAsia="Arial" w:hAnsi="Arial"/>
          <w:sz w:val="17"/>
          <w:szCs w:val="17"/>
          <w:color w:val="auto"/>
        </w:rPr>
        <w:t>Each of Mereo BioPharma 1 Limited, Mereo BioPharma 2 Limited and Mereo BioPharma 3 Limited issued to Novartis loan notes (the “Novartis Notes”) (which were assigned by Novartis to the Company in exchange for ordinary shares pursuant to the Subscription Agreement) and each of Mereo BioPharma 1 Limited, Mereo BioPharma 2 Limited and Mereo BioPharma 3 Limited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of Mereo BioPharma 1 Limited, Mereo BioPharma 2 Limited and Mereo BioPharma 3 Limited under the respective Purchase Agreements.</w:t>
      </w:r>
    </w:p>
    <w:p>
      <w:pPr>
        <w:spacing w:after="0" w:line="181"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Each of Mereo BioPharma 1 Limited, Mereo BioPharma 2 Limited and Mereo BioPharma 3 Limited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of Mereo BioPharma 1 Limited, Mereo BioPharma 2 Limited and Mereo BioPharma 3 Limited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80" w:lineRule="exact"/>
        <w:rPr>
          <w:sz w:val="20"/>
          <w:szCs w:val="20"/>
          <w:color w:val="auto"/>
        </w:rPr>
      </w:pPr>
    </w:p>
    <w:p>
      <w:pPr>
        <w:ind w:left="440" w:right="60" w:firstLine="423"/>
        <w:spacing w:after="0" w:line="261" w:lineRule="auto"/>
        <w:rPr>
          <w:sz w:val="20"/>
          <w:szCs w:val="20"/>
          <w:color w:val="auto"/>
        </w:rPr>
      </w:pPr>
      <w:r>
        <w:rPr>
          <w:rFonts w:ascii="Arial" w:cs="Arial" w:eastAsia="Arial" w:hAnsi="Arial"/>
          <w:sz w:val="17"/>
          <w:szCs w:val="17"/>
          <w:color w:val="auto"/>
        </w:rPr>
        <w:t>In October 2017, the Group’s wholly owned subsidiary Mereo BioPharma 4 Limited entered into an exclusive license and option agreement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(the “Option”), together with the acquisition of certain related assets. Upon entering into the License Agreement, the Group made a payment of $3.0 million and issued 490,798 ordinary shares to</w:t>
      </w:r>
    </w:p>
    <w:p>
      <w:pPr>
        <w:spacing w:after="0" w:line="11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980"/>
          </w:cols>
          <w:pgMar w:left="240" w:top="445" w:right="67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spacing w:after="0" w:line="275" w:lineRule="auto"/>
        <w:rPr>
          <w:sz w:val="20"/>
          <w:szCs w:val="20"/>
          <w:color w:val="auto"/>
        </w:rPr>
      </w:pPr>
      <w:r>
        <w:rPr>
          <w:rFonts w:ascii="Arial" w:cs="Arial" w:eastAsia="Arial" w:hAnsi="Arial"/>
          <w:sz w:val="16"/>
          <w:szCs w:val="16"/>
          <w:color w:val="auto"/>
        </w:rPr>
        <w:t>AstraZeneca, for an aggregate upfront payment equal to $5.0 million. In connection with certain development and regulatory milestones, the Group has agreed to make payments of up to $115.5 million in the aggregate and issue additional ordinary shares to AstraZeneca for licensed products containing MPH-966. In addition, the Group has agreed to make payments to AstraZeneca based on specified commercial milestones of the product. The Group has also agreed to pay a specified percentage of sub-licensing revenue to AstraZeneca and to make royalty payments to AstraZeneca equal to ascending specified percentages of tiered annual worldwide net sales by the Group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the Group may freely grant sub-licenses to affiliates upon notice to AstraZeneca and must obtain AstraZeneca’s consent, which is not be unreasonably withheld, to grant sub-licenses to a third party. The Group has agreed to use commercially reasonable efforts to develop and commercialize at least one licensed product.</w:t>
      </w:r>
    </w:p>
    <w:p>
      <w:pPr>
        <w:spacing w:after="0" w:line="171" w:lineRule="exact"/>
        <w:rPr>
          <w:sz w:val="20"/>
          <w:szCs w:val="20"/>
          <w:color w:val="auto"/>
        </w:rPr>
      </w:pPr>
    </w:p>
    <w:p>
      <w:pPr>
        <w:ind w:left="440" w:firstLine="423"/>
        <w:spacing w:after="0" w:line="259" w:lineRule="auto"/>
        <w:rPr>
          <w:sz w:val="20"/>
          <w:szCs w:val="20"/>
          <w:color w:val="auto"/>
        </w:rPr>
      </w:pPr>
      <w:r>
        <w:rPr>
          <w:rFonts w:ascii="Arial" w:cs="Arial" w:eastAsia="Arial" w:hAnsi="Arial"/>
          <w:sz w:val="17"/>
          <w:szCs w:val="17"/>
          <w:color w:val="auto"/>
        </w:rPr>
        <w:t>The License Agreement will expire on the expiry of the last-to-expire royalty term with respect to all licensed products. Upon the expiration of the royalty term for a licensed product in a particular country, the licenses to the Group for such product in such country will become fully paid and irrevocable. Prior to exercise of the Option, if at all, the Group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the Group.</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27. Related party disclosures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following transactions have been entered into with related parties for the year ended December 31, 2017 and 2018.</w:t>
      </w:r>
    </w:p>
    <w:p>
      <w:pPr>
        <w:spacing w:after="0" w:line="219"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Novartis Pharma AG (“Novartis”) holds shares in the Company at December 31, 2016. On June 3, 2016, the Group issued 3,463,563 £1 unsecured convertible loan notes (the “Novartis Notes”) to Novartis and received £3,463,563 from Novartis in consideration (Note 18a).</w:t>
      </w:r>
    </w:p>
    <w:p>
      <w:pPr>
        <w:spacing w:after="0" w:line="15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Group purchased goods and services from Novartis in the year as set out below:</w:t>
      </w:r>
    </w:p>
    <w:p>
      <w:pPr>
        <w:spacing w:after="0" w:line="235" w:lineRule="exact"/>
        <w:rPr>
          <w:sz w:val="20"/>
          <w:szCs w:val="20"/>
          <w:color w:val="auto"/>
        </w:rPr>
      </w:pPr>
    </w:p>
    <w:tbl>
      <w:tblPr>
        <w:tblLayout w:type="fixed"/>
        <w:tblInd w:w="1280" w:type="dxa"/>
        <w:tblCellMar>
          <w:top w:w="0" w:type="dxa"/>
          <w:left w:w="0" w:type="dxa"/>
          <w:bottom w:w="0" w:type="dxa"/>
          <w:right w:w="0" w:type="dxa"/>
        </w:tblCellMar>
      </w:tblPr>
      <w:tr>
        <w:trPr>
          <w:trHeight w:val="165"/>
        </w:trPr>
        <w:tc>
          <w:tcPr>
            <w:tcW w:w="6300" w:type="dxa"/>
            <w:vAlign w:val="bottom"/>
          </w:tcPr>
          <w:p>
            <w:pPr>
              <w:spacing w:after="0"/>
              <w:rPr>
                <w:sz w:val="14"/>
                <w:szCs w:val="14"/>
                <w:color w:val="auto"/>
              </w:rPr>
            </w:pPr>
          </w:p>
        </w:tc>
        <w:tc>
          <w:tcPr>
            <w:tcW w:w="20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87"/>
              </w:rPr>
              <w:t>Year ended December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6300" w:type="dxa"/>
            <w:vAlign w:val="bottom"/>
          </w:tcPr>
          <w:p>
            <w:pPr>
              <w:spacing w:after="0"/>
              <w:rPr>
                <w:sz w:val="11"/>
                <w:szCs w:val="11"/>
                <w:color w:val="auto"/>
              </w:rPr>
            </w:pPr>
          </w:p>
        </w:tc>
        <w:tc>
          <w:tcPr>
            <w:tcW w:w="620" w:type="dxa"/>
            <w:vAlign w:val="bottom"/>
          </w:tcPr>
          <w:p>
            <w:pPr>
              <w:jc w:val="right"/>
              <w:ind w:right="105"/>
              <w:spacing w:after="0" w:line="135" w:lineRule="exact"/>
              <w:rPr>
                <w:sz w:val="20"/>
                <w:szCs w:val="20"/>
                <w:color w:val="auto"/>
              </w:rPr>
            </w:pPr>
            <w:r>
              <w:rPr>
                <w:rFonts w:ascii="Arial" w:cs="Arial" w:eastAsia="Arial" w:hAnsi="Arial"/>
                <w:sz w:val="14"/>
                <w:szCs w:val="14"/>
                <w:b w:val="1"/>
                <w:bCs w:val="1"/>
                <w:color w:val="auto"/>
              </w:rPr>
              <w:t>2016</w:t>
            </w:r>
          </w:p>
        </w:tc>
        <w:tc>
          <w:tcPr>
            <w:tcW w:w="1060" w:type="dxa"/>
            <w:vAlign w:val="bottom"/>
            <w:gridSpan w:val="2"/>
          </w:tcPr>
          <w:p>
            <w:pPr>
              <w:jc w:val="right"/>
              <w:ind w:right="154"/>
              <w:spacing w:after="0" w:line="13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jc w:val="right"/>
              <w:ind w:right="62"/>
              <w:spacing w:after="0" w:line="13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r>
      <w:tr>
        <w:trPr>
          <w:trHeight w:val="20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Manufacture and supply of clinical trial material</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968,219</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4,610,106</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60,027</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amount outstanding to be paid to Novartis at December 31, 2018 was £nil (2017: £nil; 2016: £35,249).</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The purchases from related parties are made on terms equivalent to those that prevail in arm’s length transactions.</w:t>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Employee Benefit Trust</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In 2016 the Company set up an Employee Benefit Trust for the purposes of buying and selling shares on the employees’ behalf.</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 total of £325,000 of funding was paid into the Trust by the Company during the year ended December 31, 2018 (2017:£nil).</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 total of 163,000 shares were purchased by the Trust during the year ended December 31, 2018 (2017: nil). As at December 31, 2018 a cash</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balance of £21,762 (2017: £3,600) was held by the Trust.</w:t>
      </w:r>
    </w:p>
    <w:p>
      <w:pPr>
        <w:spacing w:after="0" w:line="30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28. Standards issued but not yet effective</w:t>
      </w:r>
    </w:p>
    <w:p>
      <w:pPr>
        <w:spacing w:after="0" w:line="121" w:lineRule="exact"/>
        <w:rPr>
          <w:sz w:val="20"/>
          <w:szCs w:val="20"/>
          <w:color w:val="auto"/>
        </w:rPr>
      </w:pPr>
    </w:p>
    <w:p>
      <w:pPr>
        <w:ind w:left="440" w:right="100" w:firstLine="423"/>
        <w:spacing w:after="0" w:line="284" w:lineRule="auto"/>
        <w:rPr>
          <w:sz w:val="20"/>
          <w:szCs w:val="20"/>
          <w:color w:val="auto"/>
        </w:rPr>
      </w:pPr>
      <w:r>
        <w:rPr>
          <w:rFonts w:ascii="Arial" w:cs="Arial" w:eastAsia="Arial" w:hAnsi="Arial"/>
          <w:sz w:val="17"/>
          <w:szCs w:val="17"/>
          <w:color w:val="auto"/>
        </w:rPr>
        <w:t>The standards and interpretations that are issued, but not yet effective, up to the date of issuance of the Group’s financial statements are disclosed below. The Group intends to adopt these standards, if applicable, when they become effective.</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0980"/>
          </w:cols>
          <w:pgMar w:left="240" w:top="445" w:right="67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Other standards</w:t>
      </w:r>
    </w:p>
    <w:p>
      <w:pPr>
        <w:spacing w:after="0" w:line="115" w:lineRule="exact"/>
        <w:rPr>
          <w:sz w:val="20"/>
          <w:szCs w:val="20"/>
          <w:color w:val="auto"/>
        </w:rPr>
      </w:pPr>
    </w:p>
    <w:p>
      <w:pPr>
        <w:ind w:left="440" w:right="300" w:firstLine="423"/>
        <w:spacing w:after="0" w:line="284" w:lineRule="auto"/>
        <w:rPr>
          <w:sz w:val="20"/>
          <w:szCs w:val="20"/>
          <w:color w:val="auto"/>
        </w:rPr>
      </w:pPr>
      <w:r>
        <w:rPr>
          <w:rFonts w:ascii="Arial" w:cs="Arial" w:eastAsia="Arial" w:hAnsi="Arial"/>
          <w:sz w:val="17"/>
          <w:szCs w:val="17"/>
          <w:color w:val="auto"/>
        </w:rPr>
        <w:t>The following standards and interpretations, applicable for annual periods beginning on or after January 1, 2017, are not expected to have any impact on the results of the Group or the presentation of the financial statements:</w:t>
      </w:r>
    </w:p>
    <w:p>
      <w:pPr>
        <w:spacing w:after="0" w:line="68" w:lineRule="exact"/>
        <w:rPr>
          <w:sz w:val="20"/>
          <w:szCs w:val="20"/>
          <w:color w:val="auto"/>
        </w:rPr>
      </w:pPr>
    </w:p>
    <w:p>
      <w:pPr>
        <w:ind w:left="1260" w:hanging="415"/>
        <w:spacing w:after="0" w:line="284" w:lineRule="auto"/>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IFRS 10 Consolidated Financial Statements – Amendments regarding the sale or contribution of assets between an investor and its associate or joint venture and amendments regarding the application of the consolidation exception.</w:t>
      </w:r>
    </w:p>
    <w:p>
      <w:pPr>
        <w:spacing w:after="0" w:line="68" w:lineRule="exact"/>
        <w:rPr>
          <w:rFonts w:ascii="Arial" w:cs="Arial" w:eastAsia="Arial" w:hAnsi="Arial"/>
          <w:sz w:val="17"/>
          <w:szCs w:val="17"/>
          <w:color w:val="auto"/>
        </w:rPr>
      </w:pPr>
    </w:p>
    <w:p>
      <w:pPr>
        <w:ind w:left="1260" w:hanging="415"/>
        <w:spacing w:after="0"/>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IFRS 11 Joint Arrangements – Amendments regarding the accounting for acquisitions of an interest in a joint operation.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IFRS 12 Disclosure of Interests in Other Entities – Amendments regarding the application of the consolidation exception.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IFRS 14 Regulatory Deferral Accounts.</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IAS 1 Presentation of Financial Statements – Amendments resulting from the disclosure initiative.</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IAS 7 Statement of Cash Flows – Amendments resulting from the disclosure initiative.</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IAS 12 Income Taxes – Amendments to recognition of deferred tax assets for unrealized losses.</w:t>
      </w:r>
    </w:p>
    <w:p>
      <w:pPr>
        <w:spacing w:after="0" w:line="128" w:lineRule="exact"/>
        <w:rPr>
          <w:rFonts w:ascii="Arial" w:cs="Arial" w:eastAsia="Arial" w:hAnsi="Arial"/>
          <w:sz w:val="17"/>
          <w:szCs w:val="17"/>
          <w:color w:val="auto"/>
        </w:rPr>
      </w:pPr>
    </w:p>
    <w:p>
      <w:pPr>
        <w:ind w:left="1260" w:right="220" w:hanging="415"/>
        <w:spacing w:after="0" w:line="284" w:lineRule="auto"/>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IAS 16 Property, Plant and Equipment – Amendments regarding the clarification of acceptable methods of depreciation and amortization and amendments bringing bearer plants into the scope of IAS 16.</w:t>
      </w:r>
    </w:p>
    <w:p>
      <w:pPr>
        <w:spacing w:after="0" w:line="68" w:lineRule="exact"/>
        <w:rPr>
          <w:rFonts w:ascii="Arial" w:cs="Arial" w:eastAsia="Arial" w:hAnsi="Arial"/>
          <w:sz w:val="17"/>
          <w:szCs w:val="17"/>
          <w:color w:val="auto"/>
        </w:rPr>
      </w:pPr>
    </w:p>
    <w:p>
      <w:pPr>
        <w:ind w:left="1260" w:right="460" w:hanging="415"/>
        <w:spacing w:after="0" w:line="316" w:lineRule="auto"/>
        <w:tabs>
          <w:tab w:leader="none" w:pos="12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IAS 27 Separate Financial Statements (as amended in 2011) – Amendments reinstating the equity method as an accounting option for investments in subsidiaries, joint ventures and associates in an entity’s separate financial statements.</w:t>
      </w:r>
    </w:p>
    <w:p>
      <w:pPr>
        <w:spacing w:after="0" w:line="46" w:lineRule="exact"/>
        <w:rPr>
          <w:rFonts w:ascii="Arial" w:cs="Arial" w:eastAsia="Arial" w:hAnsi="Arial"/>
          <w:sz w:val="16"/>
          <w:szCs w:val="16"/>
          <w:color w:val="auto"/>
        </w:rPr>
      </w:pPr>
    </w:p>
    <w:p>
      <w:pPr>
        <w:ind w:left="1260" w:hanging="415"/>
        <w:spacing w:after="0"/>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IAS 28 Investments in Associates and Joint Ventures – Amendments regarding the application of the consolidation exception.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IAS 38 Intangible Assets – Amendments regarding the clarification of acceptable methods of depreciation and amortization.</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IAS 41 Agriculture – Amendments bringing bearer plants into the scope of IAS 16.</w:t>
      </w:r>
    </w:p>
    <w:p>
      <w:pPr>
        <w:spacing w:after="0" w:line="128" w:lineRule="exact"/>
        <w:rPr>
          <w:rFonts w:ascii="Arial" w:cs="Arial" w:eastAsia="Arial" w:hAnsi="Arial"/>
          <w:sz w:val="17"/>
          <w:szCs w:val="17"/>
          <w:color w:val="auto"/>
        </w:rPr>
      </w:pPr>
    </w:p>
    <w:p>
      <w:pPr>
        <w:ind w:left="1260" w:hanging="415"/>
        <w:spacing w:after="0"/>
        <w:tabs>
          <w:tab w:leader="none" w:pos="12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Amendments resulting from September 2014 Annual Improvements to IFRSs:</w:t>
      </w:r>
    </w:p>
    <w:p>
      <w:pPr>
        <w:spacing w:after="0" w:line="128" w:lineRule="exact"/>
        <w:rPr>
          <w:rFonts w:ascii="Arial" w:cs="Arial" w:eastAsia="Arial" w:hAnsi="Arial"/>
          <w:sz w:val="17"/>
          <w:szCs w:val="17"/>
          <w:color w:val="auto"/>
        </w:rPr>
      </w:pPr>
    </w:p>
    <w:p>
      <w:pPr>
        <w:ind w:left="1800" w:hanging="527"/>
        <w:spacing w:after="0"/>
        <w:tabs>
          <w:tab w:leader="none" w:pos="1800" w:val="left"/>
        </w:tabs>
        <w:numPr>
          <w:ilvl w:val="3"/>
          <w:numId w:val="133"/>
        </w:numPr>
        <w:rPr>
          <w:rFonts w:ascii="Arial" w:cs="Arial" w:eastAsia="Arial" w:hAnsi="Arial"/>
          <w:sz w:val="17"/>
          <w:szCs w:val="17"/>
          <w:color w:val="auto"/>
        </w:rPr>
      </w:pPr>
      <w:r>
        <w:rPr>
          <w:rFonts w:ascii="Arial" w:cs="Arial" w:eastAsia="Arial" w:hAnsi="Arial"/>
          <w:sz w:val="17"/>
          <w:szCs w:val="17"/>
          <w:color w:val="auto"/>
        </w:rPr>
        <w:t>IFRS 2 Classification and Measurement of Share-based Payment Transactions.</w:t>
      </w:r>
    </w:p>
    <w:p>
      <w:pPr>
        <w:spacing w:after="0" w:line="128" w:lineRule="exact"/>
        <w:rPr>
          <w:rFonts w:ascii="Arial" w:cs="Arial" w:eastAsia="Arial" w:hAnsi="Arial"/>
          <w:sz w:val="17"/>
          <w:szCs w:val="17"/>
          <w:color w:val="auto"/>
        </w:rPr>
      </w:pPr>
    </w:p>
    <w:p>
      <w:pPr>
        <w:ind w:left="1800" w:hanging="527"/>
        <w:spacing w:after="0"/>
        <w:tabs>
          <w:tab w:leader="none" w:pos="1800" w:val="left"/>
        </w:tabs>
        <w:numPr>
          <w:ilvl w:val="3"/>
          <w:numId w:val="133"/>
        </w:numPr>
        <w:rPr>
          <w:rFonts w:ascii="Arial" w:cs="Arial" w:eastAsia="Arial" w:hAnsi="Arial"/>
          <w:sz w:val="17"/>
          <w:szCs w:val="17"/>
          <w:color w:val="auto"/>
        </w:rPr>
      </w:pPr>
      <w:r>
        <w:rPr>
          <w:rFonts w:ascii="Arial" w:cs="Arial" w:eastAsia="Arial" w:hAnsi="Arial"/>
          <w:sz w:val="17"/>
          <w:szCs w:val="17"/>
          <w:color w:val="auto"/>
        </w:rPr>
        <w:t>IFRS 5 Non-current Assets Held for Sale and Discontinued Operations.</w:t>
      </w:r>
    </w:p>
    <w:p>
      <w:pPr>
        <w:spacing w:after="0" w:line="128" w:lineRule="exact"/>
        <w:rPr>
          <w:rFonts w:ascii="Arial" w:cs="Arial" w:eastAsia="Arial" w:hAnsi="Arial"/>
          <w:sz w:val="17"/>
          <w:szCs w:val="17"/>
          <w:color w:val="auto"/>
        </w:rPr>
      </w:pPr>
    </w:p>
    <w:p>
      <w:pPr>
        <w:ind w:left="1800" w:hanging="527"/>
        <w:spacing w:after="0"/>
        <w:tabs>
          <w:tab w:leader="none" w:pos="1800" w:val="left"/>
        </w:tabs>
        <w:numPr>
          <w:ilvl w:val="3"/>
          <w:numId w:val="133"/>
        </w:numPr>
        <w:rPr>
          <w:rFonts w:ascii="Arial" w:cs="Arial" w:eastAsia="Arial" w:hAnsi="Arial"/>
          <w:sz w:val="17"/>
          <w:szCs w:val="17"/>
          <w:color w:val="auto"/>
        </w:rPr>
      </w:pPr>
      <w:r>
        <w:rPr>
          <w:rFonts w:ascii="Arial" w:cs="Arial" w:eastAsia="Arial" w:hAnsi="Arial"/>
          <w:sz w:val="17"/>
          <w:szCs w:val="17"/>
          <w:color w:val="auto"/>
        </w:rPr>
        <w:t>IFRS 7 Financial Instruments: Disclosures.</w:t>
      </w:r>
    </w:p>
    <w:p>
      <w:pPr>
        <w:spacing w:after="0" w:line="128" w:lineRule="exact"/>
        <w:rPr>
          <w:rFonts w:ascii="Arial" w:cs="Arial" w:eastAsia="Arial" w:hAnsi="Arial"/>
          <w:sz w:val="17"/>
          <w:szCs w:val="17"/>
          <w:color w:val="auto"/>
        </w:rPr>
      </w:pPr>
    </w:p>
    <w:p>
      <w:pPr>
        <w:ind w:left="1800" w:hanging="527"/>
        <w:spacing w:after="0"/>
        <w:tabs>
          <w:tab w:leader="none" w:pos="1800" w:val="left"/>
        </w:tabs>
        <w:numPr>
          <w:ilvl w:val="3"/>
          <w:numId w:val="133"/>
        </w:numPr>
        <w:rPr>
          <w:rFonts w:ascii="Arial" w:cs="Arial" w:eastAsia="Arial" w:hAnsi="Arial"/>
          <w:sz w:val="17"/>
          <w:szCs w:val="17"/>
          <w:color w:val="auto"/>
        </w:rPr>
      </w:pPr>
      <w:r>
        <w:rPr>
          <w:rFonts w:ascii="Arial" w:cs="Arial" w:eastAsia="Arial" w:hAnsi="Arial"/>
          <w:sz w:val="17"/>
          <w:szCs w:val="17"/>
          <w:color w:val="auto"/>
        </w:rPr>
        <w:t>IFRIC Interpretation 22 Foreign Currency Transactions and Advance Consideration.</w:t>
      </w:r>
    </w:p>
    <w:p>
      <w:pPr>
        <w:spacing w:after="0" w:line="128" w:lineRule="exact"/>
        <w:rPr>
          <w:rFonts w:ascii="Arial" w:cs="Arial" w:eastAsia="Arial" w:hAnsi="Arial"/>
          <w:sz w:val="17"/>
          <w:szCs w:val="17"/>
          <w:color w:val="auto"/>
        </w:rPr>
      </w:pPr>
    </w:p>
    <w:p>
      <w:pPr>
        <w:ind w:left="1800" w:hanging="527"/>
        <w:spacing w:after="0"/>
        <w:tabs>
          <w:tab w:leader="none" w:pos="1800" w:val="left"/>
        </w:tabs>
        <w:numPr>
          <w:ilvl w:val="3"/>
          <w:numId w:val="133"/>
        </w:numPr>
        <w:rPr>
          <w:rFonts w:ascii="Arial" w:cs="Arial" w:eastAsia="Arial" w:hAnsi="Arial"/>
          <w:sz w:val="17"/>
          <w:szCs w:val="17"/>
          <w:color w:val="auto"/>
        </w:rPr>
      </w:pPr>
      <w:r>
        <w:rPr>
          <w:rFonts w:ascii="Arial" w:cs="Arial" w:eastAsia="Arial" w:hAnsi="Arial"/>
          <w:sz w:val="17"/>
          <w:szCs w:val="17"/>
          <w:color w:val="auto"/>
        </w:rPr>
        <w:t>IAS 19 Employee Benefits.</w:t>
      </w:r>
    </w:p>
    <w:p>
      <w:pPr>
        <w:spacing w:after="0" w:line="128" w:lineRule="exact"/>
        <w:rPr>
          <w:rFonts w:ascii="Arial" w:cs="Arial" w:eastAsia="Arial" w:hAnsi="Arial"/>
          <w:sz w:val="17"/>
          <w:szCs w:val="17"/>
          <w:color w:val="auto"/>
        </w:rPr>
      </w:pPr>
    </w:p>
    <w:p>
      <w:pPr>
        <w:ind w:left="1800" w:hanging="527"/>
        <w:spacing w:after="0"/>
        <w:tabs>
          <w:tab w:leader="none" w:pos="1800" w:val="left"/>
        </w:tabs>
        <w:numPr>
          <w:ilvl w:val="3"/>
          <w:numId w:val="133"/>
        </w:numPr>
        <w:rPr>
          <w:rFonts w:ascii="Arial" w:cs="Arial" w:eastAsia="Arial" w:hAnsi="Arial"/>
          <w:sz w:val="17"/>
          <w:szCs w:val="17"/>
          <w:color w:val="auto"/>
        </w:rPr>
      </w:pPr>
      <w:r>
        <w:rPr>
          <w:rFonts w:ascii="Arial" w:cs="Arial" w:eastAsia="Arial" w:hAnsi="Arial"/>
          <w:sz w:val="17"/>
          <w:szCs w:val="17"/>
          <w:color w:val="auto"/>
        </w:rPr>
        <w:t>IAS 34 Interim Financial Reporting.</w:t>
      </w:r>
    </w:p>
    <w:p>
      <w:pPr>
        <w:spacing w:after="0" w:line="316" w:lineRule="exact"/>
        <w:rPr>
          <w:rFonts w:ascii="Arial" w:cs="Arial" w:eastAsia="Arial" w:hAnsi="Arial"/>
          <w:sz w:val="17"/>
          <w:szCs w:val="17"/>
          <w:color w:val="auto"/>
        </w:rPr>
      </w:pPr>
    </w:p>
    <w:p>
      <w:pPr>
        <w:ind w:left="680" w:hanging="249"/>
        <w:spacing w:after="0"/>
        <w:tabs>
          <w:tab w:leader="none" w:pos="68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Event after the reporting period</w:t>
      </w:r>
    </w:p>
    <w:p>
      <w:pPr>
        <w:spacing w:after="0" w:line="121" w:lineRule="exact"/>
        <w:rPr>
          <w:rFonts w:ascii="Arial" w:cs="Arial" w:eastAsia="Arial" w:hAnsi="Arial"/>
          <w:sz w:val="17"/>
          <w:szCs w:val="17"/>
          <w:b w:val="1"/>
          <w:bCs w:val="1"/>
          <w:color w:val="auto"/>
        </w:rPr>
      </w:pPr>
    </w:p>
    <w:p>
      <w:pPr>
        <w:ind w:left="1220" w:hanging="367"/>
        <w:spacing w:after="0"/>
        <w:tabs>
          <w:tab w:leader="none" w:pos="1220" w:val="left"/>
        </w:tabs>
        <w:numPr>
          <w:ilvl w:val="2"/>
          <w:numId w:val="133"/>
        </w:numPr>
        <w:rPr>
          <w:rFonts w:ascii="Arial" w:cs="Arial" w:eastAsia="Arial" w:hAnsi="Arial"/>
          <w:sz w:val="17"/>
          <w:szCs w:val="17"/>
          <w:color w:val="auto"/>
        </w:rPr>
      </w:pPr>
      <w:r>
        <w:rPr>
          <w:rFonts w:ascii="Arial" w:cs="Arial" w:eastAsia="Arial" w:hAnsi="Arial"/>
          <w:sz w:val="17"/>
          <w:szCs w:val="17"/>
          <w:color w:val="auto"/>
        </w:rPr>
        <w:t>On February 8, 2019, Dr. Frank Armstrong resigned as a non-executive director of the Group.</w:t>
      </w:r>
    </w:p>
    <w:p>
      <w:pPr>
        <w:spacing w:after="0" w:line="218" w:lineRule="exact"/>
        <w:rPr>
          <w:rFonts w:ascii="Arial" w:cs="Arial" w:eastAsia="Arial" w:hAnsi="Arial"/>
          <w:sz w:val="17"/>
          <w:szCs w:val="17"/>
          <w:color w:val="auto"/>
        </w:rPr>
      </w:pPr>
    </w:p>
    <w:p>
      <w:pPr>
        <w:jc w:val="both"/>
        <w:ind w:left="440" w:right="40" w:firstLine="413"/>
        <w:spacing w:after="0" w:line="269" w:lineRule="auto"/>
        <w:tabs>
          <w:tab w:leader="none" w:pos="1236" w:val="left"/>
        </w:tabs>
        <w:numPr>
          <w:ilvl w:val="2"/>
          <w:numId w:val="133"/>
        </w:numPr>
        <w:rPr>
          <w:rFonts w:ascii="Arial" w:cs="Arial" w:eastAsia="Arial" w:hAnsi="Arial"/>
          <w:sz w:val="17"/>
          <w:szCs w:val="17"/>
          <w:color w:val="auto"/>
        </w:rPr>
      </w:pPr>
      <w:r>
        <w:rPr>
          <w:rFonts w:ascii="Arial" w:cs="Arial" w:eastAsia="Arial" w:hAnsi="Arial"/>
          <w:sz w:val="17"/>
          <w:szCs w:val="17"/>
          <w:color w:val="auto"/>
        </w:rPr>
        <w:t>On April 23, 2019 the Group agreed an amendment to the terms of its bank loan with the lenders. The new terms extended the interest-only period to December 31, 2019 followed by a 15-month capital and interest repayment period. The Group has undertaken a preliminary assessment under IFRS 9 and determined it to be a non-substantial modification.</w:t>
      </w:r>
    </w:p>
    <w:p>
      <w:pPr>
        <w:spacing w:after="0" w:line="10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0940"/>
          </w:cols>
          <w:pgMar w:left="240" w:top="445" w:right="71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right="540" w:firstLine="423"/>
        <w:spacing w:after="0" w:line="316" w:lineRule="auto"/>
        <w:rPr>
          <w:sz w:val="20"/>
          <w:szCs w:val="20"/>
          <w:color w:val="auto"/>
        </w:rPr>
      </w:pPr>
      <w:r>
        <w:rPr>
          <w:rFonts w:ascii="Arial" w:cs="Arial" w:eastAsia="Arial" w:hAnsi="Arial"/>
          <w:sz w:val="16"/>
          <w:szCs w:val="16"/>
          <w:color w:val="auto"/>
        </w:rPr>
        <w:t>Following completion of the merger with OncoMed, under the terms of the loan agreement, Mereo expects to issue approximately 321,444 additional warrants to its lenders giving them the right to subscribe for ordinary shares at an exercise price of £2.95.</w:t>
      </w:r>
    </w:p>
    <w:p>
      <w:pPr>
        <w:spacing w:after="0" w:line="137" w:lineRule="exact"/>
        <w:rPr>
          <w:sz w:val="20"/>
          <w:szCs w:val="20"/>
          <w:color w:val="auto"/>
        </w:rPr>
      </w:pPr>
    </w:p>
    <w:p>
      <w:pPr>
        <w:ind w:left="440" w:firstLine="413"/>
        <w:spacing w:after="0" w:line="260" w:lineRule="auto"/>
        <w:tabs>
          <w:tab w:leader="none" w:pos="122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On April 23, 2019, Mereo completed the acquisition of OncoMed, a clinical-stage biopharmaceutical company whose shares were previously traded on NASDAQ. Mereo acquired 100% of the voting equity interests declared, and OncoMed will continue as a wholly-owned indirect subsidiary of Mereo. The Mereo Board believes that the combination of Mereo’s biopharmaceutical portfolio of four assets with OncoMed’s two lead assets will create a diversified combined portfolio, resulting in an increased number of potential near-term catalysts with a core focus remaining on Mereo’s strategy to target rare diseases, and that the cash position of the Combined Company will provide an extended operational runway, with the potential for such runway to be extended significantly further through partnering deals.</w:t>
      </w:r>
    </w:p>
    <w:p>
      <w:pPr>
        <w:spacing w:after="0" w:line="180" w:lineRule="exact"/>
        <w:rPr>
          <w:sz w:val="20"/>
          <w:szCs w:val="20"/>
          <w:color w:val="auto"/>
        </w:rPr>
      </w:pPr>
    </w:p>
    <w:p>
      <w:pPr>
        <w:ind w:left="440" w:firstLine="423"/>
        <w:spacing w:after="0" w:line="301" w:lineRule="auto"/>
        <w:rPr>
          <w:sz w:val="20"/>
          <w:szCs w:val="20"/>
          <w:color w:val="auto"/>
        </w:rPr>
      </w:pPr>
      <w:r>
        <w:rPr>
          <w:rFonts w:ascii="Arial" w:cs="Arial" w:eastAsia="Arial" w:hAnsi="Arial"/>
          <w:sz w:val="15"/>
          <w:szCs w:val="15"/>
          <w:color w:val="auto"/>
        </w:rPr>
        <w:t>The initial consideration for the purchase amounted to £40,892,478 in the form of 24,783,320 ordinary shares. The fair value of the ordinary shares issued was measured using the closing market price of Mereo’s ordinary shares at the acquisition date. Further amounts may be payable the former owners of OncoMed governed by the terms of an agreed Contingent Value Rights (CVR) agreement. The CVR represents the non-transferable contractual right for previous shareholders in OncoMed, Inc. to receive certain share and cash payments from Mereo if specified milestones are achieved within agreed time periods. The CVR milestone relates to OncoMed’s etigilimab (anti-TIGIT, OMP-313M32) and navicixizumab (anti-DLL4/VEGF, OMP-305B83) therapeutic candidates. The contingent payments become payable upon the achievement of the milestones as follows: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TIGIT milestone</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 payment, in the form of Mereo ADSs, will be made to CVR holders if, prior to December 31, 2019, the following milestone is achieved:</w:t>
      </w:r>
    </w:p>
    <w:p>
      <w:pPr>
        <w:spacing w:after="0" w:line="140" w:lineRule="exact"/>
        <w:rPr>
          <w:sz w:val="20"/>
          <w:szCs w:val="20"/>
          <w:color w:val="auto"/>
        </w:rPr>
      </w:pPr>
    </w:p>
    <w:p>
      <w:pPr>
        <w:ind w:left="1260" w:right="280" w:hanging="415"/>
        <w:spacing w:after="0" w:line="316" w:lineRule="auto"/>
        <w:tabs>
          <w:tab w:leader="none" w:pos="12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Celgene exercises the exclusive option granted by OncoMed to Celgene in relation to OncoMed’s OMP-313M32 product pursuant to the Master Research and Collaboration Agreement by and among Celgene and OncoMed, dated December 2, 2013; and</w:t>
      </w:r>
    </w:p>
    <w:p>
      <w:pPr>
        <w:spacing w:after="0" w:line="46" w:lineRule="exact"/>
        <w:rPr>
          <w:rFonts w:ascii="Arial" w:cs="Arial" w:eastAsia="Arial" w:hAnsi="Arial"/>
          <w:sz w:val="16"/>
          <w:szCs w:val="16"/>
          <w:color w:val="auto"/>
        </w:rPr>
      </w:pPr>
    </w:p>
    <w:p>
      <w:pPr>
        <w:ind w:left="1260" w:hanging="415"/>
        <w:spacing w:after="0"/>
        <w:tabs>
          <w:tab w:leader="none" w:pos="12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receipt by OncoMed of the initial $35 million cash milestone payment due from Celgene pursuant to such Celgene option exercise.</w:t>
      </w:r>
    </w:p>
    <w:p>
      <w:pPr>
        <w:spacing w:after="0" w:line="230" w:lineRule="exact"/>
        <w:rPr>
          <w:sz w:val="20"/>
          <w:szCs w:val="20"/>
          <w:color w:val="auto"/>
        </w:rPr>
      </w:pPr>
    </w:p>
    <w:p>
      <w:pPr>
        <w:ind w:left="440" w:right="300" w:firstLine="423"/>
        <w:spacing w:after="0" w:line="279" w:lineRule="auto"/>
        <w:rPr>
          <w:sz w:val="20"/>
          <w:szCs w:val="20"/>
          <w:color w:val="auto"/>
        </w:rPr>
      </w:pPr>
      <w:r>
        <w:rPr>
          <w:rFonts w:ascii="Arial" w:cs="Arial" w:eastAsia="Arial" w:hAnsi="Arial"/>
          <w:sz w:val="16"/>
          <w:szCs w:val="16"/>
          <w:color w:val="auto"/>
        </w:rPr>
        <w:t>If the TIGIT milestone is achieved, holders of CVRs would be entitled to receive a number of Mereo ADSs equal to the $35 million cash milestone payment received net of any tax and other reasonable expenses, divided by the volume-weighted average price per Mereo ADS for the 10-trading day period immediately following the date of the announcement by Mereo of the receipt of such cash payment. The TIGIT milestone payment is subject to a share consideration cap, such that the number of Mereo shares underlying the Mereo ADSs to be issued pursuant to the CVR agreement, when aggregated with the number of Mereo shares underlying the Mereo ADSs issued as share consideration pursuant to the merger agreement, cannot exceed 40% of the enlarged Group after issuing the consideration shares.</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NAVI milestones</w:t>
      </w:r>
    </w:p>
    <w:p>
      <w:pPr>
        <w:spacing w:after="0" w:line="115" w:lineRule="exact"/>
        <w:rPr>
          <w:sz w:val="20"/>
          <w:szCs w:val="20"/>
          <w:color w:val="auto"/>
        </w:rPr>
      </w:pPr>
    </w:p>
    <w:p>
      <w:pPr>
        <w:ind w:left="440" w:firstLine="423"/>
        <w:spacing w:after="0" w:line="260" w:lineRule="auto"/>
        <w:rPr>
          <w:sz w:val="20"/>
          <w:szCs w:val="20"/>
          <w:color w:val="auto"/>
        </w:rPr>
      </w:pPr>
      <w:r>
        <w:rPr>
          <w:rFonts w:ascii="Arial" w:cs="Arial" w:eastAsia="Arial" w:hAnsi="Arial"/>
          <w:sz w:val="17"/>
          <w:szCs w:val="17"/>
          <w:color w:val="auto"/>
        </w:rPr>
        <w:t>A cash payment will be made to CVR holders if, within 18 months following the closing of the merger, Mereo or any of its subsidiaries enters into a definitive agreement with one or more third parties regarding the OMP-305B83 products and, within five years of the closing of the merger, Mereo or any of its subsidiaries receives eligible cash milestone payments. If a NAVI milestone is achieved, holders of CVRs would be entitled to receive an amount in cash equal to 70% of the amount of such eligible cash milestone payment, net of any tax and other reasonable expenses. The NAVI milestone payments are subject to a cash consideration cap, pursuant to which the aggregate principal amount of all cash payments made to holders of CVRs by Mereo shall in no case exceed $79.7 million.</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We have estimated that the fair value of the deferred consideration is immaterial and have not provided for any amount payable.</w:t>
      </w:r>
    </w:p>
    <w:p>
      <w:pPr>
        <w:spacing w:after="0" w:line="219" w:lineRule="exact"/>
        <w:rPr>
          <w:sz w:val="20"/>
          <w:szCs w:val="20"/>
          <w:color w:val="auto"/>
        </w:rPr>
      </w:pPr>
    </w:p>
    <w:p>
      <w:pPr>
        <w:ind w:left="440" w:right="260" w:firstLine="423"/>
        <w:spacing w:after="0" w:line="284" w:lineRule="auto"/>
        <w:rPr>
          <w:sz w:val="20"/>
          <w:szCs w:val="20"/>
          <w:color w:val="auto"/>
        </w:rPr>
      </w:pPr>
      <w:r>
        <w:rPr>
          <w:rFonts w:ascii="Arial" w:cs="Arial" w:eastAsia="Arial" w:hAnsi="Arial"/>
          <w:sz w:val="17"/>
          <w:szCs w:val="17"/>
          <w:color w:val="auto"/>
        </w:rPr>
        <w:t>We are finalizing the purchase price allocation and have determined a preliminary estimate of the fair value of the intangible assets acquired of £14.5 million. We acquired cash and cash equivalents, and short-term investments at completion of $50.8 million.</w:t>
      </w:r>
    </w:p>
    <w:p>
      <w:pPr>
        <w:spacing w:after="0" w:line="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0980"/>
          </w:cols>
          <w:pgMar w:left="240" w:top="445" w:right="67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We are finalizing the valuation of other assets and liabilities which will determine the amount of goodwill to be recognised. This will be disclosed in our interim financial statements for the period ending June 30, 2019.</w:t>
      </w:r>
    </w:p>
    <w:p>
      <w:pPr>
        <w:spacing w:after="0" w:line="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0920"/>
          </w:cols>
          <w:pgMar w:left="240" w:top="445" w:right="73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440" w:type="dxa"/>
        <w:tblCellMar>
          <w:top w:w="0" w:type="dxa"/>
          <w:left w:w="0" w:type="dxa"/>
          <w:bottom w:w="0" w:type="dxa"/>
          <w:right w:w="0" w:type="dxa"/>
        </w:tblCellMar>
      </w:tblPr>
      <w:tr>
        <w:trPr>
          <w:trHeight w:val="226"/>
        </w:trPr>
        <w:tc>
          <w:tcPr>
            <w:tcW w:w="760" w:type="dxa"/>
            <w:vAlign w:val="bottom"/>
            <w:gridSpan w:val="3"/>
          </w:tcPr>
          <w:p>
            <w:pPr>
              <w:spacing w:after="0"/>
              <w:rPr>
                <w:sz w:val="20"/>
                <w:szCs w:val="20"/>
                <w:color w:val="auto"/>
              </w:rPr>
            </w:pPr>
            <w:r>
              <w:rPr>
                <w:rFonts w:ascii="Arial" w:cs="Arial" w:eastAsia="Arial" w:hAnsi="Arial"/>
                <w:sz w:val="17"/>
                <w:szCs w:val="17"/>
                <w:b w:val="1"/>
                <w:bCs w:val="1"/>
                <w:color w:val="auto"/>
              </w:rPr>
              <w:t>Item 19.</w:t>
            </w:r>
          </w:p>
        </w:tc>
        <w:tc>
          <w:tcPr>
            <w:tcW w:w="5300" w:type="dxa"/>
            <w:vAlign w:val="bottom"/>
            <w:gridSpan w:val="2"/>
          </w:tcPr>
          <w:p>
            <w:pPr>
              <w:ind w:left="18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gridSpan w:val="2"/>
          </w:tcPr>
          <w:p>
            <w:pPr>
              <w:ind w:left="38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Exhibit</w:t>
            </w:r>
          </w:p>
        </w:tc>
        <w:tc>
          <w:tcPr>
            <w:tcW w:w="4600" w:type="dxa"/>
            <w:vAlign w:val="bottom"/>
            <w:vMerge w:val="restart"/>
          </w:tcPr>
          <w:p>
            <w:pPr>
              <w:spacing w:after="0"/>
              <w:rPr>
                <w:sz w:val="24"/>
                <w:szCs w:val="2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260" w:type="dxa"/>
            <w:vAlign w:val="bottom"/>
          </w:tcPr>
          <w:p>
            <w:pPr>
              <w:spacing w:after="0"/>
              <w:rPr>
                <w:sz w:val="14"/>
                <w:szCs w:val="14"/>
                <w:color w:val="auto"/>
              </w:rPr>
            </w:pPr>
          </w:p>
        </w:tc>
        <w:tc>
          <w:tcPr>
            <w:tcW w:w="46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280" w:right="740" w:hanging="767"/>
        <w:spacing w:after="0" w:line="284" w:lineRule="auto"/>
        <w:tabs>
          <w:tab w:leader="none" w:pos="1260" w:val="left"/>
        </w:tabs>
        <w:rPr>
          <w:rFonts w:ascii="Arial" w:cs="Arial" w:eastAsia="Arial" w:hAnsi="Arial"/>
          <w:sz w:val="17"/>
          <w:szCs w:val="17"/>
          <w:u w:val="single" w:color="auto"/>
          <w:color w:val="0000EE"/>
        </w:rPr>
      </w:pPr>
      <w:r>
        <w:rPr>
          <w:rFonts w:ascii="Arial" w:cs="Arial" w:eastAsia="Arial" w:hAnsi="Arial"/>
          <w:sz w:val="17"/>
          <w:szCs w:val="17"/>
          <w:color w:val="auto"/>
        </w:rPr>
        <w:t>1.1</w:t>
      </w:r>
      <w:r>
        <w:rPr>
          <w:sz w:val="20"/>
          <w:szCs w:val="20"/>
          <w:color w:val="auto"/>
        </w:rPr>
        <w:tab/>
      </w:r>
      <w:hyperlink r:id="rId304">
        <w:r>
          <w:rPr>
            <w:rFonts w:ascii="Arial" w:cs="Arial" w:eastAsia="Arial" w:hAnsi="Arial"/>
            <w:sz w:val="17"/>
            <w:szCs w:val="17"/>
            <w:u w:val="single" w:color="auto"/>
            <w:color w:val="0000EE"/>
          </w:rPr>
          <w:t>Articles of Association of Mereo BioPharma Group plc (incorporated into this Form 20-F by reference to Mereo’s Form F-4 filed</w:t>
        </w:r>
      </w:hyperlink>
      <w:r>
        <w:rPr>
          <w:rFonts w:ascii="Arial" w:cs="Arial" w:eastAsia="Arial" w:hAnsi="Arial"/>
          <w:sz w:val="17"/>
          <w:szCs w:val="17"/>
          <w:u w:val="single" w:color="auto"/>
          <w:color w:val="0000EE"/>
        </w:rPr>
        <w:t xml:space="preserve"> </w:t>
      </w:r>
      <w:hyperlink r:id="rId304">
        <w:r>
          <w:rPr>
            <w:rFonts w:ascii="Arial" w:cs="Arial" w:eastAsia="Arial" w:hAnsi="Arial"/>
            <w:sz w:val="17"/>
            <w:szCs w:val="17"/>
            <w:u w:val="single" w:color="auto"/>
            <w:color w:val="0000EE"/>
          </w:rPr>
          <w:t>January 24, 2019 (File No. 333-229351)).</w:t>
        </w:r>
      </w:hyperlink>
    </w:p>
    <w:p>
      <w:pPr>
        <w:spacing w:after="0" w:line="55" w:lineRule="exact"/>
        <w:rPr>
          <w:sz w:val="20"/>
          <w:szCs w:val="20"/>
          <w:color w:val="auto"/>
        </w:rPr>
      </w:pPr>
    </w:p>
    <w:p>
      <w:pPr>
        <w:ind w:left="1280" w:right="80" w:hanging="767"/>
        <w:spacing w:after="0" w:line="284" w:lineRule="auto"/>
        <w:tabs>
          <w:tab w:leader="none" w:pos="1260" w:val="left"/>
        </w:tabs>
        <w:rPr>
          <w:rFonts w:ascii="Arial" w:cs="Arial" w:eastAsia="Arial" w:hAnsi="Arial"/>
          <w:sz w:val="17"/>
          <w:szCs w:val="17"/>
          <w:u w:val="single" w:color="auto"/>
          <w:color w:val="0000EE"/>
        </w:rPr>
      </w:pPr>
      <w:r>
        <w:rPr>
          <w:rFonts w:ascii="Arial" w:cs="Arial" w:eastAsia="Arial" w:hAnsi="Arial"/>
          <w:sz w:val="17"/>
          <w:szCs w:val="17"/>
          <w:color w:val="auto"/>
        </w:rPr>
        <w:t>2.1</w:t>
      </w:r>
      <w:r>
        <w:rPr>
          <w:sz w:val="20"/>
          <w:szCs w:val="20"/>
          <w:color w:val="auto"/>
        </w:rPr>
        <w:tab/>
      </w:r>
      <w:hyperlink r:id="rId305">
        <w:r>
          <w:rPr>
            <w:rFonts w:ascii="Arial" w:cs="Arial" w:eastAsia="Arial" w:hAnsi="Arial"/>
            <w:sz w:val="17"/>
            <w:szCs w:val="17"/>
            <w:u w:val="single" w:color="auto"/>
            <w:color w:val="0000EE"/>
          </w:rPr>
          <w:t>Form of American Depositary Receipt of Mereo BioPharma Group plc (incorporated into this Form 20-F by reference to Mereo’s Form F-</w:t>
        </w:r>
      </w:hyperlink>
      <w:hyperlink r:id="rId305">
        <w:r>
          <w:rPr>
            <w:rFonts w:ascii="Arial" w:cs="Arial" w:eastAsia="Arial" w:hAnsi="Arial"/>
            <w:sz w:val="17"/>
            <w:szCs w:val="17"/>
            <w:u w:val="single" w:color="auto"/>
            <w:color w:val="0000EE"/>
          </w:rPr>
          <w:t>4/A filed March 15, 2019 (File No. 333-229351)).</w:t>
        </w:r>
      </w:hyperlink>
    </w:p>
    <w:p>
      <w:pPr>
        <w:spacing w:after="0" w:line="55" w:lineRule="exact"/>
        <w:rPr>
          <w:sz w:val="20"/>
          <w:szCs w:val="20"/>
          <w:color w:val="auto"/>
        </w:rPr>
      </w:pPr>
    </w:p>
    <w:p>
      <w:pPr>
        <w:ind w:left="1280" w:right="220" w:hanging="767"/>
        <w:spacing w:after="0" w:line="269" w:lineRule="auto"/>
        <w:tabs>
          <w:tab w:leader="none" w:pos="1260" w:val="left"/>
        </w:tabs>
        <w:rPr>
          <w:rFonts w:ascii="Arial" w:cs="Arial" w:eastAsia="Arial" w:hAnsi="Arial"/>
          <w:sz w:val="17"/>
          <w:szCs w:val="17"/>
          <w:u w:val="single" w:color="auto"/>
          <w:color w:val="0000EE"/>
        </w:rPr>
      </w:pPr>
      <w:r>
        <w:rPr>
          <w:rFonts w:ascii="Arial" w:cs="Arial" w:eastAsia="Arial" w:hAnsi="Arial"/>
          <w:sz w:val="17"/>
          <w:szCs w:val="17"/>
          <w:color w:val="auto"/>
        </w:rPr>
        <w:t>4.1</w:t>
      </w:r>
      <w:r>
        <w:rPr>
          <w:sz w:val="20"/>
          <w:szCs w:val="20"/>
          <w:color w:val="auto"/>
        </w:rPr>
        <w:tab/>
      </w:r>
      <w:hyperlink r:id="rId306">
        <w:r>
          <w:rPr>
            <w:rFonts w:ascii="Arial" w:cs="Arial" w:eastAsia="Arial" w:hAnsi="Arial"/>
            <w:sz w:val="17"/>
            <w:szCs w:val="17"/>
            <w:u w:val="single" w:color="auto"/>
            <w:color w:val="0000EE"/>
          </w:rPr>
          <w:t>Agreement and Plan of Merger and Reorganization, dated December 5, 2018, by and among Mereo BioPharma Group plc, Mereo US</w:t>
        </w:r>
      </w:hyperlink>
      <w:r>
        <w:rPr>
          <w:rFonts w:ascii="Arial" w:cs="Arial" w:eastAsia="Arial" w:hAnsi="Arial"/>
          <w:sz w:val="17"/>
          <w:szCs w:val="17"/>
          <w:u w:val="single" w:color="auto"/>
          <w:color w:val="0000EE"/>
        </w:rPr>
        <w:t xml:space="preserve"> </w:t>
      </w:r>
      <w:hyperlink r:id="rId306">
        <w:r>
          <w:rPr>
            <w:rFonts w:ascii="Arial" w:cs="Arial" w:eastAsia="Arial" w:hAnsi="Arial"/>
            <w:sz w:val="17"/>
            <w:szCs w:val="17"/>
            <w:u w:val="single" w:color="auto"/>
            <w:color w:val="0000EE"/>
          </w:rPr>
          <w:t>Holdings Inc., Mereo MergerCo One Inc. and OncoMed Pharmaceuticals, Inc. (incorporated into this Form 20-F by reference to Mereo’s</w:t>
        </w:r>
      </w:hyperlink>
      <w:r>
        <w:rPr>
          <w:rFonts w:ascii="Arial" w:cs="Arial" w:eastAsia="Arial" w:hAnsi="Arial"/>
          <w:sz w:val="17"/>
          <w:szCs w:val="17"/>
          <w:u w:val="single" w:color="auto"/>
          <w:color w:val="0000EE"/>
        </w:rPr>
        <w:t xml:space="preserve"> </w:t>
      </w:r>
      <w:hyperlink r:id="rId306">
        <w:r>
          <w:rPr>
            <w:rFonts w:ascii="Arial" w:cs="Arial" w:eastAsia="Arial" w:hAnsi="Arial"/>
            <w:sz w:val="17"/>
            <w:szCs w:val="17"/>
            <w:u w:val="single" w:color="auto"/>
            <w:color w:val="0000EE"/>
          </w:rPr>
          <w:t>Form F-4/A filed March 15, 2019 (File No. 333-229351)).</w:t>
        </w:r>
      </w:hyperlink>
    </w:p>
    <w:p>
      <w:pPr>
        <w:spacing w:after="0" w:line="68" w:lineRule="exact"/>
        <w:rPr>
          <w:rFonts w:ascii="Arial" w:cs="Arial" w:eastAsia="Arial" w:hAnsi="Arial"/>
          <w:sz w:val="17"/>
          <w:szCs w:val="17"/>
          <w:u w:val="single" w:color="auto"/>
          <w:color w:val="0000EE"/>
        </w:rPr>
      </w:pPr>
    </w:p>
    <w:p>
      <w:pPr>
        <w:ind w:left="1280" w:right="40" w:hanging="767"/>
        <w:spacing w:after="0" w:line="269" w:lineRule="auto"/>
        <w:tabs>
          <w:tab w:leader="none" w:pos="1260" w:val="left"/>
        </w:tabs>
        <w:rPr>
          <w:rFonts w:ascii="Arial" w:cs="Arial" w:eastAsia="Arial" w:hAnsi="Arial"/>
          <w:sz w:val="17"/>
          <w:szCs w:val="17"/>
          <w:u w:val="single" w:color="auto"/>
          <w:color w:val="0000EE"/>
        </w:rPr>
      </w:pPr>
      <w:r>
        <w:rPr>
          <w:rFonts w:ascii="Arial" w:cs="Arial" w:eastAsia="Arial" w:hAnsi="Arial"/>
          <w:sz w:val="17"/>
          <w:szCs w:val="17"/>
          <w:color w:val="auto"/>
        </w:rPr>
        <w:t>4.1</w:t>
      </w:r>
      <w:r>
        <w:rPr>
          <w:sz w:val="20"/>
          <w:szCs w:val="20"/>
          <w:color w:val="auto"/>
        </w:rPr>
        <w:tab/>
      </w:r>
      <w:hyperlink r:id="rId307">
        <w:r>
          <w:rPr>
            <w:rFonts w:ascii="Arial" w:cs="Arial" w:eastAsia="Arial" w:hAnsi="Arial"/>
            <w:sz w:val="17"/>
            <w:szCs w:val="17"/>
            <w:u w:val="single" w:color="auto"/>
            <w:color w:val="0000EE"/>
          </w:rPr>
          <w:t>Rules of the Mereo BioPharma Group plc Share Option Scheme, as adopted June 9, 2016 and amended April 4, 2017 and March 20, 2018</w:t>
        </w:r>
      </w:hyperlink>
      <w:r>
        <w:rPr>
          <w:rFonts w:ascii="Arial" w:cs="Arial" w:eastAsia="Arial" w:hAnsi="Arial"/>
          <w:sz w:val="17"/>
          <w:szCs w:val="17"/>
          <w:u w:val="single" w:color="auto"/>
          <w:color w:val="0000EE"/>
        </w:rPr>
        <w:t xml:space="preserve"> </w:t>
      </w:r>
      <w:hyperlink r:id="rId307">
        <w:r>
          <w:rPr>
            <w:rFonts w:ascii="Arial" w:cs="Arial" w:eastAsia="Arial" w:hAnsi="Arial"/>
            <w:sz w:val="17"/>
            <w:szCs w:val="17"/>
            <w:u w:val="single" w:color="auto"/>
            <w:color w:val="0000EE"/>
          </w:rPr>
          <w:t>and form of option documentation (incorporated into this Form 20-F by reference to Mereo’s Form F-1 filed March 23, 2018 (File No. 333-</w:t>
        </w:r>
      </w:hyperlink>
      <w:hyperlink r:id="rId307">
        <w:r>
          <w:rPr>
            <w:rFonts w:ascii="Arial" w:cs="Arial" w:eastAsia="Arial" w:hAnsi="Arial"/>
            <w:sz w:val="17"/>
            <w:szCs w:val="17"/>
            <w:u w:val="single" w:color="auto"/>
            <w:color w:val="0000EE"/>
          </w:rPr>
          <w:t>223883)).</w:t>
        </w:r>
      </w:hyperlink>
    </w:p>
    <w:p>
      <w:pPr>
        <w:spacing w:after="0" w:line="68" w:lineRule="exact"/>
        <w:rPr>
          <w:rFonts w:ascii="Arial" w:cs="Arial" w:eastAsia="Arial" w:hAnsi="Arial"/>
          <w:sz w:val="17"/>
          <w:szCs w:val="17"/>
          <w:u w:val="single" w:color="auto"/>
          <w:color w:val="0000EE"/>
        </w:rPr>
      </w:pPr>
    </w:p>
    <w:p>
      <w:pPr>
        <w:ind w:left="1280" w:hanging="767"/>
        <w:spacing w:after="0" w:line="284" w:lineRule="auto"/>
        <w:tabs>
          <w:tab w:leader="none" w:pos="1260" w:val="left"/>
        </w:tabs>
        <w:rPr>
          <w:rFonts w:ascii="Arial" w:cs="Arial" w:eastAsia="Arial" w:hAnsi="Arial"/>
          <w:sz w:val="17"/>
          <w:szCs w:val="17"/>
          <w:u w:val="single" w:color="auto"/>
          <w:color w:val="0000EE"/>
        </w:rPr>
      </w:pPr>
      <w:r>
        <w:rPr>
          <w:rFonts w:ascii="Arial" w:cs="Arial" w:eastAsia="Arial" w:hAnsi="Arial"/>
          <w:sz w:val="17"/>
          <w:szCs w:val="17"/>
          <w:color w:val="auto"/>
        </w:rPr>
        <w:t>4.2</w:t>
      </w:r>
      <w:r>
        <w:rPr>
          <w:sz w:val="20"/>
          <w:szCs w:val="20"/>
          <w:color w:val="auto"/>
        </w:rPr>
        <w:tab/>
      </w:r>
      <w:hyperlink r:id="rId308">
        <w:r>
          <w:rPr>
            <w:rFonts w:ascii="Arial" w:cs="Arial" w:eastAsia="Arial" w:hAnsi="Arial"/>
            <w:sz w:val="17"/>
            <w:szCs w:val="17"/>
            <w:u w:val="single" w:color="auto"/>
            <w:color w:val="0000EE"/>
          </w:rPr>
          <w:t>Rules of Mereo BioPharma Group Limited Share Option Scheme, as adopted July 8, 2015 (incorporated into this Form 20-F by reference to</w:t>
        </w:r>
      </w:hyperlink>
      <w:r>
        <w:rPr>
          <w:rFonts w:ascii="Arial" w:cs="Arial" w:eastAsia="Arial" w:hAnsi="Arial"/>
          <w:sz w:val="17"/>
          <w:szCs w:val="17"/>
          <w:u w:val="single" w:color="auto"/>
          <w:color w:val="0000EE"/>
        </w:rPr>
        <w:t xml:space="preserve"> </w:t>
      </w:r>
      <w:hyperlink r:id="rId308">
        <w:r>
          <w:rPr>
            <w:rFonts w:ascii="Arial" w:cs="Arial" w:eastAsia="Arial" w:hAnsi="Arial"/>
            <w:sz w:val="17"/>
            <w:szCs w:val="17"/>
            <w:u w:val="single" w:color="auto"/>
            <w:color w:val="0000EE"/>
          </w:rPr>
          <w:t>Mereo’s Form F-1 filed December 1, 2018 (File No. 333-223883)).</w:t>
        </w:r>
      </w:hyperlink>
    </w:p>
    <w:p>
      <w:pPr>
        <w:spacing w:after="0" w:line="55" w:lineRule="exact"/>
        <w:rPr>
          <w:sz w:val="20"/>
          <w:szCs w:val="20"/>
          <w:color w:val="auto"/>
        </w:rPr>
      </w:pPr>
    </w:p>
    <w:p>
      <w:pPr>
        <w:ind w:left="1280" w:right="120" w:hanging="767"/>
        <w:spacing w:after="0" w:line="284" w:lineRule="auto"/>
        <w:tabs>
          <w:tab w:leader="none" w:pos="1260" w:val="left"/>
        </w:tabs>
        <w:rPr>
          <w:rFonts w:ascii="Arial" w:cs="Arial" w:eastAsia="Arial" w:hAnsi="Arial"/>
          <w:sz w:val="17"/>
          <w:szCs w:val="17"/>
          <w:u w:val="single" w:color="auto"/>
          <w:color w:val="0000EE"/>
        </w:rPr>
      </w:pPr>
      <w:r>
        <w:rPr>
          <w:rFonts w:ascii="Arial" w:cs="Arial" w:eastAsia="Arial" w:hAnsi="Arial"/>
          <w:sz w:val="17"/>
          <w:szCs w:val="17"/>
          <w:color w:val="auto"/>
        </w:rPr>
        <w:t>4.3</w:t>
      </w:r>
      <w:r>
        <w:rPr>
          <w:sz w:val="20"/>
          <w:szCs w:val="20"/>
          <w:color w:val="auto"/>
        </w:rPr>
        <w:tab/>
      </w:r>
      <w:hyperlink r:id="rId309">
        <w:r>
          <w:rPr>
            <w:rFonts w:ascii="Arial" w:cs="Arial" w:eastAsia="Arial" w:hAnsi="Arial"/>
            <w:sz w:val="17"/>
            <w:szCs w:val="17"/>
            <w:u w:val="single" w:color="auto"/>
            <w:color w:val="0000EE"/>
          </w:rPr>
          <w:t>Rules of the Mereo BioPharma Group plc Long Term Incentive Plan, as adopted June 9, 2016 and amended March 20, 2018 (incorporated</w:t>
        </w:r>
      </w:hyperlink>
      <w:r>
        <w:rPr>
          <w:rFonts w:ascii="Arial" w:cs="Arial" w:eastAsia="Arial" w:hAnsi="Arial"/>
          <w:sz w:val="17"/>
          <w:szCs w:val="17"/>
          <w:u w:val="single" w:color="auto"/>
          <w:color w:val="0000EE"/>
        </w:rPr>
        <w:t xml:space="preserve"> </w:t>
      </w:r>
      <w:hyperlink r:id="rId309">
        <w:r>
          <w:rPr>
            <w:rFonts w:ascii="Arial" w:cs="Arial" w:eastAsia="Arial" w:hAnsi="Arial"/>
            <w:sz w:val="17"/>
            <w:szCs w:val="17"/>
            <w:u w:val="single" w:color="auto"/>
            <w:color w:val="0000EE"/>
          </w:rPr>
          <w:t>into this Form 20-F by reference to Mereo’s Form F-4 filed January 25, 2019 (File No. 333-229351)).</w:t>
        </w:r>
      </w:hyperlink>
    </w:p>
    <w:p>
      <w:pPr>
        <w:spacing w:after="0" w:line="55" w:lineRule="exact"/>
        <w:rPr>
          <w:sz w:val="20"/>
          <w:szCs w:val="20"/>
          <w:color w:val="auto"/>
        </w:rPr>
      </w:pPr>
    </w:p>
    <w:p>
      <w:pPr>
        <w:ind w:left="1280" w:right="60" w:hanging="767"/>
        <w:spacing w:after="0" w:line="284" w:lineRule="auto"/>
        <w:tabs>
          <w:tab w:leader="none" w:pos="1260" w:val="left"/>
        </w:tabs>
        <w:rPr>
          <w:rFonts w:ascii="Arial" w:cs="Arial" w:eastAsia="Arial" w:hAnsi="Arial"/>
          <w:sz w:val="17"/>
          <w:szCs w:val="17"/>
          <w:u w:val="single" w:color="auto"/>
          <w:color w:val="0000EE"/>
        </w:rPr>
      </w:pPr>
      <w:r>
        <w:rPr>
          <w:rFonts w:ascii="Arial" w:cs="Arial" w:eastAsia="Arial" w:hAnsi="Arial"/>
          <w:sz w:val="17"/>
          <w:szCs w:val="17"/>
          <w:color w:val="auto"/>
        </w:rPr>
        <w:t>4.4</w:t>
      </w:r>
      <w:r>
        <w:rPr>
          <w:sz w:val="20"/>
          <w:szCs w:val="20"/>
          <w:color w:val="auto"/>
        </w:rPr>
        <w:tab/>
      </w:r>
      <w:hyperlink r:id="rId310">
        <w:r>
          <w:rPr>
            <w:rFonts w:ascii="Arial" w:cs="Arial" w:eastAsia="Arial" w:hAnsi="Arial"/>
            <w:sz w:val="17"/>
            <w:szCs w:val="17"/>
            <w:u w:val="single" w:color="auto"/>
            <w:color w:val="0000EE"/>
          </w:rPr>
          <w:t>Rules of the Mereo BioPharma Group plc Deferred Bonus Share Plan, as adopted June 9, 2016 and amended March 20, 2018 (incorporated</w:t>
        </w:r>
      </w:hyperlink>
      <w:r>
        <w:rPr>
          <w:rFonts w:ascii="Arial" w:cs="Arial" w:eastAsia="Arial" w:hAnsi="Arial"/>
          <w:sz w:val="17"/>
          <w:szCs w:val="17"/>
          <w:u w:val="single" w:color="auto"/>
          <w:color w:val="0000EE"/>
        </w:rPr>
        <w:t xml:space="preserve"> </w:t>
      </w:r>
      <w:hyperlink r:id="rId310">
        <w:r>
          <w:rPr>
            <w:rFonts w:ascii="Arial" w:cs="Arial" w:eastAsia="Arial" w:hAnsi="Arial"/>
            <w:sz w:val="17"/>
            <w:szCs w:val="17"/>
            <w:u w:val="single" w:color="auto"/>
            <w:color w:val="0000EE"/>
          </w:rPr>
          <w:t>into this Form 20-F by reference to Mereo’s Form F-1 filed March 23, 2018 (File No. 333-223883)).</w:t>
        </w:r>
      </w:hyperlink>
    </w:p>
    <w:p>
      <w:pPr>
        <w:spacing w:after="0" w:line="55" w:lineRule="exact"/>
        <w:rPr>
          <w:sz w:val="20"/>
          <w:szCs w:val="20"/>
          <w:color w:val="auto"/>
        </w:rPr>
      </w:pPr>
    </w:p>
    <w:p>
      <w:pPr>
        <w:ind w:left="1280" w:right="300" w:hanging="767"/>
        <w:spacing w:after="0" w:line="284" w:lineRule="auto"/>
        <w:tabs>
          <w:tab w:leader="none" w:pos="1260" w:val="left"/>
        </w:tabs>
        <w:rPr>
          <w:rFonts w:ascii="Arial" w:cs="Arial" w:eastAsia="Arial" w:hAnsi="Arial"/>
          <w:sz w:val="17"/>
          <w:szCs w:val="17"/>
          <w:u w:val="single" w:color="auto"/>
          <w:color w:val="0000EE"/>
        </w:rPr>
      </w:pPr>
      <w:r>
        <w:rPr>
          <w:rFonts w:ascii="Arial" w:cs="Arial" w:eastAsia="Arial" w:hAnsi="Arial"/>
          <w:sz w:val="17"/>
          <w:szCs w:val="17"/>
          <w:color w:val="auto"/>
        </w:rPr>
        <w:t>4.5</w:t>
      </w:r>
      <w:r>
        <w:rPr>
          <w:sz w:val="20"/>
          <w:szCs w:val="20"/>
          <w:color w:val="auto"/>
        </w:rPr>
        <w:tab/>
      </w:r>
      <w:hyperlink r:id="rId311">
        <w:r>
          <w:rPr>
            <w:rFonts w:ascii="Arial" w:cs="Arial" w:eastAsia="Arial" w:hAnsi="Arial"/>
            <w:sz w:val="17"/>
            <w:szCs w:val="17"/>
            <w:u w:val="single" w:color="auto"/>
            <w:color w:val="0000EE"/>
          </w:rPr>
          <w:t>Rules of the Mereo BioPharma Group plc New Deferred Bonus Plan, as adopted January 15, 2019 (incorporated into this Form 20-F by</w:t>
        </w:r>
      </w:hyperlink>
      <w:r>
        <w:rPr>
          <w:rFonts w:ascii="Arial" w:cs="Arial" w:eastAsia="Arial" w:hAnsi="Arial"/>
          <w:sz w:val="17"/>
          <w:szCs w:val="17"/>
          <w:u w:val="single" w:color="auto"/>
          <w:color w:val="0000EE"/>
        </w:rPr>
        <w:t xml:space="preserve"> </w:t>
      </w:r>
      <w:hyperlink r:id="rId311">
        <w:r>
          <w:rPr>
            <w:rFonts w:ascii="Arial" w:cs="Arial" w:eastAsia="Arial" w:hAnsi="Arial"/>
            <w:sz w:val="17"/>
            <w:szCs w:val="17"/>
            <w:u w:val="single" w:color="auto"/>
            <w:color w:val="0000EE"/>
          </w:rPr>
          <w:t>reference to Mereo’s Form F-4 filed January 25, 2019 (File No. 333-229351)).</w:t>
        </w:r>
      </w:hyperlink>
    </w:p>
    <w:p>
      <w:pPr>
        <w:spacing w:after="0" w:line="55" w:lineRule="exact"/>
        <w:rPr>
          <w:sz w:val="20"/>
          <w:szCs w:val="20"/>
          <w:color w:val="auto"/>
        </w:rPr>
      </w:pPr>
    </w:p>
    <w:p>
      <w:pPr>
        <w:ind w:left="1280" w:right="120" w:hanging="767"/>
        <w:spacing w:after="0" w:line="354" w:lineRule="auto"/>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4.6</w:t>
      </w:r>
      <w:r>
        <w:rPr>
          <w:sz w:val="20"/>
          <w:szCs w:val="20"/>
          <w:color w:val="auto"/>
        </w:rPr>
        <w:tab/>
      </w:r>
      <w:hyperlink r:id="rId312">
        <w:r>
          <w:rPr>
            <w:rFonts w:ascii="Arial" w:cs="Arial" w:eastAsia="Arial" w:hAnsi="Arial"/>
            <w:sz w:val="15"/>
            <w:szCs w:val="15"/>
            <w:u w:val="single" w:color="auto"/>
            <w:color w:val="0000EE"/>
          </w:rPr>
          <w:t>Rules of the Mereo BioPharma Group plc Share Option Scheme for Non-Executive Directors, as adopted March 20, 2018 and form of</w:t>
        </w:r>
      </w:hyperlink>
      <w:r>
        <w:rPr>
          <w:rFonts w:ascii="Arial" w:cs="Arial" w:eastAsia="Arial" w:hAnsi="Arial"/>
          <w:sz w:val="15"/>
          <w:szCs w:val="15"/>
          <w:u w:val="single" w:color="auto"/>
          <w:color w:val="0000EE"/>
        </w:rPr>
        <w:t xml:space="preserve"> </w:t>
      </w:r>
      <w:hyperlink r:id="rId312">
        <w:r>
          <w:rPr>
            <w:rFonts w:ascii="Arial" w:cs="Arial" w:eastAsia="Arial" w:hAnsi="Arial"/>
            <w:sz w:val="15"/>
            <w:szCs w:val="15"/>
            <w:u w:val="single" w:color="auto"/>
            <w:color w:val="0000EE"/>
          </w:rPr>
          <w:t>option documentation (incorporated into this Form 20-F by reference to Mereo’s Form F-4 filed January 25, 2019 (File No. 333-229351)).</w:t>
        </w:r>
      </w:hyperlink>
    </w:p>
    <w:p>
      <w:pPr>
        <w:spacing w:after="0" w:line="9" w:lineRule="exact"/>
        <w:rPr>
          <w:sz w:val="20"/>
          <w:szCs w:val="20"/>
          <w:color w:val="auto"/>
        </w:rPr>
      </w:pPr>
    </w:p>
    <w:p>
      <w:pPr>
        <w:ind w:left="520"/>
        <w:spacing w:after="0"/>
        <w:tabs>
          <w:tab w:leader="none" w:pos="126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5"/>
          <w:szCs w:val="15"/>
          <w:u w:val="single" w:color="auto"/>
          <w:color w:val="0000EE"/>
        </w:rPr>
        <w:t>Rules of the Mereo 2019 Equity Incentive Plan and 2019 NED Equity Incentive Plan for Non-Executive Directors, as adopted April 4, 2019</w:t>
      </w:r>
    </w:p>
    <w:p>
      <w:pPr>
        <w:spacing w:after="0" w:line="115" w:lineRule="exact"/>
        <w:rPr>
          <w:sz w:val="20"/>
          <w:szCs w:val="20"/>
          <w:color w:val="auto"/>
        </w:rPr>
      </w:pPr>
    </w:p>
    <w:p>
      <w:pPr>
        <w:ind w:left="1280" w:right="740" w:hanging="767"/>
        <w:spacing w:after="0" w:line="316" w:lineRule="auto"/>
        <w:tabs>
          <w:tab w:leader="none" w:pos="1260" w:val="left"/>
        </w:tabs>
        <w:rPr>
          <w:rFonts w:ascii="Arial" w:cs="Arial" w:eastAsia="Arial" w:hAnsi="Arial"/>
          <w:sz w:val="16"/>
          <w:szCs w:val="16"/>
          <w:u w:val="single" w:color="auto"/>
          <w:color w:val="0000EE"/>
        </w:rPr>
      </w:pPr>
      <w:r>
        <w:rPr>
          <w:rFonts w:ascii="Arial" w:cs="Arial" w:eastAsia="Arial" w:hAnsi="Arial"/>
          <w:sz w:val="17"/>
          <w:szCs w:val="17"/>
          <w:color w:val="auto"/>
        </w:rPr>
        <w:t>4.8†</w:t>
      </w:r>
      <w:r>
        <w:rPr>
          <w:sz w:val="20"/>
          <w:szCs w:val="20"/>
          <w:color w:val="auto"/>
        </w:rPr>
        <w:tab/>
      </w:r>
      <w:hyperlink r:id="rId313">
        <w:r>
          <w:rPr>
            <w:rFonts w:ascii="Arial" w:cs="Arial" w:eastAsia="Arial" w:hAnsi="Arial"/>
            <w:sz w:val="16"/>
            <w:szCs w:val="16"/>
            <w:u w:val="single" w:color="auto"/>
            <w:color w:val="0000EE"/>
          </w:rPr>
          <w:t>BCT197 Asset Purchase Agreement, dated July 28, 2015, by and between Mereo BioPharma 1 Limited and Novartis Pharma AG</w:t>
        </w:r>
      </w:hyperlink>
      <w:r>
        <w:rPr>
          <w:rFonts w:ascii="Arial" w:cs="Arial" w:eastAsia="Arial" w:hAnsi="Arial"/>
          <w:sz w:val="16"/>
          <w:szCs w:val="16"/>
          <w:u w:val="single" w:color="auto"/>
          <w:color w:val="0000EE"/>
        </w:rPr>
        <w:t xml:space="preserve"> </w:t>
      </w:r>
      <w:hyperlink r:id="rId313">
        <w:r>
          <w:rPr>
            <w:rFonts w:ascii="Arial" w:cs="Arial" w:eastAsia="Arial" w:hAnsi="Arial"/>
            <w:sz w:val="16"/>
            <w:szCs w:val="16"/>
            <w:u w:val="single" w:color="auto"/>
            <w:color w:val="0000EE"/>
          </w:rPr>
          <w:t>(incorporated into this Form 20-F by reference to Mereo’s Form F-4 filed January 25, 2019 (File No. 333-229351)).</w:t>
        </w:r>
      </w:hyperlink>
    </w:p>
    <w:p>
      <w:pPr>
        <w:spacing w:after="0" w:line="33" w:lineRule="exact"/>
        <w:rPr>
          <w:sz w:val="20"/>
          <w:szCs w:val="20"/>
          <w:color w:val="auto"/>
        </w:rPr>
      </w:pPr>
    </w:p>
    <w:p>
      <w:pPr>
        <w:ind w:left="1280" w:right="420" w:hanging="767"/>
        <w:spacing w:after="0" w:line="316" w:lineRule="auto"/>
        <w:tabs>
          <w:tab w:leader="none" w:pos="1260" w:val="left"/>
        </w:tabs>
        <w:rPr>
          <w:rFonts w:ascii="Arial" w:cs="Arial" w:eastAsia="Arial" w:hAnsi="Arial"/>
          <w:sz w:val="16"/>
          <w:szCs w:val="16"/>
          <w:u w:val="single" w:color="auto"/>
          <w:color w:val="0000EE"/>
        </w:rPr>
      </w:pPr>
      <w:r>
        <w:rPr>
          <w:rFonts w:ascii="Arial" w:cs="Arial" w:eastAsia="Arial" w:hAnsi="Arial"/>
          <w:sz w:val="17"/>
          <w:szCs w:val="17"/>
          <w:color w:val="auto"/>
        </w:rPr>
        <w:t>4.8.1</w:t>
      </w:r>
      <w:r>
        <w:rPr>
          <w:sz w:val="20"/>
          <w:szCs w:val="20"/>
          <w:color w:val="auto"/>
        </w:rPr>
        <w:tab/>
      </w:r>
      <w:hyperlink r:id="rId314">
        <w:r>
          <w:rPr>
            <w:rFonts w:ascii="Arial" w:cs="Arial" w:eastAsia="Arial" w:hAnsi="Arial"/>
            <w:sz w:val="16"/>
            <w:szCs w:val="16"/>
            <w:u w:val="single" w:color="auto"/>
            <w:color w:val="0000EE"/>
          </w:rPr>
          <w:t>Amendment Agreement for BCT197, dated October 19, 2018, by and between Mereo BioPharma 1 Limited and Novartis Pharma AG</w:t>
        </w:r>
      </w:hyperlink>
      <w:r>
        <w:rPr>
          <w:rFonts w:ascii="Arial" w:cs="Arial" w:eastAsia="Arial" w:hAnsi="Arial"/>
          <w:sz w:val="16"/>
          <w:szCs w:val="16"/>
          <w:u w:val="single" w:color="auto"/>
          <w:color w:val="0000EE"/>
        </w:rPr>
        <w:t xml:space="preserve"> </w:t>
      </w:r>
      <w:hyperlink r:id="rId314">
        <w:r>
          <w:rPr>
            <w:rFonts w:ascii="Arial" w:cs="Arial" w:eastAsia="Arial" w:hAnsi="Arial"/>
            <w:sz w:val="16"/>
            <w:szCs w:val="16"/>
            <w:u w:val="single" w:color="auto"/>
            <w:color w:val="0000EE"/>
          </w:rPr>
          <w:t>(incorporated into this Form 20-F by reference to Mereo’s Form F-4 filed January 25, 2019 (File No. 333-229351)).</w:t>
        </w:r>
      </w:hyperlink>
    </w:p>
    <w:p>
      <w:pPr>
        <w:spacing w:after="0" w:line="33" w:lineRule="exact"/>
        <w:rPr>
          <w:sz w:val="20"/>
          <w:szCs w:val="20"/>
          <w:color w:val="auto"/>
        </w:rPr>
      </w:pPr>
    </w:p>
    <w:p>
      <w:pPr>
        <w:ind w:left="1280" w:right="260" w:hanging="767"/>
        <w:spacing w:after="0" w:line="316" w:lineRule="auto"/>
        <w:tabs>
          <w:tab w:leader="none" w:pos="1260" w:val="left"/>
        </w:tabs>
        <w:rPr>
          <w:rFonts w:ascii="Arial" w:cs="Arial" w:eastAsia="Arial" w:hAnsi="Arial"/>
          <w:sz w:val="16"/>
          <w:szCs w:val="16"/>
          <w:u w:val="single" w:color="auto"/>
          <w:color w:val="0000EE"/>
        </w:rPr>
      </w:pPr>
      <w:r>
        <w:rPr>
          <w:rFonts w:ascii="Arial" w:cs="Arial" w:eastAsia="Arial" w:hAnsi="Arial"/>
          <w:sz w:val="17"/>
          <w:szCs w:val="17"/>
          <w:color w:val="auto"/>
        </w:rPr>
        <w:t>4.8.2</w:t>
      </w:r>
      <w:r>
        <w:rPr>
          <w:sz w:val="20"/>
          <w:szCs w:val="20"/>
          <w:color w:val="auto"/>
        </w:rPr>
        <w:tab/>
      </w:r>
      <w:hyperlink r:id="rId315">
        <w:r>
          <w:rPr>
            <w:rFonts w:ascii="Arial" w:cs="Arial" w:eastAsia="Arial" w:hAnsi="Arial"/>
            <w:sz w:val="16"/>
            <w:szCs w:val="16"/>
            <w:u w:val="single" w:color="auto"/>
            <w:color w:val="0000EE"/>
          </w:rPr>
          <w:t>Addendum to the Asset Purchase Agreement, dated October 4, 2017, by and between Mereo BioPharma 1 Limited and Novartis Pharma</w:t>
        </w:r>
      </w:hyperlink>
      <w:r>
        <w:rPr>
          <w:rFonts w:ascii="Arial" w:cs="Arial" w:eastAsia="Arial" w:hAnsi="Arial"/>
          <w:sz w:val="16"/>
          <w:szCs w:val="16"/>
          <w:u w:val="single" w:color="auto"/>
          <w:color w:val="0000EE"/>
        </w:rPr>
        <w:t xml:space="preserve"> </w:t>
      </w:r>
      <w:hyperlink r:id="rId315">
        <w:r>
          <w:rPr>
            <w:rFonts w:ascii="Arial" w:cs="Arial" w:eastAsia="Arial" w:hAnsi="Arial"/>
            <w:sz w:val="16"/>
            <w:szCs w:val="16"/>
            <w:u w:val="single" w:color="auto"/>
            <w:color w:val="0000EE"/>
          </w:rPr>
          <w:t>AG (incorporated into this Form 20-F by reference to Mereo’s Form F-4 filed January 25, 2019 (File No. 333-229351)).</w:t>
        </w:r>
      </w:hyperlink>
    </w:p>
    <w:p>
      <w:pPr>
        <w:spacing w:after="0" w:line="33" w:lineRule="exact"/>
        <w:rPr>
          <w:sz w:val="20"/>
          <w:szCs w:val="20"/>
          <w:color w:val="auto"/>
        </w:rPr>
      </w:pPr>
    </w:p>
    <w:p>
      <w:pPr>
        <w:ind w:left="1280" w:right="60" w:hanging="767"/>
        <w:spacing w:after="0" w:line="284" w:lineRule="auto"/>
        <w:tabs>
          <w:tab w:leader="none" w:pos="1260" w:val="left"/>
        </w:tabs>
        <w:rPr>
          <w:rFonts w:ascii="Arial" w:cs="Arial" w:eastAsia="Arial" w:hAnsi="Arial"/>
          <w:sz w:val="17"/>
          <w:szCs w:val="17"/>
          <w:u w:val="single" w:color="auto"/>
          <w:color w:val="0000EE"/>
        </w:rPr>
      </w:pPr>
      <w:r>
        <w:rPr>
          <w:rFonts w:ascii="Arial" w:cs="Arial" w:eastAsia="Arial" w:hAnsi="Arial"/>
          <w:sz w:val="17"/>
          <w:szCs w:val="17"/>
          <w:color w:val="auto"/>
        </w:rPr>
        <w:t>4.8.3</w:t>
      </w:r>
      <w:r>
        <w:rPr>
          <w:sz w:val="20"/>
          <w:szCs w:val="20"/>
          <w:color w:val="auto"/>
        </w:rPr>
        <w:tab/>
      </w:r>
      <w:hyperlink r:id="rId316">
        <w:r>
          <w:rPr>
            <w:rFonts w:ascii="Arial" w:cs="Arial" w:eastAsia="Arial" w:hAnsi="Arial"/>
            <w:sz w:val="17"/>
            <w:szCs w:val="17"/>
            <w:u w:val="single" w:color="auto"/>
            <w:color w:val="0000EE"/>
          </w:rPr>
          <w:t>Addendum to the Asset Purchase Agreement, dated April 12, 2016, by and between Mereo BioPharma 1 Limited and Novartis Pharma AG</w:t>
        </w:r>
      </w:hyperlink>
      <w:r>
        <w:rPr>
          <w:rFonts w:ascii="Arial" w:cs="Arial" w:eastAsia="Arial" w:hAnsi="Arial"/>
          <w:sz w:val="17"/>
          <w:szCs w:val="17"/>
          <w:u w:val="single" w:color="auto"/>
          <w:color w:val="0000EE"/>
        </w:rPr>
        <w:t xml:space="preserve"> </w:t>
      </w:r>
      <w:hyperlink r:id="rId316">
        <w:r>
          <w:rPr>
            <w:rFonts w:ascii="Arial" w:cs="Arial" w:eastAsia="Arial" w:hAnsi="Arial"/>
            <w:sz w:val="17"/>
            <w:szCs w:val="17"/>
            <w:u w:val="single" w:color="auto"/>
            <w:color w:val="0000EE"/>
          </w:rPr>
          <w:t>(incorporated into this Form 20-F by reference to Mereo’s Form F-4 filed January 25, 2019 (File No. 333-229351)).</w:t>
        </w:r>
      </w:hyperlink>
    </w:p>
    <w:p>
      <w:pPr>
        <w:spacing w:after="0" w:line="55" w:lineRule="exact"/>
        <w:rPr>
          <w:sz w:val="20"/>
          <w:szCs w:val="20"/>
          <w:color w:val="auto"/>
        </w:rPr>
      </w:pPr>
    </w:p>
    <w:p>
      <w:pPr>
        <w:ind w:left="1280" w:right="740" w:hanging="767"/>
        <w:spacing w:after="0" w:line="316" w:lineRule="auto"/>
        <w:tabs>
          <w:tab w:leader="none" w:pos="1260" w:val="left"/>
        </w:tabs>
        <w:rPr>
          <w:rFonts w:ascii="Arial" w:cs="Arial" w:eastAsia="Arial" w:hAnsi="Arial"/>
          <w:sz w:val="16"/>
          <w:szCs w:val="16"/>
          <w:u w:val="single" w:color="auto"/>
          <w:color w:val="0000EE"/>
        </w:rPr>
      </w:pPr>
      <w:r>
        <w:rPr>
          <w:rFonts w:ascii="Arial" w:cs="Arial" w:eastAsia="Arial" w:hAnsi="Arial"/>
          <w:sz w:val="17"/>
          <w:szCs w:val="17"/>
          <w:color w:val="auto"/>
        </w:rPr>
        <w:t>4.9†</w:t>
      </w:r>
      <w:r>
        <w:rPr>
          <w:sz w:val="20"/>
          <w:szCs w:val="20"/>
          <w:color w:val="auto"/>
        </w:rPr>
        <w:tab/>
      </w:r>
      <w:hyperlink r:id="rId317">
        <w:r>
          <w:rPr>
            <w:rFonts w:ascii="Arial" w:cs="Arial" w:eastAsia="Arial" w:hAnsi="Arial"/>
            <w:sz w:val="16"/>
            <w:szCs w:val="16"/>
            <w:u w:val="single" w:color="auto"/>
            <w:color w:val="0000EE"/>
          </w:rPr>
          <w:t>BGS649 Asset Purchase Agreement, dated July 28, 2015, by and between Mereo BioPharma 2 Limited and Novartis Pharma AG</w:t>
        </w:r>
      </w:hyperlink>
      <w:r>
        <w:rPr>
          <w:rFonts w:ascii="Arial" w:cs="Arial" w:eastAsia="Arial" w:hAnsi="Arial"/>
          <w:sz w:val="16"/>
          <w:szCs w:val="16"/>
          <w:u w:val="single" w:color="auto"/>
          <w:color w:val="0000EE"/>
        </w:rPr>
        <w:t xml:space="preserve"> </w:t>
      </w:r>
      <w:hyperlink r:id="rId317">
        <w:r>
          <w:rPr>
            <w:rFonts w:ascii="Arial" w:cs="Arial" w:eastAsia="Arial" w:hAnsi="Arial"/>
            <w:sz w:val="16"/>
            <w:szCs w:val="16"/>
            <w:u w:val="single" w:color="auto"/>
            <w:color w:val="0000EE"/>
          </w:rPr>
          <w:t>(incorporated into this Form 20-F by reference to Mereo’s Form F-4 filed January 25, 2019 (File No. 333-229351)).</w:t>
        </w:r>
      </w:hyperlink>
    </w:p>
    <w:p>
      <w:pPr>
        <w:spacing w:after="0" w:line="33" w:lineRule="exact"/>
        <w:rPr>
          <w:sz w:val="20"/>
          <w:szCs w:val="20"/>
          <w:color w:val="auto"/>
        </w:rPr>
      </w:pPr>
    </w:p>
    <w:p>
      <w:pPr>
        <w:ind w:left="1280" w:right="420" w:hanging="767"/>
        <w:spacing w:after="0" w:line="316" w:lineRule="auto"/>
        <w:tabs>
          <w:tab w:leader="none" w:pos="1260" w:val="left"/>
        </w:tabs>
        <w:rPr>
          <w:rFonts w:ascii="Arial" w:cs="Arial" w:eastAsia="Arial" w:hAnsi="Arial"/>
          <w:sz w:val="16"/>
          <w:szCs w:val="16"/>
          <w:u w:val="single" w:color="auto"/>
          <w:color w:val="0000EE"/>
        </w:rPr>
      </w:pPr>
      <w:r>
        <w:rPr>
          <w:rFonts w:ascii="Arial" w:cs="Arial" w:eastAsia="Arial" w:hAnsi="Arial"/>
          <w:sz w:val="17"/>
          <w:szCs w:val="17"/>
          <w:color w:val="auto"/>
        </w:rPr>
        <w:t>4.9.1</w:t>
      </w:r>
      <w:r>
        <w:rPr>
          <w:sz w:val="20"/>
          <w:szCs w:val="20"/>
          <w:color w:val="auto"/>
        </w:rPr>
        <w:tab/>
      </w:r>
      <w:hyperlink r:id="rId318">
        <w:r>
          <w:rPr>
            <w:rFonts w:ascii="Arial" w:cs="Arial" w:eastAsia="Arial" w:hAnsi="Arial"/>
            <w:sz w:val="16"/>
            <w:szCs w:val="16"/>
            <w:u w:val="single" w:color="auto"/>
            <w:color w:val="0000EE"/>
          </w:rPr>
          <w:t>Amendment Agreement for BGS649, dated October 19, 2018, by and between Mereo BioPharma 2 Limited and Novartis Pharma AG</w:t>
        </w:r>
      </w:hyperlink>
      <w:r>
        <w:rPr>
          <w:rFonts w:ascii="Arial" w:cs="Arial" w:eastAsia="Arial" w:hAnsi="Arial"/>
          <w:sz w:val="16"/>
          <w:szCs w:val="16"/>
          <w:u w:val="single" w:color="auto"/>
          <w:color w:val="0000EE"/>
        </w:rPr>
        <w:t xml:space="preserve"> </w:t>
      </w:r>
      <w:hyperlink r:id="rId318">
        <w:r>
          <w:rPr>
            <w:rFonts w:ascii="Arial" w:cs="Arial" w:eastAsia="Arial" w:hAnsi="Arial"/>
            <w:sz w:val="16"/>
            <w:szCs w:val="16"/>
            <w:u w:val="single" w:color="auto"/>
            <w:color w:val="0000EE"/>
          </w:rPr>
          <w:t>(incorporated into this Form 20-F by reference to Mereo’s Form F-4 filed January 25, 2019 (File No. 333-229351)).</w:t>
        </w:r>
      </w:hyperlink>
    </w:p>
    <w:p>
      <w:pPr>
        <w:spacing w:after="0" w:line="33" w:lineRule="exact"/>
        <w:rPr>
          <w:sz w:val="20"/>
          <w:szCs w:val="20"/>
          <w:color w:val="auto"/>
        </w:rPr>
      </w:pPr>
    </w:p>
    <w:p>
      <w:pPr>
        <w:ind w:left="1280" w:right="220" w:hanging="767"/>
        <w:spacing w:after="0" w:line="316" w:lineRule="auto"/>
        <w:tabs>
          <w:tab w:leader="none" w:pos="1260" w:val="left"/>
        </w:tabs>
        <w:rPr>
          <w:rFonts w:ascii="Arial" w:cs="Arial" w:eastAsia="Arial" w:hAnsi="Arial"/>
          <w:sz w:val="16"/>
          <w:szCs w:val="16"/>
          <w:u w:val="single" w:color="auto"/>
          <w:color w:val="0000EE"/>
        </w:rPr>
      </w:pPr>
      <w:r>
        <w:rPr>
          <w:rFonts w:ascii="Arial" w:cs="Arial" w:eastAsia="Arial" w:hAnsi="Arial"/>
          <w:sz w:val="17"/>
          <w:szCs w:val="17"/>
          <w:color w:val="auto"/>
        </w:rPr>
        <w:t>4.9.2</w:t>
      </w:r>
      <w:r>
        <w:rPr>
          <w:sz w:val="20"/>
          <w:szCs w:val="20"/>
          <w:color w:val="auto"/>
        </w:rPr>
        <w:tab/>
      </w:r>
      <w:hyperlink r:id="rId319">
        <w:r>
          <w:rPr>
            <w:rFonts w:ascii="Arial" w:cs="Arial" w:eastAsia="Arial" w:hAnsi="Arial"/>
            <w:sz w:val="16"/>
            <w:szCs w:val="16"/>
            <w:u w:val="single" w:color="auto"/>
            <w:color w:val="0000EE"/>
          </w:rPr>
          <w:t>Addendum to the Asset Purchase Agreement, dated August 17, 2017, by and between Mereo BioPharma 2 Limited and Novartis Pharma</w:t>
        </w:r>
      </w:hyperlink>
      <w:r>
        <w:rPr>
          <w:rFonts w:ascii="Arial" w:cs="Arial" w:eastAsia="Arial" w:hAnsi="Arial"/>
          <w:sz w:val="16"/>
          <w:szCs w:val="16"/>
          <w:u w:val="single" w:color="auto"/>
          <w:color w:val="0000EE"/>
        </w:rPr>
        <w:t xml:space="preserve"> </w:t>
      </w:r>
      <w:hyperlink r:id="rId319">
        <w:r>
          <w:rPr>
            <w:rFonts w:ascii="Arial" w:cs="Arial" w:eastAsia="Arial" w:hAnsi="Arial"/>
            <w:sz w:val="16"/>
            <w:szCs w:val="16"/>
            <w:u w:val="single" w:color="auto"/>
            <w:color w:val="0000EE"/>
          </w:rPr>
          <w:t>AG (incorporated into this Form 20-F by reference to Mereo’s Form F-4 filed January 25, 2019 (File No. 333-229351)).</w:t>
        </w:r>
      </w:hyperlink>
    </w:p>
    <w:p>
      <w:pPr>
        <w:spacing w:after="0" w:line="33" w:lineRule="exact"/>
        <w:rPr>
          <w:sz w:val="20"/>
          <w:szCs w:val="20"/>
          <w:color w:val="auto"/>
        </w:rPr>
      </w:pPr>
    </w:p>
    <w:p>
      <w:pPr>
        <w:ind w:left="1280" w:right="780" w:hanging="767"/>
        <w:spacing w:after="0" w:line="316" w:lineRule="auto"/>
        <w:tabs>
          <w:tab w:leader="none" w:pos="1260" w:val="left"/>
        </w:tabs>
        <w:rPr>
          <w:rFonts w:ascii="Arial" w:cs="Arial" w:eastAsia="Arial" w:hAnsi="Arial"/>
          <w:sz w:val="16"/>
          <w:szCs w:val="16"/>
          <w:u w:val="single" w:color="auto"/>
          <w:color w:val="0000EE"/>
        </w:rPr>
      </w:pPr>
      <w:r>
        <w:rPr>
          <w:rFonts w:ascii="Arial" w:cs="Arial" w:eastAsia="Arial" w:hAnsi="Arial"/>
          <w:sz w:val="17"/>
          <w:szCs w:val="17"/>
          <w:color w:val="auto"/>
        </w:rPr>
        <w:t>4.10†</w:t>
      </w:r>
      <w:r>
        <w:rPr>
          <w:sz w:val="20"/>
          <w:szCs w:val="20"/>
          <w:color w:val="auto"/>
        </w:rPr>
        <w:tab/>
      </w:r>
      <w:hyperlink r:id="rId320">
        <w:r>
          <w:rPr>
            <w:rFonts w:ascii="Arial" w:cs="Arial" w:eastAsia="Arial" w:hAnsi="Arial"/>
            <w:sz w:val="16"/>
            <w:szCs w:val="16"/>
            <w:u w:val="single" w:color="auto"/>
            <w:color w:val="0000EE"/>
          </w:rPr>
          <w:t>BPS804 Asset Purchase Agreement, dated July 28, 2015, by and between Mereo BioPharma 3 Limited and Novartis Pharma AG</w:t>
        </w:r>
      </w:hyperlink>
      <w:r>
        <w:rPr>
          <w:rFonts w:ascii="Arial" w:cs="Arial" w:eastAsia="Arial" w:hAnsi="Arial"/>
          <w:sz w:val="16"/>
          <w:szCs w:val="16"/>
          <w:u w:val="single" w:color="auto"/>
          <w:color w:val="0000EE"/>
        </w:rPr>
        <w:t xml:space="preserve"> </w:t>
      </w:r>
      <w:hyperlink r:id="rId320">
        <w:r>
          <w:rPr>
            <w:rFonts w:ascii="Arial" w:cs="Arial" w:eastAsia="Arial" w:hAnsi="Arial"/>
            <w:sz w:val="16"/>
            <w:szCs w:val="16"/>
            <w:u w:val="single" w:color="auto"/>
            <w:color w:val="0000EE"/>
          </w:rPr>
          <w:t>(incorporated into this Form 20-F by reference to Mereo’s Form F-4 filed January 25, 2019 (File No. 333-229351)).</w:t>
        </w:r>
      </w:hyperlink>
    </w:p>
    <w:p>
      <w:pPr>
        <w:spacing w:after="0" w:line="7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960"/>
          </w:cols>
          <w:pgMar w:left="240" w:top="445" w:right="69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20" w:type="dxa"/>
            <w:vAlign w:val="bottom"/>
            <w:gridSpan w:val="25"/>
            <w:vMerge w:val="restart"/>
          </w:tcPr>
          <w:p>
            <w:pPr>
              <w:ind w:left="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2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0" w:type="dxa"/>
            <w:vAlign w:val="bottom"/>
          </w:tcPr>
          <w:p>
            <w:pPr>
              <w:spacing w:after="0"/>
              <w:rPr>
                <w:sz w:val="23"/>
                <w:szCs w:val="23"/>
                <w:color w:val="auto"/>
              </w:rPr>
            </w:pPr>
          </w:p>
        </w:tc>
        <w:tc>
          <w:tcPr>
            <w:tcW w:w="1040" w:type="dxa"/>
            <w:vAlign w:val="bottom"/>
            <w:gridSpan w:val="2"/>
          </w:tcPr>
          <w:p>
            <w:pPr>
              <w:ind w:left="20"/>
              <w:spacing w:after="0"/>
              <w:rPr>
                <w:sz w:val="20"/>
                <w:szCs w:val="20"/>
                <w:color w:val="auto"/>
              </w:rPr>
            </w:pPr>
            <w:r>
              <w:rPr>
                <w:rFonts w:ascii="Arial" w:cs="Arial" w:eastAsia="Arial" w:hAnsi="Arial"/>
                <w:sz w:val="17"/>
                <w:szCs w:val="17"/>
                <w:color w:val="auto"/>
              </w:rPr>
              <w:t>4.10.1†</w:t>
            </w:r>
          </w:p>
        </w:tc>
        <w:tc>
          <w:tcPr>
            <w:tcW w:w="9400" w:type="dxa"/>
            <w:vAlign w:val="bottom"/>
            <w:gridSpan w:val="29"/>
          </w:tcPr>
          <w:p>
            <w:pPr>
              <w:spacing w:after="0"/>
              <w:rPr>
                <w:rFonts w:ascii="Arial" w:cs="Arial" w:eastAsia="Arial" w:hAnsi="Arial"/>
                <w:sz w:val="17"/>
                <w:szCs w:val="17"/>
                <w:color w:val="0000EE"/>
                <w:w w:val="93"/>
              </w:rPr>
            </w:pPr>
            <w:hyperlink r:id="rId322">
              <w:r>
                <w:rPr>
                  <w:rFonts w:ascii="Arial" w:cs="Arial" w:eastAsia="Arial" w:hAnsi="Arial"/>
                  <w:sz w:val="17"/>
                  <w:szCs w:val="17"/>
                  <w:color w:val="0000EE"/>
                  <w:w w:val="93"/>
                </w:rPr>
                <w:t>Amendment Agreement, dated August 10, 2018, by and between Mereo BioPharma 3 Limited and Novartis Pharma AG (incorporated</w:t>
              </w:r>
            </w:hyperlink>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80" w:type="dxa"/>
            <w:vAlign w:val="bottom"/>
            <w:tcBorders>
              <w:top w:val="single" w:sz="8" w:color="0000EE"/>
            </w:tcBorders>
            <w:gridSpan w:val="26"/>
          </w:tcPr>
          <w:p>
            <w:pPr>
              <w:spacing w:after="0" w:line="187" w:lineRule="exact"/>
              <w:rPr>
                <w:rFonts w:ascii="Arial" w:cs="Arial" w:eastAsia="Arial" w:hAnsi="Arial"/>
                <w:sz w:val="17"/>
                <w:szCs w:val="17"/>
                <w:color w:val="0000EE"/>
              </w:rPr>
            </w:pPr>
            <w:hyperlink r:id="rId322">
              <w:r>
                <w:rPr>
                  <w:rFonts w:ascii="Arial" w:cs="Arial" w:eastAsia="Arial" w:hAnsi="Arial"/>
                  <w:sz w:val="17"/>
                  <w:szCs w:val="17"/>
                  <w:color w:val="0000EE"/>
                </w:rPr>
                <w:t>into this Form 20-F by reference to Mereo’s Form F-4 filed January 25, 2019 (File No. 333-229351)).</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 w:type="dxa"/>
            <w:vAlign w:val="bottom"/>
            <w:gridSpan w:val="2"/>
          </w:tcPr>
          <w:p>
            <w:pPr>
              <w:ind w:left="80"/>
              <w:spacing w:after="0"/>
              <w:rPr>
                <w:sz w:val="20"/>
                <w:szCs w:val="20"/>
                <w:color w:val="auto"/>
              </w:rPr>
            </w:pPr>
            <w:r>
              <w:rPr>
                <w:rFonts w:ascii="Arial" w:cs="Arial" w:eastAsia="Arial" w:hAnsi="Arial"/>
                <w:sz w:val="17"/>
                <w:szCs w:val="17"/>
                <w:color w:val="auto"/>
                <w:w w:val="92"/>
              </w:rPr>
              <w:t>4.10.2</w:t>
            </w:r>
          </w:p>
        </w:tc>
        <w:tc>
          <w:tcPr>
            <w:tcW w:w="560" w:type="dxa"/>
            <w:vAlign w:val="bottom"/>
          </w:tcPr>
          <w:p>
            <w:pPr>
              <w:spacing w:after="0"/>
              <w:rPr>
                <w:sz w:val="24"/>
                <w:szCs w:val="24"/>
                <w:color w:val="auto"/>
              </w:rPr>
            </w:pPr>
          </w:p>
        </w:tc>
        <w:tc>
          <w:tcPr>
            <w:tcW w:w="9100" w:type="dxa"/>
            <w:vAlign w:val="bottom"/>
            <w:tcBorders>
              <w:bottom w:val="single" w:sz="8" w:color="0000EE"/>
            </w:tcBorders>
            <w:gridSpan w:val="21"/>
          </w:tcPr>
          <w:p>
            <w:pPr>
              <w:spacing w:after="0"/>
              <w:rPr>
                <w:rFonts w:ascii="Arial" w:cs="Arial" w:eastAsia="Arial" w:hAnsi="Arial"/>
                <w:sz w:val="17"/>
                <w:szCs w:val="17"/>
                <w:color w:val="0000EE"/>
                <w:w w:val="91"/>
              </w:rPr>
            </w:pPr>
            <w:hyperlink r:id="rId323">
              <w:r>
                <w:rPr>
                  <w:rFonts w:ascii="Arial" w:cs="Arial" w:eastAsia="Arial" w:hAnsi="Arial"/>
                  <w:sz w:val="17"/>
                  <w:szCs w:val="17"/>
                  <w:color w:val="0000EE"/>
                  <w:w w:val="91"/>
                </w:rPr>
                <w:t>Addendum to the Asset Purchase Agreement, dated December 21, 2016, by and between Mereo BioPharma 3 Limited and Novartis</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0" w:type="dxa"/>
            <w:vAlign w:val="bottom"/>
            <w:gridSpan w:val="29"/>
          </w:tcPr>
          <w:p>
            <w:pPr>
              <w:spacing w:after="0" w:line="187" w:lineRule="exact"/>
              <w:rPr>
                <w:rFonts w:ascii="Arial" w:cs="Arial" w:eastAsia="Arial" w:hAnsi="Arial"/>
                <w:sz w:val="17"/>
                <w:szCs w:val="17"/>
                <w:color w:val="0000EE"/>
                <w:w w:val="98"/>
              </w:rPr>
            </w:pPr>
            <w:hyperlink r:id="rId323">
              <w:r>
                <w:rPr>
                  <w:rFonts w:ascii="Arial" w:cs="Arial" w:eastAsia="Arial" w:hAnsi="Arial"/>
                  <w:sz w:val="17"/>
                  <w:szCs w:val="17"/>
                  <w:color w:val="0000EE"/>
                  <w:w w:val="98"/>
                </w:rPr>
                <w:t>Pharma AG (incorporated into this Form 20-F by reference to Mereo’s Form F-4 filed January 25, 2019 (File No. 333-229351)).</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7"/>
                <w:szCs w:val="17"/>
                <w:color w:val="auto"/>
              </w:rPr>
              <w:t>4.11†</w:t>
            </w:r>
          </w:p>
        </w:tc>
        <w:tc>
          <w:tcPr>
            <w:tcW w:w="9280" w:type="dxa"/>
            <w:vAlign w:val="bottom"/>
            <w:tcBorders>
              <w:bottom w:val="single" w:sz="8" w:color="0000EE"/>
            </w:tcBorders>
            <w:gridSpan w:val="26"/>
          </w:tcPr>
          <w:p>
            <w:pPr>
              <w:spacing w:after="0"/>
              <w:rPr>
                <w:rFonts w:ascii="Arial" w:cs="Arial" w:eastAsia="Arial" w:hAnsi="Arial"/>
                <w:sz w:val="17"/>
                <w:szCs w:val="17"/>
                <w:color w:val="0000EE"/>
                <w:w w:val="92"/>
              </w:rPr>
            </w:pPr>
            <w:hyperlink r:id="rId324">
              <w:r>
                <w:rPr>
                  <w:rFonts w:ascii="Arial" w:cs="Arial" w:eastAsia="Arial" w:hAnsi="Arial"/>
                  <w:sz w:val="17"/>
                  <w:szCs w:val="17"/>
                  <w:color w:val="0000EE"/>
                  <w:w w:val="92"/>
                </w:rPr>
                <w:t>Sublicense Agreement, dated July 29, 2015, by and between Mereo BioPharma 3 Limited and Novartis Pharma AG (incorporated into</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720" w:type="dxa"/>
            <w:vAlign w:val="bottom"/>
            <w:tcBorders>
              <w:bottom w:val="single" w:sz="8" w:color="0000EE"/>
            </w:tcBorders>
            <w:gridSpan w:val="10"/>
          </w:tcPr>
          <w:p>
            <w:pPr>
              <w:spacing w:after="0" w:line="187" w:lineRule="exact"/>
              <w:rPr>
                <w:rFonts w:ascii="Arial" w:cs="Arial" w:eastAsia="Arial" w:hAnsi="Arial"/>
                <w:sz w:val="17"/>
                <w:szCs w:val="17"/>
                <w:color w:val="0000EE"/>
                <w:w w:val="92"/>
              </w:rPr>
            </w:pPr>
            <w:hyperlink r:id="rId324">
              <w:r>
                <w:rPr>
                  <w:rFonts w:ascii="Arial" w:cs="Arial" w:eastAsia="Arial" w:hAnsi="Arial"/>
                  <w:sz w:val="17"/>
                  <w:szCs w:val="17"/>
                  <w:color w:val="0000EE"/>
                  <w:w w:val="92"/>
                </w:rPr>
                <w:t>this Form 20-F by reference to Mereo’s Form F-4 filed January 25, 2019 (File No. 333-229351)).</w:t>
              </w:r>
            </w:hyperlink>
          </w:p>
        </w:tc>
        <w:tc>
          <w:tcPr>
            <w:tcW w:w="268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7"/>
                <w:szCs w:val="17"/>
                <w:color w:val="auto"/>
              </w:rPr>
              <w:t>4.12†</w:t>
            </w:r>
          </w:p>
        </w:tc>
        <w:tc>
          <w:tcPr>
            <w:tcW w:w="9400" w:type="dxa"/>
            <w:vAlign w:val="bottom"/>
            <w:gridSpan w:val="29"/>
          </w:tcPr>
          <w:p>
            <w:pPr>
              <w:spacing w:after="0"/>
              <w:rPr>
                <w:rFonts w:ascii="Arial" w:cs="Arial" w:eastAsia="Arial" w:hAnsi="Arial"/>
                <w:sz w:val="17"/>
                <w:szCs w:val="17"/>
                <w:color w:val="0000EE"/>
                <w:w w:val="93"/>
              </w:rPr>
            </w:pPr>
            <w:hyperlink r:id="rId325">
              <w:r>
                <w:rPr>
                  <w:rFonts w:ascii="Arial" w:cs="Arial" w:eastAsia="Arial" w:hAnsi="Arial"/>
                  <w:sz w:val="17"/>
                  <w:szCs w:val="17"/>
                  <w:color w:val="0000EE"/>
                  <w:w w:val="93"/>
                </w:rPr>
                <w:t>Exclusive License and Option Agreement, dated October 28, 2017, by and between Mereo BioPharma 4 Limited and AstraZeneca AB</w:t>
              </w:r>
            </w:hyperlink>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0" w:type="dxa"/>
            <w:vAlign w:val="bottom"/>
            <w:tcBorders>
              <w:top w:val="single" w:sz="8" w:color="0000EE"/>
              <w:bottom w:val="single" w:sz="8" w:color="0000EE"/>
            </w:tcBorders>
            <w:gridSpan w:val="14"/>
          </w:tcPr>
          <w:p>
            <w:pPr>
              <w:spacing w:after="0" w:line="187" w:lineRule="exact"/>
              <w:rPr>
                <w:rFonts w:ascii="Arial" w:cs="Arial" w:eastAsia="Arial" w:hAnsi="Arial"/>
                <w:sz w:val="17"/>
                <w:szCs w:val="17"/>
                <w:color w:val="0000EE"/>
                <w:w w:val="93"/>
              </w:rPr>
            </w:pPr>
            <w:hyperlink r:id="rId325">
              <w:r>
                <w:rPr>
                  <w:rFonts w:ascii="Arial" w:cs="Arial" w:eastAsia="Arial" w:hAnsi="Arial"/>
                  <w:sz w:val="17"/>
                  <w:szCs w:val="17"/>
                  <w:color w:val="0000EE"/>
                  <w:w w:val="93"/>
                </w:rPr>
                <w:t>(incorporated into this Form 20-F by reference to Mereo’s Form F-4 filed January 25, 2019 (File No. 333-229351)).</w:t>
              </w:r>
            </w:hyperlink>
          </w:p>
        </w:tc>
        <w:tc>
          <w:tcPr>
            <w:tcW w:w="1280" w:type="dxa"/>
            <w:vAlign w:val="bottom"/>
            <w:tcBorders>
              <w:top w:val="single" w:sz="8" w:color="0000EE"/>
            </w:tcBorders>
            <w:gridSpan w:val="12"/>
          </w:tcPr>
          <w:p>
            <w:pPr>
              <w:spacing w:after="0"/>
              <w:rPr>
                <w:sz w:val="16"/>
                <w:szCs w:val="16"/>
                <w:color w:val="auto"/>
              </w:rPr>
            </w:pP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40" w:type="dxa"/>
            <w:vAlign w:val="bottom"/>
            <w:gridSpan w:val="2"/>
          </w:tcPr>
          <w:p>
            <w:pPr>
              <w:ind w:left="80"/>
              <w:spacing w:after="0"/>
              <w:rPr>
                <w:sz w:val="20"/>
                <w:szCs w:val="20"/>
                <w:color w:val="auto"/>
              </w:rPr>
            </w:pPr>
            <w:r>
              <w:rPr>
                <w:rFonts w:ascii="Arial" w:cs="Arial" w:eastAsia="Arial" w:hAnsi="Arial"/>
                <w:sz w:val="17"/>
                <w:szCs w:val="17"/>
                <w:color w:val="auto"/>
              </w:rPr>
              <w:t>4.13</w:t>
            </w:r>
          </w:p>
        </w:tc>
        <w:tc>
          <w:tcPr>
            <w:tcW w:w="560" w:type="dxa"/>
            <w:vAlign w:val="bottom"/>
          </w:tcPr>
          <w:p>
            <w:pPr>
              <w:spacing w:after="0"/>
              <w:rPr>
                <w:sz w:val="24"/>
                <w:szCs w:val="24"/>
                <w:color w:val="auto"/>
              </w:rPr>
            </w:pPr>
          </w:p>
        </w:tc>
        <w:tc>
          <w:tcPr>
            <w:tcW w:w="9400" w:type="dxa"/>
            <w:vAlign w:val="bottom"/>
            <w:gridSpan w:val="29"/>
          </w:tcPr>
          <w:p>
            <w:pPr>
              <w:spacing w:after="0"/>
              <w:rPr>
                <w:rFonts w:ascii="Arial" w:cs="Arial" w:eastAsia="Arial" w:hAnsi="Arial"/>
                <w:sz w:val="17"/>
                <w:szCs w:val="17"/>
                <w:color w:val="0000EE"/>
                <w:w w:val="94"/>
              </w:rPr>
            </w:pPr>
            <w:hyperlink r:id="rId326">
              <w:r>
                <w:rPr>
                  <w:rFonts w:ascii="Arial" w:cs="Arial" w:eastAsia="Arial" w:hAnsi="Arial"/>
                  <w:sz w:val="17"/>
                  <w:szCs w:val="17"/>
                  <w:color w:val="0000EE"/>
                  <w:w w:val="94"/>
                </w:rPr>
                <w:t>Loan Agreement, dated September 28, 2018, by and among Mereo BioPharma Group plc, as borrower, the guarantors party thereto,</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0" w:type="dxa"/>
            <w:vAlign w:val="bottom"/>
            <w:gridSpan w:val="29"/>
          </w:tcPr>
          <w:p>
            <w:pPr>
              <w:spacing w:after="0" w:line="187" w:lineRule="exact"/>
              <w:rPr>
                <w:rFonts w:ascii="Arial" w:cs="Arial" w:eastAsia="Arial" w:hAnsi="Arial"/>
                <w:sz w:val="17"/>
                <w:szCs w:val="17"/>
                <w:color w:val="0000EE"/>
                <w:w w:val="93"/>
              </w:rPr>
            </w:pPr>
            <w:hyperlink r:id="rId326">
              <w:r>
                <w:rPr>
                  <w:rFonts w:ascii="Arial" w:cs="Arial" w:eastAsia="Arial" w:hAnsi="Arial"/>
                  <w:sz w:val="17"/>
                  <w:szCs w:val="17"/>
                  <w:color w:val="0000EE"/>
                  <w:w w:val="93"/>
                </w:rPr>
                <w:t>Silicon Valley Bank, as a lender, and Kreos Capital V (UK) Limited, as a lender, agent and security agent (incorporated into this Form</w:t>
              </w:r>
            </w:hyperlink>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60" w:type="dxa"/>
            <w:vAlign w:val="bottom"/>
            <w:tcBorders>
              <w:top w:val="single" w:sz="8" w:color="0000EE"/>
            </w:tcBorders>
            <w:gridSpan w:val="25"/>
          </w:tcPr>
          <w:p>
            <w:pPr>
              <w:spacing w:after="0" w:line="187" w:lineRule="exact"/>
              <w:rPr>
                <w:rFonts w:ascii="Arial" w:cs="Arial" w:eastAsia="Arial" w:hAnsi="Arial"/>
                <w:sz w:val="17"/>
                <w:szCs w:val="17"/>
                <w:color w:val="0000EE"/>
              </w:rPr>
            </w:pPr>
            <w:hyperlink r:id="rId326">
              <w:r>
                <w:rPr>
                  <w:rFonts w:ascii="Arial" w:cs="Arial" w:eastAsia="Arial" w:hAnsi="Arial"/>
                  <w:sz w:val="17"/>
                  <w:szCs w:val="17"/>
                  <w:color w:val="0000EE"/>
                </w:rPr>
                <w:t>20-F by reference to Mereo’s Form F-4 filed January 25, 2019 (File No. 333-229351)).</w:t>
              </w:r>
            </w:hyperlink>
          </w:p>
        </w:tc>
        <w:tc>
          <w:tcPr>
            <w:tcW w:w="1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00" w:type="dxa"/>
            <w:vAlign w:val="bottom"/>
            <w:gridSpan w:val="3"/>
          </w:tcPr>
          <w:p>
            <w:pPr>
              <w:ind w:left="80"/>
              <w:spacing w:after="0"/>
              <w:rPr>
                <w:sz w:val="20"/>
                <w:szCs w:val="20"/>
                <w:color w:val="auto"/>
              </w:rPr>
            </w:pPr>
            <w:r>
              <w:rPr>
                <w:rFonts w:ascii="Arial" w:cs="Arial" w:eastAsia="Arial" w:hAnsi="Arial"/>
                <w:sz w:val="17"/>
                <w:szCs w:val="17"/>
                <w:color w:val="auto"/>
              </w:rPr>
              <w:t>4.13.1*</w:t>
            </w:r>
          </w:p>
        </w:tc>
        <w:tc>
          <w:tcPr>
            <w:tcW w:w="9400" w:type="dxa"/>
            <w:vAlign w:val="bottom"/>
            <w:gridSpan w:val="29"/>
          </w:tcPr>
          <w:p>
            <w:pPr>
              <w:spacing w:after="0"/>
              <w:rPr>
                <w:sz w:val="20"/>
                <w:szCs w:val="20"/>
                <w:color w:val="auto"/>
              </w:rPr>
            </w:pPr>
            <w:r>
              <w:rPr>
                <w:rFonts w:ascii="Arial" w:cs="Arial" w:eastAsia="Arial" w:hAnsi="Arial"/>
                <w:sz w:val="17"/>
                <w:szCs w:val="17"/>
                <w:color w:val="0000EE"/>
                <w:w w:val="92"/>
              </w:rPr>
              <w:t>Deed of Consent and Amendment, dated April 17, 2019, by and among Mereo BioPharma Group plc, as borrower, the guarantors party</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340" w:type="dxa"/>
            <w:vAlign w:val="bottom"/>
            <w:tcBorders>
              <w:top w:val="single" w:sz="8" w:color="0000EE"/>
            </w:tcBorders>
            <w:gridSpan w:val="27"/>
          </w:tcPr>
          <w:p>
            <w:pPr>
              <w:spacing w:after="0" w:line="187" w:lineRule="exact"/>
              <w:rPr>
                <w:sz w:val="20"/>
                <w:szCs w:val="20"/>
                <w:color w:val="auto"/>
              </w:rPr>
            </w:pPr>
            <w:r>
              <w:rPr>
                <w:rFonts w:ascii="Arial" w:cs="Arial" w:eastAsia="Arial" w:hAnsi="Arial"/>
                <w:sz w:val="17"/>
                <w:szCs w:val="17"/>
                <w:color w:val="0000EE"/>
              </w:rPr>
              <w:t>thereto, Silicon Valley Bank, as a lender, and Kreos Capital V (UK) Limited, as a lender, agent and security agent</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 w:type="dxa"/>
            <w:vAlign w:val="bottom"/>
            <w:gridSpan w:val="2"/>
          </w:tcPr>
          <w:p>
            <w:pPr>
              <w:ind w:left="80"/>
              <w:spacing w:after="0"/>
              <w:rPr>
                <w:sz w:val="20"/>
                <w:szCs w:val="20"/>
                <w:color w:val="auto"/>
              </w:rPr>
            </w:pPr>
            <w:r>
              <w:rPr>
                <w:rFonts w:ascii="Arial" w:cs="Arial" w:eastAsia="Arial" w:hAnsi="Arial"/>
                <w:sz w:val="17"/>
                <w:szCs w:val="17"/>
                <w:color w:val="auto"/>
              </w:rPr>
              <w:t>4.14</w:t>
            </w:r>
          </w:p>
        </w:tc>
        <w:tc>
          <w:tcPr>
            <w:tcW w:w="560" w:type="dxa"/>
            <w:vAlign w:val="bottom"/>
          </w:tcPr>
          <w:p>
            <w:pPr>
              <w:spacing w:after="0"/>
              <w:rPr>
                <w:sz w:val="24"/>
                <w:szCs w:val="24"/>
                <w:color w:val="auto"/>
              </w:rPr>
            </w:pPr>
          </w:p>
        </w:tc>
        <w:tc>
          <w:tcPr>
            <w:tcW w:w="9400" w:type="dxa"/>
            <w:vAlign w:val="bottom"/>
            <w:gridSpan w:val="29"/>
          </w:tcPr>
          <w:p>
            <w:pPr>
              <w:spacing w:after="0"/>
              <w:rPr>
                <w:rFonts w:ascii="Arial" w:cs="Arial" w:eastAsia="Arial" w:hAnsi="Arial"/>
                <w:sz w:val="17"/>
                <w:szCs w:val="17"/>
                <w:color w:val="0000EE"/>
                <w:w w:val="93"/>
              </w:rPr>
            </w:pPr>
            <w:hyperlink r:id="rId327">
              <w:r>
                <w:rPr>
                  <w:rFonts w:ascii="Arial" w:cs="Arial" w:eastAsia="Arial" w:hAnsi="Arial"/>
                  <w:sz w:val="17"/>
                  <w:szCs w:val="17"/>
                  <w:color w:val="0000EE"/>
                  <w:w w:val="93"/>
                </w:rPr>
                <w:t>Form of Deed of Indemnity for members of the board of directors of Mereo BioPharma Group plc (incorporated into this Form 20-F by</w:t>
              </w:r>
            </w:hyperlink>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360" w:type="dxa"/>
            <w:vAlign w:val="bottom"/>
            <w:tcBorders>
              <w:top w:val="single" w:sz="8" w:color="0000EE"/>
            </w:tcBorders>
            <w:gridSpan w:val="28"/>
          </w:tcPr>
          <w:p>
            <w:pPr>
              <w:spacing w:after="0" w:line="187" w:lineRule="exact"/>
              <w:rPr>
                <w:rFonts w:ascii="Arial" w:cs="Arial" w:eastAsia="Arial" w:hAnsi="Arial"/>
                <w:sz w:val="17"/>
                <w:szCs w:val="17"/>
                <w:color w:val="0000EE"/>
              </w:rPr>
            </w:pPr>
            <w:hyperlink r:id="rId327">
              <w:r>
                <w:rPr>
                  <w:rFonts w:ascii="Arial" w:cs="Arial" w:eastAsia="Arial" w:hAnsi="Arial"/>
                  <w:sz w:val="17"/>
                  <w:szCs w:val="17"/>
                  <w:color w:val="0000EE"/>
                </w:rPr>
                <w:t>reference to Mereo’s Form F-4 filed January 25, 2019 (File No. 333-229351)).</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 w:type="dxa"/>
            <w:vAlign w:val="bottom"/>
            <w:gridSpan w:val="2"/>
          </w:tcPr>
          <w:p>
            <w:pPr>
              <w:ind w:left="80"/>
              <w:spacing w:after="0"/>
              <w:rPr>
                <w:sz w:val="20"/>
                <w:szCs w:val="20"/>
                <w:color w:val="auto"/>
              </w:rPr>
            </w:pPr>
            <w:r>
              <w:rPr>
                <w:rFonts w:ascii="Arial" w:cs="Arial" w:eastAsia="Arial" w:hAnsi="Arial"/>
                <w:sz w:val="17"/>
                <w:szCs w:val="17"/>
                <w:color w:val="auto"/>
              </w:rPr>
              <w:t>4.15</w:t>
            </w:r>
          </w:p>
        </w:tc>
        <w:tc>
          <w:tcPr>
            <w:tcW w:w="560" w:type="dxa"/>
            <w:vAlign w:val="bottom"/>
          </w:tcPr>
          <w:p>
            <w:pPr>
              <w:spacing w:after="0"/>
              <w:rPr>
                <w:sz w:val="24"/>
                <w:szCs w:val="24"/>
                <w:color w:val="auto"/>
              </w:rPr>
            </w:pPr>
          </w:p>
        </w:tc>
        <w:tc>
          <w:tcPr>
            <w:tcW w:w="8920" w:type="dxa"/>
            <w:vAlign w:val="bottom"/>
            <w:tcBorders>
              <w:bottom w:val="single" w:sz="8" w:color="0000EE"/>
            </w:tcBorders>
            <w:gridSpan w:val="19"/>
          </w:tcPr>
          <w:p>
            <w:pPr>
              <w:spacing w:after="0"/>
              <w:rPr>
                <w:rFonts w:ascii="Arial" w:cs="Arial" w:eastAsia="Arial" w:hAnsi="Arial"/>
                <w:sz w:val="17"/>
                <w:szCs w:val="17"/>
                <w:color w:val="0000EE"/>
                <w:w w:val="92"/>
              </w:rPr>
            </w:pPr>
            <w:hyperlink r:id="rId328">
              <w:r>
                <w:rPr>
                  <w:rFonts w:ascii="Arial" w:cs="Arial" w:eastAsia="Arial" w:hAnsi="Arial"/>
                  <w:sz w:val="17"/>
                  <w:szCs w:val="17"/>
                  <w:color w:val="0000EE"/>
                  <w:w w:val="92"/>
                </w:rPr>
                <w:t>Convertible Loan Note Instrument relating to Mereo BioPharma Group plc, dated June 3, 2016, by Mereo BioPharma Group plc,</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0" w:type="dxa"/>
            <w:vAlign w:val="bottom"/>
            <w:gridSpan w:val="29"/>
          </w:tcPr>
          <w:p>
            <w:pPr>
              <w:spacing w:after="0" w:line="187" w:lineRule="exact"/>
              <w:rPr>
                <w:rFonts w:ascii="Arial" w:cs="Arial" w:eastAsia="Arial" w:hAnsi="Arial"/>
                <w:sz w:val="17"/>
                <w:szCs w:val="17"/>
                <w:color w:val="0000EE"/>
                <w:w w:val="94"/>
              </w:rPr>
            </w:pPr>
            <w:hyperlink r:id="rId328">
              <w:r>
                <w:rPr>
                  <w:rFonts w:ascii="Arial" w:cs="Arial" w:eastAsia="Arial" w:hAnsi="Arial"/>
                  <w:sz w:val="17"/>
                  <w:szCs w:val="17"/>
                  <w:color w:val="0000EE"/>
                  <w:w w:val="94"/>
                </w:rPr>
                <w:t>including Deeds of Amendment thereto, between Mereo BioPharma Group plc and Novartis Pharma AG (incorporated into this Form</w:t>
              </w:r>
            </w:hyperlink>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20" w:type="dxa"/>
            <w:vAlign w:val="bottom"/>
            <w:tcBorders>
              <w:top w:val="single" w:sz="8" w:color="0000EE"/>
            </w:tcBorders>
            <w:gridSpan w:val="24"/>
          </w:tcPr>
          <w:p>
            <w:pPr>
              <w:spacing w:after="0" w:line="187" w:lineRule="exact"/>
              <w:rPr>
                <w:rFonts w:ascii="Arial" w:cs="Arial" w:eastAsia="Arial" w:hAnsi="Arial"/>
                <w:sz w:val="17"/>
                <w:szCs w:val="17"/>
                <w:color w:val="0000EE"/>
              </w:rPr>
            </w:pPr>
            <w:hyperlink r:id="rId328">
              <w:r>
                <w:rPr>
                  <w:rFonts w:ascii="Arial" w:cs="Arial" w:eastAsia="Arial" w:hAnsi="Arial"/>
                  <w:sz w:val="17"/>
                  <w:szCs w:val="17"/>
                  <w:color w:val="0000EE"/>
                </w:rPr>
                <w:t>20-F by reference to Mereo’s Form F-4 filed January 25, 2019 (File No. 333-229351)).</w:t>
              </w:r>
            </w:hyperlink>
          </w:p>
        </w:tc>
        <w:tc>
          <w:tcPr>
            <w:tcW w:w="1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 w:type="dxa"/>
            <w:vAlign w:val="bottom"/>
            <w:gridSpan w:val="2"/>
          </w:tcPr>
          <w:p>
            <w:pPr>
              <w:ind w:left="80"/>
              <w:spacing w:after="0"/>
              <w:rPr>
                <w:sz w:val="20"/>
                <w:szCs w:val="20"/>
                <w:color w:val="auto"/>
              </w:rPr>
            </w:pPr>
            <w:r>
              <w:rPr>
                <w:rFonts w:ascii="Arial" w:cs="Arial" w:eastAsia="Arial" w:hAnsi="Arial"/>
                <w:sz w:val="17"/>
                <w:szCs w:val="17"/>
                <w:color w:val="auto"/>
              </w:rPr>
              <w:t>4.16</w:t>
            </w:r>
          </w:p>
        </w:tc>
        <w:tc>
          <w:tcPr>
            <w:tcW w:w="560" w:type="dxa"/>
            <w:vAlign w:val="bottom"/>
          </w:tcPr>
          <w:p>
            <w:pPr>
              <w:spacing w:after="0"/>
              <w:rPr>
                <w:sz w:val="24"/>
                <w:szCs w:val="24"/>
                <w:color w:val="auto"/>
              </w:rPr>
            </w:pPr>
          </w:p>
        </w:tc>
        <w:tc>
          <w:tcPr>
            <w:tcW w:w="9160" w:type="dxa"/>
            <w:vAlign w:val="bottom"/>
            <w:tcBorders>
              <w:bottom w:val="single" w:sz="8" w:color="0000EE"/>
            </w:tcBorders>
            <w:gridSpan w:val="23"/>
          </w:tcPr>
          <w:p>
            <w:pPr>
              <w:spacing w:after="0"/>
              <w:rPr>
                <w:rFonts w:ascii="Arial" w:cs="Arial" w:eastAsia="Arial" w:hAnsi="Arial"/>
                <w:sz w:val="17"/>
                <w:szCs w:val="17"/>
                <w:color w:val="0000EE"/>
                <w:w w:val="91"/>
              </w:rPr>
            </w:pPr>
            <w:hyperlink r:id="rId329">
              <w:r>
                <w:rPr>
                  <w:rFonts w:ascii="Arial" w:cs="Arial" w:eastAsia="Arial" w:hAnsi="Arial"/>
                  <w:sz w:val="17"/>
                  <w:szCs w:val="17"/>
                  <w:color w:val="0000EE"/>
                  <w:w w:val="91"/>
                </w:rPr>
                <w:t>Form of Contingent Value Rights Agreement by and between Computershare, Inc., as rights agent, and Mereo BioPharma Group plc</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0" w:type="dxa"/>
            <w:vAlign w:val="bottom"/>
            <w:gridSpan w:val="29"/>
          </w:tcPr>
          <w:p>
            <w:pPr>
              <w:spacing w:after="0" w:line="187" w:lineRule="exact"/>
              <w:rPr>
                <w:rFonts w:ascii="Arial" w:cs="Arial" w:eastAsia="Arial" w:hAnsi="Arial"/>
                <w:sz w:val="17"/>
                <w:szCs w:val="17"/>
                <w:color w:val="0000EE"/>
              </w:rPr>
            </w:pPr>
            <w:hyperlink r:id="rId329">
              <w:r>
                <w:rPr>
                  <w:rFonts w:ascii="Arial" w:cs="Arial" w:eastAsia="Arial" w:hAnsi="Arial"/>
                  <w:sz w:val="17"/>
                  <w:szCs w:val="17"/>
                  <w:color w:val="0000EE"/>
                </w:rPr>
                <w:t>(incorporated into this Form 20-F by reference to Mereo’s Form F-4/A filed March 15, 2019 (File No. 333-229351)).</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 w:type="dxa"/>
            <w:vAlign w:val="bottom"/>
            <w:gridSpan w:val="2"/>
          </w:tcPr>
          <w:p>
            <w:pPr>
              <w:ind w:left="80"/>
              <w:spacing w:after="0"/>
              <w:rPr>
                <w:sz w:val="20"/>
                <w:szCs w:val="20"/>
                <w:color w:val="auto"/>
              </w:rPr>
            </w:pPr>
            <w:r>
              <w:rPr>
                <w:rFonts w:ascii="Arial" w:cs="Arial" w:eastAsia="Arial" w:hAnsi="Arial"/>
                <w:sz w:val="17"/>
                <w:szCs w:val="17"/>
                <w:color w:val="auto"/>
              </w:rPr>
              <w:t>4.17</w:t>
            </w:r>
          </w:p>
        </w:tc>
        <w:tc>
          <w:tcPr>
            <w:tcW w:w="560" w:type="dxa"/>
            <w:vAlign w:val="bottom"/>
          </w:tcPr>
          <w:p>
            <w:pPr>
              <w:spacing w:after="0"/>
              <w:rPr>
                <w:sz w:val="24"/>
                <w:szCs w:val="24"/>
                <w:color w:val="auto"/>
              </w:rPr>
            </w:pPr>
          </w:p>
        </w:tc>
        <w:tc>
          <w:tcPr>
            <w:tcW w:w="9400" w:type="dxa"/>
            <w:vAlign w:val="bottom"/>
            <w:gridSpan w:val="29"/>
          </w:tcPr>
          <w:p>
            <w:pPr>
              <w:spacing w:after="0"/>
              <w:rPr>
                <w:rFonts w:ascii="Arial" w:cs="Arial" w:eastAsia="Arial" w:hAnsi="Arial"/>
                <w:sz w:val="17"/>
                <w:szCs w:val="17"/>
                <w:color w:val="0000EE"/>
                <w:w w:val="96"/>
              </w:rPr>
            </w:pPr>
            <w:hyperlink r:id="rId330">
              <w:r>
                <w:rPr>
                  <w:rFonts w:ascii="Arial" w:cs="Arial" w:eastAsia="Arial" w:hAnsi="Arial"/>
                  <w:sz w:val="17"/>
                  <w:szCs w:val="17"/>
                  <w:color w:val="0000EE"/>
                  <w:w w:val="96"/>
                </w:rPr>
                <w:t>Contingent Value Rights Agreement, dated March 14, 2019, by and between Computershare, Inc., as rights agent, and OncoMed</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0" w:type="dxa"/>
            <w:vAlign w:val="bottom"/>
            <w:gridSpan w:val="29"/>
          </w:tcPr>
          <w:p>
            <w:pPr>
              <w:spacing w:after="0" w:line="187" w:lineRule="exact"/>
              <w:rPr>
                <w:rFonts w:ascii="Arial" w:cs="Arial" w:eastAsia="Arial" w:hAnsi="Arial"/>
                <w:sz w:val="17"/>
                <w:szCs w:val="17"/>
                <w:color w:val="0000EE"/>
                <w:w w:val="97"/>
              </w:rPr>
            </w:pPr>
            <w:hyperlink r:id="rId330">
              <w:r>
                <w:rPr>
                  <w:rFonts w:ascii="Arial" w:cs="Arial" w:eastAsia="Arial" w:hAnsi="Arial"/>
                  <w:sz w:val="17"/>
                  <w:szCs w:val="17"/>
                  <w:color w:val="0000EE"/>
                  <w:w w:val="97"/>
                </w:rPr>
                <w:t>Pharmaceuticals, Inc. (incorporated into this Form 20-F by reference to OncoMed’s Form 8-K filed March 15, 2019 (File No. 001-</w:t>
              </w:r>
            </w:hyperlink>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Borders>
              <w:top w:val="single" w:sz="8" w:color="0000EE"/>
              <w:bottom w:val="single" w:sz="8" w:color="0000EE"/>
            </w:tcBorders>
          </w:tcPr>
          <w:p>
            <w:pPr>
              <w:spacing w:after="0" w:line="187" w:lineRule="exact"/>
              <w:rPr>
                <w:rFonts w:ascii="Arial" w:cs="Arial" w:eastAsia="Arial" w:hAnsi="Arial"/>
                <w:sz w:val="17"/>
                <w:szCs w:val="17"/>
                <w:color w:val="0000EE"/>
                <w:w w:val="91"/>
              </w:rPr>
            </w:pPr>
            <w:hyperlink r:id="rId330">
              <w:r>
                <w:rPr>
                  <w:rFonts w:ascii="Arial" w:cs="Arial" w:eastAsia="Arial" w:hAnsi="Arial"/>
                  <w:sz w:val="17"/>
                  <w:szCs w:val="17"/>
                  <w:color w:val="0000EE"/>
                  <w:w w:val="91"/>
                </w:rPr>
                <w:t>35993)</w:t>
              </w:r>
              <w:r>
                <w:rPr>
                  <w:rFonts w:ascii="Arial" w:cs="Arial" w:eastAsia="Arial" w:hAnsi="Arial"/>
                  <w:sz w:val="17"/>
                  <w:szCs w:val="17"/>
                  <w:u w:val="single" w:color="auto"/>
                  <w:color w:val="0000EE"/>
                  <w:w w:val="91"/>
                </w:rPr>
                <w:t>)</w:t>
              </w:r>
              <w:r>
                <w:rPr>
                  <w:rFonts w:ascii="Arial" w:cs="Arial" w:eastAsia="Arial" w:hAnsi="Arial"/>
                  <w:sz w:val="17"/>
                  <w:szCs w:val="17"/>
                  <w:color w:val="0000EE"/>
                  <w:w w:val="91"/>
                </w:rPr>
                <w:t>.</w:t>
              </w:r>
            </w:hyperlink>
          </w:p>
        </w:tc>
        <w:tc>
          <w:tcPr>
            <w:tcW w:w="212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100" w:type="dxa"/>
            <w:vAlign w:val="bottom"/>
            <w:gridSpan w:val="3"/>
          </w:tcPr>
          <w:p>
            <w:pPr>
              <w:ind w:left="80"/>
              <w:spacing w:after="0"/>
              <w:rPr>
                <w:sz w:val="20"/>
                <w:szCs w:val="20"/>
                <w:color w:val="auto"/>
              </w:rPr>
            </w:pPr>
            <w:r>
              <w:rPr>
                <w:rFonts w:ascii="Arial" w:cs="Arial" w:eastAsia="Arial" w:hAnsi="Arial"/>
                <w:sz w:val="17"/>
                <w:szCs w:val="17"/>
                <w:color w:val="auto"/>
              </w:rPr>
              <w:t>4.17.1*</w:t>
            </w:r>
          </w:p>
        </w:tc>
        <w:tc>
          <w:tcPr>
            <w:tcW w:w="9140" w:type="dxa"/>
            <w:vAlign w:val="bottom"/>
            <w:tcBorders>
              <w:bottom w:val="single" w:sz="8" w:color="0000EE"/>
            </w:tcBorders>
            <w:gridSpan w:val="22"/>
          </w:tcPr>
          <w:p>
            <w:pPr>
              <w:spacing w:after="0"/>
              <w:rPr>
                <w:sz w:val="20"/>
                <w:szCs w:val="20"/>
                <w:color w:val="auto"/>
              </w:rPr>
            </w:pPr>
            <w:r>
              <w:rPr>
                <w:rFonts w:ascii="Arial" w:cs="Arial" w:eastAsia="Arial" w:hAnsi="Arial"/>
                <w:sz w:val="17"/>
                <w:szCs w:val="17"/>
                <w:color w:val="0000EE"/>
                <w:w w:val="91"/>
              </w:rPr>
              <w:t>Amendment Number One to the Contingent Value Rights Agreement, dated April 15, 2019, by and between Computershare, Inc., as</w:t>
            </w:r>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0" w:type="dxa"/>
            <w:vAlign w:val="bottom"/>
            <w:gridSpan w:val="29"/>
          </w:tcPr>
          <w:p>
            <w:pPr>
              <w:spacing w:after="0" w:line="187" w:lineRule="exact"/>
              <w:rPr>
                <w:sz w:val="20"/>
                <w:szCs w:val="20"/>
                <w:color w:val="auto"/>
              </w:rPr>
            </w:pPr>
            <w:r>
              <w:rPr>
                <w:rFonts w:ascii="Arial" w:cs="Arial" w:eastAsia="Arial" w:hAnsi="Arial"/>
                <w:sz w:val="17"/>
                <w:szCs w:val="17"/>
                <w:color w:val="0000EE"/>
              </w:rPr>
              <w:t>rights agent, and OncoMed Pharmaceuticals, Inc.</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7"/>
                <w:szCs w:val="17"/>
                <w:color w:val="auto"/>
              </w:rPr>
              <w:t>4.18†</w:t>
            </w:r>
          </w:p>
        </w:tc>
        <w:tc>
          <w:tcPr>
            <w:tcW w:w="9400" w:type="dxa"/>
            <w:vAlign w:val="bottom"/>
            <w:gridSpan w:val="29"/>
          </w:tcPr>
          <w:p>
            <w:pPr>
              <w:spacing w:after="0"/>
              <w:rPr>
                <w:rFonts w:ascii="Arial" w:cs="Arial" w:eastAsia="Arial" w:hAnsi="Arial"/>
                <w:sz w:val="17"/>
                <w:szCs w:val="17"/>
                <w:color w:val="0000EE"/>
                <w:w w:val="93"/>
              </w:rPr>
            </w:pPr>
            <w:hyperlink r:id="rId331">
              <w:r>
                <w:rPr>
                  <w:rFonts w:ascii="Arial" w:cs="Arial" w:eastAsia="Arial" w:hAnsi="Arial"/>
                  <w:sz w:val="17"/>
                  <w:szCs w:val="17"/>
                  <w:color w:val="0000EE"/>
                  <w:w w:val="93"/>
                </w:rPr>
                <w:t>Master Research and Collaboration Agreement, dated December 2, 2013, by and between OncoMed Pharmaceuticals, Inc., Celgene</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0" w:type="dxa"/>
            <w:vAlign w:val="bottom"/>
            <w:tcBorders>
              <w:bottom w:val="single" w:sz="8" w:color="0000EE"/>
            </w:tcBorders>
            <w:gridSpan w:val="29"/>
          </w:tcPr>
          <w:p>
            <w:pPr>
              <w:spacing w:after="0" w:line="187" w:lineRule="exact"/>
              <w:rPr>
                <w:rFonts w:ascii="Arial" w:cs="Arial" w:eastAsia="Arial" w:hAnsi="Arial"/>
                <w:sz w:val="17"/>
                <w:szCs w:val="17"/>
                <w:color w:val="0000EE"/>
                <w:w w:val="93"/>
              </w:rPr>
            </w:pPr>
            <w:hyperlink r:id="rId331">
              <w:r>
                <w:rPr>
                  <w:rFonts w:ascii="Arial" w:cs="Arial" w:eastAsia="Arial" w:hAnsi="Arial"/>
                  <w:sz w:val="17"/>
                  <w:szCs w:val="17"/>
                  <w:color w:val="0000EE"/>
                  <w:w w:val="93"/>
                </w:rPr>
                <w:t>Corporation and Celgene Alpine Investment Company II, LLC (incorporated into this Form 20-F by reference to OncoMed’s 10-K filed</w:t>
              </w:r>
            </w:hyperlink>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tcBorders>
              <w:bottom w:val="single" w:sz="8" w:color="0000EE"/>
            </w:tcBorders>
            <w:gridSpan w:val="2"/>
          </w:tcPr>
          <w:p>
            <w:pPr>
              <w:spacing w:after="0" w:line="187" w:lineRule="exact"/>
              <w:rPr>
                <w:rFonts w:ascii="Arial" w:cs="Arial" w:eastAsia="Arial" w:hAnsi="Arial"/>
                <w:sz w:val="17"/>
                <w:szCs w:val="17"/>
                <w:color w:val="0000EE"/>
                <w:w w:val="93"/>
              </w:rPr>
            </w:pPr>
            <w:hyperlink r:id="rId331">
              <w:r>
                <w:rPr>
                  <w:rFonts w:ascii="Arial" w:cs="Arial" w:eastAsia="Arial" w:hAnsi="Arial"/>
                  <w:sz w:val="17"/>
                  <w:szCs w:val="17"/>
                  <w:color w:val="0000EE"/>
                  <w:w w:val="93"/>
                </w:rPr>
                <w:t>March 18, 2014 (File No. 001-35993)).</w:t>
              </w:r>
            </w:hyperlink>
          </w:p>
        </w:tc>
        <w:tc>
          <w:tcPr>
            <w:tcW w:w="6680" w:type="dxa"/>
            <w:vAlign w:val="bottom"/>
            <w:gridSpan w:val="27"/>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40" w:type="dxa"/>
            <w:vAlign w:val="bottom"/>
            <w:gridSpan w:val="2"/>
          </w:tcPr>
          <w:p>
            <w:pPr>
              <w:ind w:left="80"/>
              <w:spacing w:after="0"/>
              <w:rPr>
                <w:sz w:val="20"/>
                <w:szCs w:val="20"/>
                <w:color w:val="auto"/>
              </w:rPr>
            </w:pPr>
            <w:r>
              <w:rPr>
                <w:rFonts w:ascii="Arial" w:cs="Arial" w:eastAsia="Arial" w:hAnsi="Arial"/>
                <w:sz w:val="17"/>
                <w:szCs w:val="17"/>
                <w:color w:val="auto"/>
              </w:rPr>
              <w:t>4.19*</w:t>
            </w:r>
          </w:p>
        </w:tc>
        <w:tc>
          <w:tcPr>
            <w:tcW w:w="560" w:type="dxa"/>
            <w:vAlign w:val="bottom"/>
          </w:tcPr>
          <w:p>
            <w:pPr>
              <w:spacing w:after="0"/>
              <w:rPr>
                <w:sz w:val="24"/>
                <w:szCs w:val="24"/>
                <w:color w:val="auto"/>
              </w:rPr>
            </w:pPr>
          </w:p>
        </w:tc>
        <w:tc>
          <w:tcPr>
            <w:tcW w:w="7040" w:type="dxa"/>
            <w:vAlign w:val="bottom"/>
            <w:tcBorders>
              <w:bottom w:val="single" w:sz="8" w:color="0000EE"/>
            </w:tcBorders>
            <w:gridSpan w:val="12"/>
          </w:tcPr>
          <w:p>
            <w:pPr>
              <w:spacing w:after="0"/>
              <w:rPr>
                <w:sz w:val="20"/>
                <w:szCs w:val="20"/>
                <w:color w:val="auto"/>
              </w:rPr>
            </w:pPr>
            <w:r>
              <w:rPr>
                <w:rFonts w:ascii="Arial" w:cs="Arial" w:eastAsia="Arial" w:hAnsi="Arial"/>
                <w:sz w:val="17"/>
                <w:szCs w:val="17"/>
                <w:color w:val="0000EE"/>
                <w:w w:val="93"/>
              </w:rPr>
              <w:t>Form of Letter of Appointment for members of the board of directors of Mereo BioPharma Group plc</w:t>
            </w:r>
          </w:p>
        </w:tc>
        <w:tc>
          <w:tcPr>
            <w:tcW w:w="23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40" w:type="dxa"/>
            <w:vAlign w:val="bottom"/>
            <w:gridSpan w:val="2"/>
          </w:tcPr>
          <w:p>
            <w:pPr>
              <w:ind w:left="80"/>
              <w:spacing w:after="0"/>
              <w:rPr>
                <w:sz w:val="20"/>
                <w:szCs w:val="20"/>
                <w:color w:val="auto"/>
              </w:rPr>
            </w:pPr>
            <w:r>
              <w:rPr>
                <w:rFonts w:ascii="Arial" w:cs="Arial" w:eastAsia="Arial" w:hAnsi="Arial"/>
                <w:sz w:val="17"/>
                <w:szCs w:val="17"/>
                <w:color w:val="auto"/>
              </w:rPr>
              <w:t>8.1*</w:t>
            </w:r>
          </w:p>
        </w:tc>
        <w:tc>
          <w:tcPr>
            <w:tcW w:w="560" w:type="dxa"/>
            <w:vAlign w:val="bottom"/>
          </w:tcPr>
          <w:p>
            <w:pPr>
              <w:spacing w:after="0"/>
              <w:rPr>
                <w:sz w:val="24"/>
                <w:szCs w:val="24"/>
                <w:color w:val="auto"/>
              </w:rPr>
            </w:pPr>
          </w:p>
        </w:tc>
        <w:tc>
          <w:tcPr>
            <w:tcW w:w="9400" w:type="dxa"/>
            <w:vAlign w:val="bottom"/>
            <w:gridSpan w:val="29"/>
          </w:tcPr>
          <w:p>
            <w:pPr>
              <w:spacing w:after="0"/>
              <w:rPr>
                <w:sz w:val="20"/>
                <w:szCs w:val="20"/>
                <w:color w:val="auto"/>
              </w:rPr>
            </w:pPr>
            <w:r>
              <w:rPr>
                <w:rFonts w:ascii="Arial" w:cs="Arial" w:eastAsia="Arial" w:hAnsi="Arial"/>
                <w:sz w:val="17"/>
                <w:szCs w:val="17"/>
                <w:color w:val="0000EE"/>
              </w:rPr>
              <w:t>List of Subsidiaries of Mereo BioPharma Group plc</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10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 w:type="dxa"/>
            <w:vAlign w:val="bottom"/>
            <w:gridSpan w:val="2"/>
          </w:tcPr>
          <w:p>
            <w:pPr>
              <w:spacing w:after="0"/>
              <w:rPr>
                <w:sz w:val="20"/>
                <w:szCs w:val="20"/>
                <w:color w:val="auto"/>
              </w:rPr>
            </w:pPr>
            <w:r>
              <w:rPr>
                <w:rFonts w:ascii="Arial" w:cs="Arial" w:eastAsia="Arial" w:hAnsi="Arial"/>
                <w:sz w:val="17"/>
                <w:szCs w:val="17"/>
                <w:color w:val="auto"/>
              </w:rPr>
              <w:t>12.1*</w:t>
            </w:r>
          </w:p>
        </w:tc>
        <w:tc>
          <w:tcPr>
            <w:tcW w:w="560" w:type="dxa"/>
            <w:vAlign w:val="bottom"/>
          </w:tcPr>
          <w:p>
            <w:pPr>
              <w:spacing w:after="0"/>
              <w:rPr>
                <w:sz w:val="24"/>
                <w:szCs w:val="24"/>
                <w:color w:val="auto"/>
              </w:rPr>
            </w:pPr>
          </w:p>
        </w:tc>
        <w:tc>
          <w:tcPr>
            <w:tcW w:w="508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3"/>
              </w:rPr>
              <w:t>Certification Pursuant to Section 302 of the Sarbanes-Oxley Act of 2002</w:t>
            </w:r>
          </w:p>
        </w:tc>
        <w:tc>
          <w:tcPr>
            <w:tcW w:w="43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40" w:type="dxa"/>
            <w:vAlign w:val="bottom"/>
            <w:gridSpan w:val="2"/>
          </w:tcPr>
          <w:p>
            <w:pPr>
              <w:spacing w:after="0"/>
              <w:rPr>
                <w:sz w:val="20"/>
                <w:szCs w:val="20"/>
                <w:color w:val="auto"/>
              </w:rPr>
            </w:pPr>
            <w:r>
              <w:rPr>
                <w:rFonts w:ascii="Arial" w:cs="Arial" w:eastAsia="Arial" w:hAnsi="Arial"/>
                <w:sz w:val="17"/>
                <w:szCs w:val="17"/>
                <w:color w:val="auto"/>
              </w:rPr>
              <w:t>12.2*</w:t>
            </w:r>
          </w:p>
        </w:tc>
        <w:tc>
          <w:tcPr>
            <w:tcW w:w="560" w:type="dxa"/>
            <w:vAlign w:val="bottom"/>
          </w:tcPr>
          <w:p>
            <w:pPr>
              <w:spacing w:after="0"/>
              <w:rPr>
                <w:sz w:val="24"/>
                <w:szCs w:val="24"/>
                <w:color w:val="auto"/>
              </w:rPr>
            </w:pPr>
          </w:p>
        </w:tc>
        <w:tc>
          <w:tcPr>
            <w:tcW w:w="502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2"/>
              </w:rPr>
              <w:t>Certification Pursuant to Section 302 of the Sarbanes-Oxley Act of 2002</w:t>
            </w:r>
          </w:p>
        </w:tc>
        <w:tc>
          <w:tcPr>
            <w:tcW w:w="43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40" w:type="dxa"/>
            <w:vAlign w:val="bottom"/>
            <w:gridSpan w:val="2"/>
          </w:tcPr>
          <w:p>
            <w:pPr>
              <w:spacing w:after="0"/>
              <w:rPr>
                <w:sz w:val="20"/>
                <w:szCs w:val="20"/>
                <w:color w:val="auto"/>
              </w:rPr>
            </w:pPr>
            <w:r>
              <w:rPr>
                <w:rFonts w:ascii="Arial" w:cs="Arial" w:eastAsia="Arial" w:hAnsi="Arial"/>
                <w:sz w:val="17"/>
                <w:szCs w:val="17"/>
                <w:color w:val="auto"/>
              </w:rPr>
              <w:t>13.1**</w:t>
            </w:r>
          </w:p>
        </w:tc>
        <w:tc>
          <w:tcPr>
            <w:tcW w:w="560" w:type="dxa"/>
            <w:vAlign w:val="bottom"/>
          </w:tcPr>
          <w:p>
            <w:pPr>
              <w:spacing w:after="0"/>
              <w:rPr>
                <w:sz w:val="24"/>
                <w:szCs w:val="24"/>
                <w:color w:val="auto"/>
              </w:rPr>
            </w:pPr>
          </w:p>
        </w:tc>
        <w:tc>
          <w:tcPr>
            <w:tcW w:w="9400" w:type="dxa"/>
            <w:vAlign w:val="bottom"/>
            <w:gridSpan w:val="29"/>
          </w:tcPr>
          <w:p>
            <w:pPr>
              <w:spacing w:after="0"/>
              <w:rPr>
                <w:sz w:val="20"/>
                <w:szCs w:val="20"/>
                <w:color w:val="auto"/>
              </w:rPr>
            </w:pPr>
            <w:r>
              <w:rPr>
                <w:rFonts w:ascii="Arial" w:cs="Arial" w:eastAsia="Arial" w:hAnsi="Arial"/>
                <w:sz w:val="17"/>
                <w:szCs w:val="17"/>
                <w:color w:val="0000EE"/>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20" w:type="dxa"/>
            <w:vAlign w:val="bottom"/>
            <w:gridSpan w:val="16"/>
            <w:shd w:val="clear" w:color="auto" w:fill="0000EE"/>
          </w:tcPr>
          <w:p>
            <w:pPr>
              <w:spacing w:after="0" w:line="20" w:lineRule="exact"/>
              <w:rPr>
                <w:sz w:val="1"/>
                <w:szCs w:val="1"/>
                <w:color w:val="auto"/>
              </w:rPr>
            </w:pPr>
          </w:p>
        </w:tc>
        <w:tc>
          <w:tcPr>
            <w:tcW w:w="10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 w:type="dxa"/>
            <w:vAlign w:val="bottom"/>
            <w:gridSpan w:val="2"/>
          </w:tcPr>
          <w:p>
            <w:pPr>
              <w:spacing w:after="0"/>
              <w:rPr>
                <w:sz w:val="20"/>
                <w:szCs w:val="20"/>
                <w:color w:val="auto"/>
              </w:rPr>
            </w:pPr>
            <w:r>
              <w:rPr>
                <w:rFonts w:ascii="Arial" w:cs="Arial" w:eastAsia="Arial" w:hAnsi="Arial"/>
                <w:sz w:val="17"/>
                <w:szCs w:val="17"/>
                <w:color w:val="auto"/>
              </w:rPr>
              <w:t>13.2**</w:t>
            </w:r>
          </w:p>
        </w:tc>
        <w:tc>
          <w:tcPr>
            <w:tcW w:w="560" w:type="dxa"/>
            <w:vAlign w:val="bottom"/>
          </w:tcPr>
          <w:p>
            <w:pPr>
              <w:spacing w:after="0"/>
              <w:rPr>
                <w:sz w:val="24"/>
                <w:szCs w:val="24"/>
                <w:color w:val="auto"/>
              </w:rPr>
            </w:pPr>
          </w:p>
        </w:tc>
        <w:tc>
          <w:tcPr>
            <w:tcW w:w="9400" w:type="dxa"/>
            <w:vAlign w:val="bottom"/>
            <w:gridSpan w:val="29"/>
          </w:tcPr>
          <w:p>
            <w:pPr>
              <w:spacing w:after="0"/>
              <w:rPr>
                <w:sz w:val="20"/>
                <w:szCs w:val="20"/>
                <w:color w:val="auto"/>
              </w:rPr>
            </w:pPr>
            <w:r>
              <w:rPr>
                <w:rFonts w:ascii="Arial" w:cs="Arial" w:eastAsia="Arial" w:hAnsi="Arial"/>
                <w:sz w:val="17"/>
                <w:szCs w:val="17"/>
                <w:color w:val="0000EE"/>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320" w:type="dxa"/>
            <w:vAlign w:val="bottom"/>
            <w:gridSpan w:val="16"/>
            <w:shd w:val="clear" w:color="auto" w:fill="0000EE"/>
          </w:tcPr>
          <w:p>
            <w:pPr>
              <w:spacing w:after="0" w:line="20" w:lineRule="exact"/>
              <w:rPr>
                <w:sz w:val="1"/>
                <w:szCs w:val="1"/>
                <w:color w:val="auto"/>
              </w:rPr>
            </w:pPr>
          </w:p>
        </w:tc>
        <w:tc>
          <w:tcPr>
            <w:tcW w:w="10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0" w:type="dxa"/>
            <w:vAlign w:val="bottom"/>
            <w:gridSpan w:val="2"/>
          </w:tcPr>
          <w:p>
            <w:pPr>
              <w:spacing w:after="0"/>
              <w:rPr>
                <w:sz w:val="20"/>
                <w:szCs w:val="20"/>
                <w:color w:val="auto"/>
              </w:rPr>
            </w:pPr>
            <w:r>
              <w:rPr>
                <w:rFonts w:ascii="Arial" w:cs="Arial" w:eastAsia="Arial" w:hAnsi="Arial"/>
                <w:sz w:val="17"/>
                <w:szCs w:val="17"/>
                <w:color w:val="auto"/>
              </w:rPr>
              <w:t>101***</w:t>
            </w:r>
          </w:p>
        </w:tc>
        <w:tc>
          <w:tcPr>
            <w:tcW w:w="560" w:type="dxa"/>
            <w:vAlign w:val="bottom"/>
          </w:tcPr>
          <w:p>
            <w:pPr>
              <w:spacing w:after="0"/>
              <w:rPr>
                <w:sz w:val="24"/>
                <w:szCs w:val="24"/>
                <w:color w:val="auto"/>
              </w:rPr>
            </w:pPr>
          </w:p>
        </w:tc>
        <w:tc>
          <w:tcPr>
            <w:tcW w:w="9400" w:type="dxa"/>
            <w:vAlign w:val="bottom"/>
            <w:gridSpan w:val="29"/>
          </w:tcPr>
          <w:p>
            <w:pPr>
              <w:spacing w:after="0"/>
              <w:rPr>
                <w:sz w:val="20"/>
                <w:szCs w:val="20"/>
                <w:color w:val="auto"/>
              </w:rPr>
            </w:pPr>
            <w:r>
              <w:rPr>
                <w:rFonts w:ascii="Arial" w:cs="Arial" w:eastAsia="Arial" w:hAnsi="Arial"/>
                <w:sz w:val="17"/>
                <w:szCs w:val="17"/>
                <w:color w:val="auto"/>
                <w:w w:val="98"/>
              </w:rPr>
              <w:t>The following materials from this annual report on Form 20-F formatted in XBRL (Extensible Business Reporting Language) are</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0" w:type="dxa"/>
            <w:vAlign w:val="bottom"/>
            <w:gridSpan w:val="29"/>
          </w:tcPr>
          <w:p>
            <w:pPr>
              <w:spacing w:after="0"/>
              <w:rPr>
                <w:sz w:val="20"/>
                <w:szCs w:val="20"/>
                <w:color w:val="auto"/>
              </w:rPr>
            </w:pPr>
            <w:r>
              <w:rPr>
                <w:rFonts w:ascii="Arial" w:cs="Arial" w:eastAsia="Arial" w:hAnsi="Arial"/>
                <w:sz w:val="17"/>
                <w:szCs w:val="17"/>
                <w:color w:val="auto"/>
                <w:w w:val="97"/>
              </w:rPr>
              <w:t>furnished herewith: (i) the Report of Independent Registered Public Accounting Firm, (ii) the consolidated statements of financial</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0" w:type="dxa"/>
            <w:vAlign w:val="bottom"/>
            <w:gridSpan w:val="29"/>
          </w:tcPr>
          <w:p>
            <w:pPr>
              <w:spacing w:after="0"/>
              <w:rPr>
                <w:sz w:val="20"/>
                <w:szCs w:val="20"/>
                <w:color w:val="auto"/>
              </w:rPr>
            </w:pPr>
            <w:r>
              <w:rPr>
                <w:rFonts w:ascii="Arial" w:cs="Arial" w:eastAsia="Arial" w:hAnsi="Arial"/>
                <w:sz w:val="17"/>
                <w:szCs w:val="17"/>
                <w:color w:val="auto"/>
                <w:w w:val="92"/>
              </w:rPr>
              <w:t>position data, (iii) the consolidated statements of comprehensive loss data, (iv) the consolidated statements of changes in shareholders’</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0" w:type="dxa"/>
            <w:vAlign w:val="bottom"/>
            <w:gridSpan w:val="29"/>
          </w:tcPr>
          <w:p>
            <w:pPr>
              <w:spacing w:after="0"/>
              <w:rPr>
                <w:sz w:val="20"/>
                <w:szCs w:val="20"/>
                <w:color w:val="auto"/>
              </w:rPr>
            </w:pPr>
            <w:r>
              <w:rPr>
                <w:rFonts w:ascii="Arial" w:cs="Arial" w:eastAsia="Arial" w:hAnsi="Arial"/>
                <w:sz w:val="17"/>
                <w:szCs w:val="17"/>
                <w:color w:val="auto"/>
                <w:w w:val="92"/>
              </w:rPr>
              <w:t>equity (capital deficiency), (v) the consolidated statements of cash flows, and (vi) the notes to consolidated financial statements, in each</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0" w:type="dxa"/>
            <w:vAlign w:val="bottom"/>
            <w:gridSpan w:val="29"/>
          </w:tcPr>
          <w:p>
            <w:pPr>
              <w:spacing w:after="0"/>
              <w:rPr>
                <w:sz w:val="20"/>
                <w:szCs w:val="20"/>
                <w:color w:val="auto"/>
              </w:rPr>
            </w:pPr>
            <w:r>
              <w:rPr>
                <w:rFonts w:ascii="Arial" w:cs="Arial" w:eastAsia="Arial" w:hAnsi="Arial"/>
                <w:sz w:val="17"/>
                <w:szCs w:val="17"/>
                <w:color w:val="auto"/>
              </w:rPr>
              <w:t>case tagged as blocks of text and in detail.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81915</wp:posOffset>
            </wp:positionV>
            <wp:extent cx="6743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49" w:lineRule="exact"/>
        <w:rPr>
          <w:sz w:val="20"/>
          <w:szCs w:val="20"/>
          <w:color w:val="auto"/>
        </w:rPr>
      </w:pPr>
    </w:p>
    <w:p>
      <w:pPr>
        <w:ind w:left="840" w:hanging="409"/>
        <w:spacing w:after="0"/>
        <w:tabs>
          <w:tab w:leader="none" w:pos="8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4" w:lineRule="exact"/>
        <w:rPr>
          <w:sz w:val="20"/>
          <w:szCs w:val="20"/>
          <w:color w:val="auto"/>
        </w:rPr>
      </w:pPr>
    </w:p>
    <w:p>
      <w:pPr>
        <w:ind w:left="840" w:hanging="409"/>
        <w:spacing w:after="0"/>
        <w:tabs>
          <w:tab w:leader="none" w:pos="8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11" w:lineRule="exact"/>
        <w:rPr>
          <w:rFonts w:ascii="Arial" w:cs="Arial" w:eastAsia="Arial" w:hAnsi="Arial"/>
          <w:sz w:val="17"/>
          <w:szCs w:val="17"/>
          <w:color w:val="auto"/>
        </w:rPr>
      </w:pPr>
    </w:p>
    <w:p>
      <w:pPr>
        <w:ind w:left="840" w:hanging="409"/>
        <w:spacing w:after="0"/>
        <w:tabs>
          <w:tab w:leader="none" w:pos="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be filed by amendment within 30 days of April 29, 2019</w:t>
      </w:r>
    </w:p>
    <w:p>
      <w:pPr>
        <w:spacing w:after="0" w:line="12" w:lineRule="exact"/>
        <w:rPr>
          <w:sz w:val="20"/>
          <w:szCs w:val="20"/>
          <w:color w:val="auto"/>
        </w:rPr>
      </w:pPr>
    </w:p>
    <w:p>
      <w:pPr>
        <w:ind w:left="5580" w:right="1140" w:hanging="5149"/>
        <w:spacing w:after="0" w:line="443" w:lineRule="auto"/>
        <w:tabs>
          <w:tab w:leader="none" w:pos="84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Portions of this exhibit are subject to a previously filed confidential treatment order pursuant to Rule 406 under the Securities Act 167</w:t>
      </w:r>
    </w:p>
    <w:p>
      <w:pPr>
        <w:sectPr>
          <w:pgSz w:w="11900" w:h="16838" w:orient="portrait"/>
          <w:cols w:equalWidth="0" w:num="1">
            <w:col w:w="10940"/>
          </w:cols>
          <w:pgMar w:left="240" w:top="446" w:right="71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ind w:left="440" w:firstLine="423"/>
        <w:spacing w:after="0" w:line="284" w:lineRule="auto"/>
        <w:rPr>
          <w:sz w:val="20"/>
          <w:szCs w:val="20"/>
          <w:color w:val="auto"/>
        </w:rPr>
      </w:pPr>
      <w:r>
        <w:rPr>
          <w:rFonts w:ascii="Arial" w:cs="Arial" w:eastAsia="Arial" w:hAnsi="Arial"/>
          <w:sz w:val="17"/>
          <w:szCs w:val="17"/>
          <w:color w:val="auto"/>
        </w:rPr>
        <w:t>Mereo BioPharma Group plc hereby certifies that it meets all of the requirements for filing on Form 20-F and that it has duly caused and authorized the undersigned to sign this annual report on its behalf.</w:t>
      </w:r>
    </w:p>
    <w:p>
      <w:pPr>
        <w:spacing w:after="0" w:line="18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MEREO BIOPHARMA GROUP PLC</w:t>
      </w:r>
    </w:p>
    <w:p>
      <w:pPr>
        <w:spacing w:after="0" w:line="219"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15240</wp:posOffset>
            </wp:positionV>
            <wp:extent cx="24834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2483485" cy="8255"/>
                    </a:xfrm>
                    <a:prstGeom prst="rect">
                      <a:avLst/>
                    </a:prstGeom>
                    <a:noFill/>
                  </pic:spPr>
                </pic:pic>
              </a:graphicData>
            </a:graphic>
          </wp:anchor>
        </w:drawing>
      </w:r>
    </w:p>
    <w:p>
      <w:pPr>
        <w:spacing w:after="0" w:line="18"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Name: Denise Scots-Knight</w:t>
      </w:r>
    </w:p>
    <w:p>
      <w:pPr>
        <w:spacing w:after="0" w:line="24" w:lineRule="exact"/>
        <w:rPr>
          <w:sz w:val="20"/>
          <w:szCs w:val="20"/>
          <w:color w:val="auto"/>
        </w:rPr>
      </w:pPr>
    </w:p>
    <w:p>
      <w:pPr>
        <w:ind w:left="7080"/>
        <w:spacing w:after="0"/>
        <w:tabs>
          <w:tab w:leader="none" w:pos="76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Chief Executive Officer</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Date: April 29, 2019</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280"/>
          </w:cols>
          <w:pgMar w:left="240" w:top="445" w:right="1379" w:bottom="1440" w:gutter="0" w:footer="0" w:header="0"/>
        </w:sectPr>
      </w:pPr>
    </w:p>
    <w:bookmarkStart w:id="214" w:name="page215"/>
    <w:bookmarkEnd w:id="214"/>
    <w:p>
      <w:pPr>
        <w:jc w:val="right"/>
        <w:spacing w:after="0"/>
        <w:rPr>
          <w:sz w:val="20"/>
          <w:szCs w:val="20"/>
          <w:color w:val="auto"/>
        </w:rPr>
      </w:pPr>
      <w:r>
        <w:rPr>
          <w:rFonts w:ascii="Arial" w:cs="Arial" w:eastAsia="Arial" w:hAnsi="Arial"/>
          <w:sz w:val="17"/>
          <w:szCs w:val="17"/>
          <w:b w:val="1"/>
          <w:bCs w:val="1"/>
          <w:color w:val="auto"/>
        </w:rPr>
        <w:t>Exhibit 4.7</w:t>
      </w:r>
    </w:p>
    <w:p>
      <w:pPr>
        <w:spacing w:after="0" w:line="219"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MEREO BIOPHARMA GROUP PLC</w:t>
      </w:r>
    </w:p>
    <w:p>
      <w:pPr>
        <w:spacing w:after="0" w:line="30"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2019 EQUITY INCENTIVE PLAN</w:t>
      </w:r>
    </w:p>
    <w:p>
      <w:pPr>
        <w:spacing w:after="0" w:line="200" w:lineRule="exact"/>
        <w:rPr>
          <w:sz w:val="20"/>
          <w:szCs w:val="20"/>
          <w:color w:val="auto"/>
        </w:rPr>
      </w:pPr>
    </w:p>
    <w:p>
      <w:pPr>
        <w:ind w:left="9" w:right="160" w:firstLine="423"/>
        <w:spacing w:after="0" w:line="28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Purpose</w:t>
      </w:r>
      <w:r>
        <w:rPr>
          <w:rFonts w:ascii="Arial" w:cs="Arial" w:eastAsia="Arial" w:hAnsi="Arial"/>
          <w:sz w:val="16"/>
          <w:szCs w:val="16"/>
          <w:color w:val="auto"/>
        </w:rPr>
        <w:t>. The purpose of the Mereo Biopharma Group plc 2019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is to motivate and reward those employees of Mereo Biopharma Group plc (the “</w:t>
      </w:r>
      <w:r>
        <w:rPr>
          <w:rFonts w:ascii="Arial" w:cs="Arial" w:eastAsia="Arial" w:hAnsi="Arial"/>
          <w:sz w:val="16"/>
          <w:szCs w:val="16"/>
          <w:b w:val="1"/>
          <w:bCs w:val="1"/>
          <w:color w:val="auto"/>
        </w:rPr>
        <w:t>Company</w:t>
      </w:r>
      <w:r>
        <w:rPr>
          <w:rFonts w:ascii="Arial" w:cs="Arial" w:eastAsia="Arial" w:hAnsi="Arial"/>
          <w:sz w:val="16"/>
          <w:szCs w:val="16"/>
          <w:color w:val="auto"/>
        </w:rPr>
        <w:t>”) and its subsidiaries to perform at the highest level and to further the best interests of the Company and its shareholders. The Plan (excluding any sub-plan of the Plan) is intended to be an employees’ share scheme for the purposes of section 1166 of the UK Companies Act 2006. Capitalized terms not otherwise defined herein are defined in Section 21.</w:t>
      </w:r>
    </w:p>
    <w:p>
      <w:pPr>
        <w:spacing w:after="0" w:line="262" w:lineRule="exact"/>
        <w:rPr>
          <w:sz w:val="20"/>
          <w:szCs w:val="20"/>
          <w:color w:val="auto"/>
        </w:rPr>
      </w:pPr>
    </w:p>
    <w:p>
      <w:pPr>
        <w:ind w:left="429"/>
        <w:spacing w:after="0"/>
        <w:rPr>
          <w:sz w:val="20"/>
          <w:szCs w:val="20"/>
          <w:color w:val="auto"/>
        </w:rPr>
      </w:pPr>
      <w:r>
        <w:rPr>
          <w:rFonts w:ascii="Arial" w:cs="Arial" w:eastAsia="Arial" w:hAnsi="Arial"/>
          <w:sz w:val="17"/>
          <w:szCs w:val="17"/>
          <w:color w:val="auto"/>
        </w:rPr>
        <w:t>Section 2</w:t>
      </w:r>
      <w:r>
        <w:rPr>
          <w:rFonts w:ascii="Arial" w:cs="Arial" w:eastAsia="Arial" w:hAnsi="Arial"/>
          <w:sz w:val="17"/>
          <w:szCs w:val="17"/>
          <w:i w:val="1"/>
          <w:iCs w:val="1"/>
          <w:color w:val="auto"/>
        </w:rPr>
        <w:t>. Eligibility.</w:t>
      </w:r>
    </w:p>
    <w:p>
      <w:pPr>
        <w:spacing w:after="0" w:line="115" w:lineRule="exact"/>
        <w:rPr>
          <w:sz w:val="20"/>
          <w:szCs w:val="20"/>
          <w:color w:val="auto"/>
        </w:rPr>
      </w:pPr>
    </w:p>
    <w:p>
      <w:pPr>
        <w:ind w:left="9" w:right="180" w:firstLine="836"/>
        <w:spacing w:after="0" w:line="284" w:lineRule="auto"/>
        <w:tabs>
          <w:tab w:leader="none" w:pos="120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employee of the Company or any of its subsidiaries (which, for this purpose, must be a subsidiary within the meaning of section 1159 of the UK Companies Act 2006) of the Company) shall be eligible to be selected to receive an Award under the Plan.</w:t>
      </w:r>
    </w:p>
    <w:p>
      <w:pPr>
        <w:spacing w:after="0" w:line="158" w:lineRule="exact"/>
        <w:rPr>
          <w:rFonts w:ascii="Arial" w:cs="Arial" w:eastAsia="Arial" w:hAnsi="Arial"/>
          <w:sz w:val="17"/>
          <w:szCs w:val="17"/>
          <w:color w:val="auto"/>
        </w:rPr>
      </w:pPr>
    </w:p>
    <w:p>
      <w:pPr>
        <w:ind w:left="9" w:right="600" w:firstLine="836"/>
        <w:spacing w:after="0" w:line="284" w:lineRule="auto"/>
        <w:tabs>
          <w:tab w:leader="none" w:pos="122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Holders of equity compensation awards granted by a company acquired by the Company (or whose business is acquired by the Company) or with which the Company combines are eligible for grants of Replacement Awards under the Plan.</w:t>
      </w:r>
    </w:p>
    <w:p>
      <w:pPr>
        <w:spacing w:after="0" w:line="263" w:lineRule="exact"/>
        <w:rPr>
          <w:sz w:val="20"/>
          <w:szCs w:val="20"/>
          <w:color w:val="auto"/>
        </w:rPr>
      </w:pPr>
    </w:p>
    <w:p>
      <w:pPr>
        <w:ind w:left="429"/>
        <w:spacing w:after="0"/>
        <w:rPr>
          <w:sz w:val="20"/>
          <w:szCs w:val="20"/>
          <w:color w:val="auto"/>
        </w:rPr>
      </w:pPr>
      <w:r>
        <w:rPr>
          <w:rFonts w:ascii="Arial" w:cs="Arial" w:eastAsia="Arial" w:hAnsi="Arial"/>
          <w:sz w:val="17"/>
          <w:szCs w:val="17"/>
          <w:color w:val="auto"/>
        </w:rPr>
        <w:t>Section 3</w:t>
      </w:r>
      <w:r>
        <w:rPr>
          <w:rFonts w:ascii="Arial" w:cs="Arial" w:eastAsia="Arial" w:hAnsi="Arial"/>
          <w:sz w:val="17"/>
          <w:szCs w:val="17"/>
          <w:i w:val="1"/>
          <w:iCs w:val="1"/>
          <w:color w:val="auto"/>
        </w:rPr>
        <w:t>. Administration.</w:t>
      </w:r>
    </w:p>
    <w:p>
      <w:pPr>
        <w:spacing w:after="0" w:line="115" w:lineRule="exact"/>
        <w:rPr>
          <w:sz w:val="20"/>
          <w:szCs w:val="20"/>
          <w:color w:val="auto"/>
        </w:rPr>
      </w:pPr>
    </w:p>
    <w:p>
      <w:pPr>
        <w:jc w:val="both"/>
        <w:ind w:left="9" w:right="180" w:firstLine="836"/>
        <w:spacing w:after="0" w:line="269" w:lineRule="auto"/>
        <w:tabs>
          <w:tab w:leader="none" w:pos="1215"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Plan shall be administered by the Committee. The Committee may designate one or more directors as a subcommittee who may act for the Committee if necessary to satisfy the requirements of this Section. The Committee may issue rules and regulations for administration of the Plan.</w:t>
      </w:r>
    </w:p>
    <w:p>
      <w:pPr>
        <w:spacing w:after="0" w:line="171" w:lineRule="exact"/>
        <w:rPr>
          <w:rFonts w:ascii="Arial" w:cs="Arial" w:eastAsia="Arial" w:hAnsi="Arial"/>
          <w:sz w:val="17"/>
          <w:szCs w:val="17"/>
          <w:color w:val="auto"/>
        </w:rPr>
      </w:pPr>
    </w:p>
    <w:p>
      <w:pPr>
        <w:jc w:val="both"/>
        <w:ind w:left="9" w:right="40" w:firstLine="836"/>
        <w:spacing w:after="0" w:line="294" w:lineRule="auto"/>
        <w:tabs>
          <w:tab w:leader="none" w:pos="1228" w:val="left"/>
        </w:tabs>
        <w:numPr>
          <w:ilvl w:val="1"/>
          <w:numId w:val="141"/>
        </w:numPr>
        <w:rPr>
          <w:rFonts w:ascii="Arial" w:cs="Arial" w:eastAsia="Arial" w:hAnsi="Arial"/>
          <w:sz w:val="15"/>
          <w:szCs w:val="15"/>
          <w:color w:val="auto"/>
        </w:rPr>
      </w:pPr>
      <w:r>
        <w:rPr>
          <w:rFonts w:ascii="Arial" w:cs="Arial" w:eastAsia="Arial" w:hAnsi="Arial"/>
          <w:sz w:val="15"/>
          <w:szCs w:val="15"/>
          <w:color w:val="auto"/>
        </w:rPr>
        <w:t>Subject to the terms of the Plan and applicable law, the Committee (or its delegate) shall have full power and authority to: (i) designate Participants; (ii) determine the type or types of Awards (including Replacement Awards) to be granted to each Participant under the Plan; (iii) determine the number of Shares to be covered by (or with respect to which payments, rights or other matters are to be calculated in connection with) Awards;</w:t>
      </w:r>
    </w:p>
    <w:p>
      <w:pPr>
        <w:ind w:left="9" w:right="280" w:hanging="9"/>
        <w:spacing w:after="0" w:line="288" w:lineRule="auto"/>
        <w:tabs>
          <w:tab w:leader="none" w:pos="302" w:val="left"/>
        </w:tabs>
        <w:numPr>
          <w:ilvl w:val="0"/>
          <w:numId w:val="142"/>
        </w:numPr>
        <w:rPr>
          <w:rFonts w:ascii="Arial" w:cs="Arial" w:eastAsia="Arial" w:hAnsi="Arial"/>
          <w:sz w:val="15"/>
          <w:szCs w:val="15"/>
          <w:color w:val="auto"/>
        </w:rPr>
      </w:pPr>
      <w:r>
        <w:rPr>
          <w:rFonts w:ascii="Arial" w:cs="Arial" w:eastAsia="Arial" w:hAnsi="Arial"/>
          <w:sz w:val="15"/>
          <w:szCs w:val="15"/>
          <w:color w:val="auto"/>
        </w:rPr>
        <w:t>determine the terms and conditions of any Award; (v) determine whether, to what extent and under what circumstances Awards may be settled or exercised in cash, Shares, other Awards, other property, net settlement (including broker-assisted cashless exercise) or any combination thereof, or canceled, forfeited or suspended, and the method or methods by which Awards may be settled, exercised, canceled, forfeited or suspended;</w:t>
      </w:r>
    </w:p>
    <w:p>
      <w:pPr>
        <w:ind w:left="289" w:hanging="289"/>
        <w:spacing w:after="0"/>
        <w:tabs>
          <w:tab w:leader="none" w:pos="289" w:val="left"/>
        </w:tabs>
        <w:numPr>
          <w:ilvl w:val="0"/>
          <w:numId w:val="143"/>
        </w:numPr>
        <w:rPr>
          <w:rFonts w:ascii="Arial" w:cs="Arial" w:eastAsia="Arial" w:hAnsi="Arial"/>
          <w:sz w:val="17"/>
          <w:szCs w:val="17"/>
          <w:color w:val="auto"/>
        </w:rPr>
      </w:pPr>
      <w:r>
        <w:rPr>
          <w:rFonts w:ascii="Arial" w:cs="Arial" w:eastAsia="Arial" w:hAnsi="Arial"/>
          <w:sz w:val="17"/>
          <w:szCs w:val="17"/>
          <w:color w:val="auto"/>
        </w:rPr>
        <w:t>determine whether, to what extent and under what circumstances cash, Shares, other Awards, other property and other amounts</w:t>
      </w:r>
    </w:p>
    <w:p>
      <w:pPr>
        <w:sectPr>
          <w:pgSz w:w="11900" w:h="16838" w:orient="portrait"/>
          <w:cols w:equalWidth="0" w:num="1">
            <w:col w:w="10569"/>
          </w:cols>
          <w:pgMar w:left="671" w:top="121" w:right="659" w:bottom="1440" w:gutter="0" w:footer="0" w:header="0"/>
        </w:sectPr>
      </w:pPr>
    </w:p>
    <w:bookmarkStart w:id="215" w:name="page216"/>
    <w:bookmarkEnd w:id="215"/>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payable with respect to an Award under the Plan shall be deferred either automatically or at the election of the holder thereof or of the Committee;</w:t>
      </w:r>
    </w:p>
    <w:p>
      <w:pPr>
        <w:spacing w:after="0" w:line="36" w:lineRule="exact"/>
        <w:rPr>
          <w:sz w:val="20"/>
          <w:szCs w:val="20"/>
          <w:color w:val="auto"/>
        </w:rPr>
      </w:pPr>
    </w:p>
    <w:p>
      <w:pPr>
        <w:ind w:left="9" w:right="40" w:hanging="9"/>
        <w:spacing w:after="0" w:line="285" w:lineRule="auto"/>
        <w:tabs>
          <w:tab w:leader="none" w:pos="35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interpret and administer the Plan and any instrument or agreement relating to, or Award made under, the Plan; (viii) establish, amend, suspend or waive such rules and regulations and appoint such agents as it shall deem appropriate for the proper administration of the Plan; and (ix) make any other determination and take any other action that the Committee deems necessary or desirable for the administration of the Plan.</w:t>
      </w:r>
    </w:p>
    <w:p>
      <w:pPr>
        <w:spacing w:after="0" w:line="160" w:lineRule="exact"/>
        <w:rPr>
          <w:rFonts w:ascii="Arial" w:cs="Arial" w:eastAsia="Arial" w:hAnsi="Arial"/>
          <w:sz w:val="16"/>
          <w:szCs w:val="16"/>
          <w:color w:val="auto"/>
        </w:rPr>
      </w:pPr>
    </w:p>
    <w:p>
      <w:pPr>
        <w:ind w:left="9" w:right="260" w:firstLine="836"/>
        <w:spacing w:after="0" w:line="284" w:lineRule="auto"/>
        <w:tabs>
          <w:tab w:leader="none" w:pos="1209" w:val="left"/>
        </w:tabs>
        <w:numPr>
          <w:ilvl w:val="1"/>
          <w:numId w:val="144"/>
        </w:numPr>
        <w:rPr>
          <w:rFonts w:ascii="Arial" w:cs="Arial" w:eastAsia="Arial" w:hAnsi="Arial"/>
          <w:sz w:val="17"/>
          <w:szCs w:val="17"/>
          <w:color w:val="auto"/>
        </w:rPr>
      </w:pPr>
      <w:r>
        <w:rPr>
          <w:rFonts w:ascii="Arial" w:cs="Arial" w:eastAsia="Arial" w:hAnsi="Arial"/>
          <w:sz w:val="17"/>
          <w:szCs w:val="17"/>
          <w:color w:val="auto"/>
        </w:rPr>
        <w:t>All decisions of the Committee shall be final, conclusive and binding upon all parties, including the Company, its shareholders and Participants and any Beneficiaries thereof.</w:t>
      </w:r>
    </w:p>
    <w:p>
      <w:pPr>
        <w:spacing w:after="0" w:line="263" w:lineRule="exact"/>
        <w:rPr>
          <w:sz w:val="20"/>
          <w:szCs w:val="20"/>
          <w:color w:val="auto"/>
        </w:rPr>
      </w:pPr>
    </w:p>
    <w:p>
      <w:pPr>
        <w:ind w:left="429"/>
        <w:spacing w:after="0"/>
        <w:rPr>
          <w:sz w:val="20"/>
          <w:szCs w:val="20"/>
          <w:color w:val="auto"/>
        </w:rPr>
      </w:pPr>
      <w:r>
        <w:rPr>
          <w:rFonts w:ascii="Arial" w:cs="Arial" w:eastAsia="Arial" w:hAnsi="Arial"/>
          <w:sz w:val="17"/>
          <w:szCs w:val="17"/>
          <w:color w:val="auto"/>
        </w:rPr>
        <w:t>Section 4</w:t>
      </w:r>
      <w:r>
        <w:rPr>
          <w:rFonts w:ascii="Arial" w:cs="Arial" w:eastAsia="Arial" w:hAnsi="Arial"/>
          <w:sz w:val="17"/>
          <w:szCs w:val="17"/>
          <w:i w:val="1"/>
          <w:iCs w:val="1"/>
          <w:color w:val="auto"/>
        </w:rPr>
        <w:t>. Shares Available for Awards.</w:t>
      </w:r>
    </w:p>
    <w:p>
      <w:pPr>
        <w:spacing w:after="0" w:line="115" w:lineRule="exact"/>
        <w:rPr>
          <w:sz w:val="20"/>
          <w:szCs w:val="20"/>
          <w:color w:val="auto"/>
        </w:rPr>
      </w:pPr>
    </w:p>
    <w:p>
      <w:pPr>
        <w:ind w:left="9" w:firstLine="836"/>
        <w:spacing w:after="0" w:line="260" w:lineRule="auto"/>
        <w:tabs>
          <w:tab w:leader="none" w:pos="121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Subject to adjustment as provided in Section 4(c), the aggregate number of Shares available for issuance under the Plan and the Mereo Biopharma Group plc 2019 Non-Employee Equity Incentive Plan (which is a sub-plan of the Plan and is attached hereto as </w:t>
      </w:r>
      <w:r>
        <w:rPr>
          <w:rFonts w:ascii="Arial" w:cs="Arial" w:eastAsia="Arial" w:hAnsi="Arial"/>
          <w:sz w:val="17"/>
          <w:szCs w:val="17"/>
          <w:u w:val="single" w:color="auto"/>
          <w:color w:val="auto"/>
        </w:rPr>
        <w:t>Appendix A</w:t>
      </w:r>
      <w:r>
        <w:rPr>
          <w:rFonts w:ascii="Arial" w:cs="Arial" w:eastAsia="Arial" w:hAnsi="Arial"/>
          <w:sz w:val="17"/>
          <w:szCs w:val="17"/>
          <w:color w:val="auto"/>
        </w:rPr>
        <w:t>) shall not exceed 4.5% of the Company’s issued and outstanding Shares (which 4.5% limit shall be measured as of the date of grant of an Award hereunder). Shares underlying Replacement Awards and Shares remaining available for grant under a plan of an acquired company or of a company with which the Company combines, appropriately adjusted to reflect the acquisition or combination transaction, shall not reduce the number of Shares remaining available for grant hereunder.</w:t>
      </w:r>
    </w:p>
    <w:p>
      <w:pPr>
        <w:spacing w:after="0" w:line="179" w:lineRule="exact"/>
        <w:rPr>
          <w:rFonts w:ascii="Arial" w:cs="Arial" w:eastAsia="Arial" w:hAnsi="Arial"/>
          <w:sz w:val="17"/>
          <w:szCs w:val="17"/>
          <w:color w:val="auto"/>
        </w:rPr>
      </w:pPr>
    </w:p>
    <w:p>
      <w:pPr>
        <w:ind w:left="1209" w:hanging="364"/>
        <w:spacing w:after="0"/>
        <w:tabs>
          <w:tab w:leader="none" w:pos="120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For purposes of determining the number of Shares available for issuance under the Plan:</w:t>
      </w:r>
    </w:p>
    <w:p>
      <w:pPr>
        <w:spacing w:after="0" w:line="115" w:lineRule="exact"/>
        <w:rPr>
          <w:rFonts w:ascii="Arial" w:cs="Arial" w:eastAsia="Arial" w:hAnsi="Arial"/>
          <w:sz w:val="17"/>
          <w:szCs w:val="17"/>
          <w:color w:val="auto"/>
        </w:rPr>
      </w:pPr>
    </w:p>
    <w:p>
      <w:pPr>
        <w:ind w:left="429" w:right="120" w:firstLine="805"/>
        <w:spacing w:after="0" w:line="261" w:lineRule="auto"/>
        <w:tabs>
          <w:tab w:leader="none" w:pos="1576"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all Shares covered by SARs shall be counted against the number of Shares available for issuance under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SARs that may be settled only in cash shall not be so counted and (B) if the Company grants a SAR in tandem with an Option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same number of Shares and provides that only one such Award may be exercised (a “</w:t>
      </w:r>
      <w:r>
        <w:rPr>
          <w:rFonts w:ascii="Arial" w:cs="Arial" w:eastAsia="Arial" w:hAnsi="Arial"/>
          <w:sz w:val="17"/>
          <w:szCs w:val="17"/>
          <w:b w:val="1"/>
          <w:bCs w:val="1"/>
          <w:color w:val="auto"/>
        </w:rPr>
        <w:t>Tandem SAR</w:t>
      </w:r>
      <w:r>
        <w:rPr>
          <w:rFonts w:ascii="Arial" w:cs="Arial" w:eastAsia="Arial" w:hAnsi="Arial"/>
          <w:sz w:val="17"/>
          <w:szCs w:val="17"/>
          <w:color w:val="auto"/>
        </w:rPr>
        <w:t>”), only the Shares covered by the Option, and not the Shares covered by the Tandem SAR, shall be so counted, and the expiration of one in connection with the other’s exercise shall not restore Shares to the Plan;</w:t>
      </w:r>
    </w:p>
    <w:p>
      <w:pPr>
        <w:spacing w:after="0" w:line="76" w:lineRule="exact"/>
        <w:rPr>
          <w:rFonts w:ascii="Arial" w:cs="Arial" w:eastAsia="Arial" w:hAnsi="Arial"/>
          <w:sz w:val="17"/>
          <w:szCs w:val="17"/>
          <w:color w:val="auto"/>
        </w:rPr>
      </w:pPr>
    </w:p>
    <w:p>
      <w:pPr>
        <w:ind w:left="429" w:right="220" w:firstLine="805"/>
        <w:spacing w:after="0" w:line="284" w:lineRule="auto"/>
        <w:tabs>
          <w:tab w:leader="none" w:pos="162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to the extent that an Award may be settled only in cash, no Shares shall be counted against the number of Shares available for issuance under the Plan;</w:t>
      </w:r>
    </w:p>
    <w:p>
      <w:pPr>
        <w:spacing w:after="0" w:line="55" w:lineRule="exact"/>
        <w:rPr>
          <w:rFonts w:ascii="Arial" w:cs="Arial" w:eastAsia="Arial" w:hAnsi="Arial"/>
          <w:sz w:val="17"/>
          <w:szCs w:val="17"/>
          <w:color w:val="auto"/>
        </w:rPr>
      </w:pPr>
    </w:p>
    <w:p>
      <w:pPr>
        <w:ind w:left="429" w:right="60" w:firstLine="805"/>
        <w:spacing w:after="0" w:line="354" w:lineRule="auto"/>
        <w:tabs>
          <w:tab w:leader="none" w:pos="1672" w:val="left"/>
        </w:tabs>
        <w:numPr>
          <w:ilvl w:val="1"/>
          <w:numId w:val="145"/>
        </w:numPr>
        <w:rPr>
          <w:rFonts w:ascii="Arial" w:cs="Arial" w:eastAsia="Arial" w:hAnsi="Arial"/>
          <w:sz w:val="15"/>
          <w:szCs w:val="15"/>
          <w:color w:val="auto"/>
        </w:rPr>
      </w:pPr>
      <w:r>
        <w:rPr>
          <w:rFonts w:ascii="Arial" w:cs="Arial" w:eastAsia="Arial" w:hAnsi="Arial"/>
          <w:sz w:val="15"/>
          <w:szCs w:val="15"/>
          <w:color w:val="auto"/>
        </w:rPr>
        <w:t>if any Award (A) expires or is terminated, surrendered or cancelled without having been fully exercised or is forfeited in whole or in part (including as the result of Shares subject to such Award being repurchased by the Company at or below the original issuance price</w:t>
      </w:r>
    </w:p>
    <w:p>
      <w:pPr>
        <w:spacing w:after="0" w:line="48" w:lineRule="exact"/>
        <w:rPr>
          <w:sz w:val="20"/>
          <w:szCs w:val="20"/>
          <w:color w:val="auto"/>
        </w:rPr>
      </w:pPr>
    </w:p>
    <w:p>
      <w:pPr>
        <w:jc w:val="center"/>
        <w:ind w:right="-6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489"/>
          </w:cols>
          <w:pgMar w:left="671" w:top="270" w:right="739" w:bottom="1440" w:gutter="0" w:footer="0" w:header="0"/>
        </w:sectPr>
      </w:pPr>
    </w:p>
    <w:bookmarkStart w:id="216" w:name="page217"/>
    <w:bookmarkEnd w:id="216"/>
    <w:p>
      <w:pPr>
        <w:ind w:left="420" w:right="2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pursuant to a contractual repurchase right) or (B) results in any Shares not being issued (including as a result of an Award that was settleable either in cash or in Shares actually being settled in cash), the unused Shares covered by such Award shall again be available for issuance under the Plan;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(1) in the case of the exercise of a SAR, the number of Shares counted against the Shares available for issuance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shall be the full number of Shares subject to the SAR multiplied by the percentage of the SAR actually exercised, regardless of the number of Shares actually used to settle such SAR upon exercise and (2) the Shares covered by a Tandem SAR shall not again become available for issuance under the Plan upon the expiration or termination of such Tandem SAR;</w:t>
      </w:r>
    </w:p>
    <w:p>
      <w:pPr>
        <w:spacing w:after="0" w:line="63" w:lineRule="exact"/>
        <w:rPr>
          <w:sz w:val="20"/>
          <w:szCs w:val="20"/>
          <w:color w:val="auto"/>
        </w:rPr>
      </w:pPr>
    </w:p>
    <w:p>
      <w:pPr>
        <w:ind w:left="420" w:right="100" w:firstLine="805"/>
        <w:spacing w:after="0" w:line="293" w:lineRule="auto"/>
        <w:tabs>
          <w:tab w:leader="none" w:pos="1653" w:val="left"/>
        </w:tabs>
        <w:numPr>
          <w:ilvl w:val="1"/>
          <w:numId w:val="146"/>
        </w:numPr>
        <w:rPr>
          <w:rFonts w:ascii="Arial" w:cs="Arial" w:eastAsia="Arial" w:hAnsi="Arial"/>
          <w:sz w:val="16"/>
          <w:szCs w:val="16"/>
          <w:color w:val="auto"/>
        </w:rPr>
      </w:pPr>
      <w:r>
        <w:rPr>
          <w:rFonts w:ascii="Arial" w:cs="Arial" w:eastAsia="Arial" w:hAnsi="Arial"/>
          <w:sz w:val="16"/>
          <w:szCs w:val="16"/>
          <w:color w:val="auto"/>
        </w:rPr>
        <w:t>Shares delivered (either by actual delivery, attestation, or net exercise) to the Company by a Participant to (i) exercise an Award or (ii) satisfy tax withholding obligations with respect to Options or SARs (including Shares retained from the Option or SAR creating the tax obligation) shall not be added back to the number of Shares available for issuance under the Plan; and</w:t>
      </w:r>
    </w:p>
    <w:p>
      <w:pPr>
        <w:spacing w:after="0" w:line="51" w:lineRule="exact"/>
        <w:rPr>
          <w:rFonts w:ascii="Arial" w:cs="Arial" w:eastAsia="Arial" w:hAnsi="Arial"/>
          <w:sz w:val="16"/>
          <w:szCs w:val="16"/>
          <w:color w:val="auto"/>
        </w:rPr>
      </w:pPr>
    </w:p>
    <w:p>
      <w:pPr>
        <w:ind w:left="420" w:right="120" w:firstLine="805"/>
        <w:spacing w:after="0" w:line="284" w:lineRule="auto"/>
        <w:tabs>
          <w:tab w:leader="none" w:pos="1605" w:val="left"/>
        </w:tabs>
        <w:numPr>
          <w:ilvl w:val="1"/>
          <w:numId w:val="146"/>
        </w:numPr>
        <w:rPr>
          <w:rFonts w:ascii="Arial" w:cs="Arial" w:eastAsia="Arial" w:hAnsi="Arial"/>
          <w:sz w:val="17"/>
          <w:szCs w:val="17"/>
          <w:color w:val="auto"/>
        </w:rPr>
      </w:pPr>
      <w:r>
        <w:rPr>
          <w:rFonts w:ascii="Arial" w:cs="Arial" w:eastAsia="Arial" w:hAnsi="Arial"/>
          <w:sz w:val="17"/>
          <w:szCs w:val="17"/>
          <w:color w:val="auto"/>
        </w:rPr>
        <w:t>Shares repurchased by the Company on the open market using the proceeds from the exercise of an Award shall not increase the number of Shares available for issuance under the Plan.</w:t>
      </w:r>
    </w:p>
    <w:p>
      <w:pPr>
        <w:spacing w:after="0" w:line="158" w:lineRule="exact"/>
        <w:rPr>
          <w:rFonts w:ascii="Arial" w:cs="Arial" w:eastAsia="Arial" w:hAnsi="Arial"/>
          <w:sz w:val="17"/>
          <w:szCs w:val="17"/>
          <w:color w:val="auto"/>
        </w:rPr>
      </w:pPr>
    </w:p>
    <w:p>
      <w:pPr>
        <w:ind w:firstLine="836"/>
        <w:spacing w:after="0" w:line="259" w:lineRule="auto"/>
        <w:tabs>
          <w:tab w:leader="none" w:pos="120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 the event that, as a result of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(an “</w:t>
      </w:r>
      <w:r>
        <w:rPr>
          <w:rFonts w:ascii="Arial" w:cs="Arial" w:eastAsia="Arial" w:hAnsi="Arial"/>
          <w:sz w:val="17"/>
          <w:szCs w:val="17"/>
          <w:b w:val="1"/>
          <w:bCs w:val="1"/>
          <w:color w:val="auto"/>
        </w:rPr>
        <w:t>Adjustment Event</w:t>
      </w:r>
      <w:r>
        <w:rPr>
          <w:rFonts w:ascii="Arial" w:cs="Arial" w:eastAsia="Arial" w:hAnsi="Arial"/>
          <w:sz w:val="17"/>
          <w:szCs w:val="17"/>
          <w:color w:val="auto"/>
        </w:rPr>
        <w:t>”), then the Committee shall, subject to Section 18, adjust equitably any or all of:</w:t>
      </w:r>
    </w:p>
    <w:p>
      <w:pPr>
        <w:spacing w:after="0" w:line="77" w:lineRule="exact"/>
        <w:rPr>
          <w:rFonts w:ascii="Arial" w:cs="Arial" w:eastAsia="Arial" w:hAnsi="Arial"/>
          <w:sz w:val="17"/>
          <w:szCs w:val="17"/>
          <w:color w:val="auto"/>
        </w:rPr>
      </w:pPr>
    </w:p>
    <w:p>
      <w:pPr>
        <w:ind w:left="420" w:right="140" w:firstLine="805"/>
        <w:spacing w:after="0" w:line="284" w:lineRule="auto"/>
        <w:tabs>
          <w:tab w:leader="none" w:pos="156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number and type of Shares (or other securities) which thereafter may be made the subject of Awards, including the aggregate and individual limits specified in Section 4(a);</w:t>
      </w:r>
    </w:p>
    <w:p>
      <w:pPr>
        <w:spacing w:after="0" w:line="55" w:lineRule="exact"/>
        <w:rPr>
          <w:rFonts w:ascii="Arial" w:cs="Arial" w:eastAsia="Arial" w:hAnsi="Arial"/>
          <w:sz w:val="17"/>
          <w:szCs w:val="17"/>
          <w:color w:val="auto"/>
        </w:rPr>
      </w:pPr>
    </w:p>
    <w:p>
      <w:pPr>
        <w:ind w:left="1600" w:hanging="375"/>
        <w:spacing w:after="0"/>
        <w:tabs>
          <w:tab w:leader="none" w:pos="16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number and type of Shares (or other securities) subject to outstanding Awards; and</w:t>
      </w:r>
    </w:p>
    <w:p>
      <w:pPr>
        <w:spacing w:after="0" w:line="115" w:lineRule="exact"/>
        <w:rPr>
          <w:rFonts w:ascii="Arial" w:cs="Arial" w:eastAsia="Arial" w:hAnsi="Arial"/>
          <w:sz w:val="17"/>
          <w:szCs w:val="17"/>
          <w:color w:val="auto"/>
        </w:rPr>
      </w:pPr>
    </w:p>
    <w:p>
      <w:pPr>
        <w:ind w:left="420" w:right="100" w:firstLine="805"/>
        <w:spacing w:after="0" w:line="284" w:lineRule="auto"/>
        <w:tabs>
          <w:tab w:leader="none" w:pos="1663"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grant, acquisition, exercise price with respect to any Award or, if deemed appropriate, make provision for a cash payment to the holder of an outstanding Award;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60"/>
          </w:cols>
          <w:pgMar w:left="680" w:top="270" w:right="659" w:bottom="1440" w:gutter="0" w:footer="0" w:header="0"/>
        </w:sectPr>
      </w:pPr>
    </w:p>
    <w:bookmarkStart w:id="217" w:name="page218"/>
    <w:bookmarkEnd w:id="217"/>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provided, however</w:t>
      </w:r>
      <w:r>
        <w:rPr>
          <w:rFonts w:ascii="Arial" w:cs="Arial" w:eastAsia="Arial" w:hAnsi="Arial"/>
          <w:sz w:val="17"/>
          <w:szCs w:val="17"/>
          <w:color w:val="auto"/>
        </w:rPr>
        <w:t>, that the number of Shares subject to any Award denominated in Shares shall always be a whole number.</w:t>
      </w:r>
    </w:p>
    <w:p>
      <w:pPr>
        <w:spacing w:after="0" w:line="219" w:lineRule="exact"/>
        <w:rPr>
          <w:sz w:val="20"/>
          <w:szCs w:val="20"/>
          <w:color w:val="auto"/>
        </w:rPr>
      </w:pPr>
    </w:p>
    <w:p>
      <w:pPr>
        <w:ind w:left="1200" w:hanging="364"/>
        <w:spacing w:after="0"/>
        <w:tabs>
          <w:tab w:leader="none" w:pos="120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Any Shares delivered pursuant to an Award may consist, in whole or in part, of authorized and unissued Shares or Shares acquired by</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 Company.</w:t>
      </w:r>
    </w:p>
    <w:p>
      <w:pPr>
        <w:spacing w:after="0" w:line="206" w:lineRule="exact"/>
        <w:rPr>
          <w:sz w:val="20"/>
          <w:szCs w:val="20"/>
          <w:color w:val="auto"/>
        </w:rPr>
      </w:pPr>
    </w:p>
    <w:p>
      <w:pPr>
        <w:ind w:right="100" w:firstLine="423"/>
        <w:spacing w:after="0" w:line="354" w:lineRule="auto"/>
        <w:rPr>
          <w:sz w:val="20"/>
          <w:szCs w:val="20"/>
          <w:color w:val="auto"/>
        </w:rPr>
      </w:pPr>
      <w:r>
        <w:rPr>
          <w:rFonts w:ascii="Arial" w:cs="Arial" w:eastAsia="Arial" w:hAnsi="Arial"/>
          <w:sz w:val="15"/>
          <w:szCs w:val="15"/>
          <w:color w:val="auto"/>
        </w:rPr>
        <w:t>Section 5</w:t>
      </w:r>
      <w:r>
        <w:rPr>
          <w:rFonts w:ascii="Arial" w:cs="Arial" w:eastAsia="Arial" w:hAnsi="Arial"/>
          <w:sz w:val="15"/>
          <w:szCs w:val="15"/>
          <w:i w:val="1"/>
          <w:iCs w:val="1"/>
          <w:color w:val="auto"/>
        </w:rPr>
        <w:t>. American Depositary Shares.</w:t>
      </w:r>
      <w:r>
        <w:rPr>
          <w:rFonts w:ascii="Arial" w:cs="Arial" w:eastAsia="Arial" w:hAnsi="Arial"/>
          <w:sz w:val="15"/>
          <w:szCs w:val="15"/>
          <w:color w:val="auto"/>
        </w:rPr>
        <w:t xml:space="preserve"> Notwithstanding anything herein to the contrary, the Committee may, in its discretion, make any Awards authorized hereunder subject to ADSs. In such cases, any applicable references hereunder to “Shares” shall be deemed references to “ADSs.”</w:t>
      </w:r>
    </w:p>
    <w:p>
      <w:pPr>
        <w:spacing w:after="0" w:line="113" w:lineRule="exact"/>
        <w:rPr>
          <w:sz w:val="20"/>
          <w:szCs w:val="20"/>
          <w:color w:val="auto"/>
        </w:rPr>
      </w:pPr>
    </w:p>
    <w:p>
      <w:pPr>
        <w:ind w:right="20" w:firstLine="423"/>
        <w:spacing w:after="0" w:line="284" w:lineRule="auto"/>
        <w:rPr>
          <w:sz w:val="20"/>
          <w:szCs w:val="20"/>
          <w:color w:val="auto"/>
        </w:rPr>
      </w:pPr>
      <w:r>
        <w:rPr>
          <w:rFonts w:ascii="Arial" w:cs="Arial" w:eastAsia="Arial" w:hAnsi="Arial"/>
          <w:sz w:val="17"/>
          <w:szCs w:val="17"/>
          <w:color w:val="auto"/>
        </w:rPr>
        <w:t>Section 6</w:t>
      </w:r>
      <w:r>
        <w:rPr>
          <w:rFonts w:ascii="Arial" w:cs="Arial" w:eastAsia="Arial" w:hAnsi="Arial"/>
          <w:sz w:val="17"/>
          <w:szCs w:val="17"/>
          <w:i w:val="1"/>
          <w:iCs w:val="1"/>
          <w:color w:val="auto"/>
        </w:rPr>
        <w:t>. Options.</w:t>
      </w:r>
      <w:r>
        <w:rPr>
          <w:rFonts w:ascii="Arial" w:cs="Arial" w:eastAsia="Arial" w:hAnsi="Arial"/>
          <w:sz w:val="17"/>
          <w:szCs w:val="17"/>
          <w:color w:val="auto"/>
        </w:rPr>
        <w:t xml:space="preserve"> The Committee is authorized to grant Options to Participants with the following terms and conditions and with such additional terms and conditions, in either case not inconsistent with the provisions of the Plan, as the Committee shall determine.</w:t>
      </w:r>
    </w:p>
    <w:p>
      <w:pPr>
        <w:spacing w:after="0" w:line="159" w:lineRule="exact"/>
        <w:rPr>
          <w:sz w:val="20"/>
          <w:szCs w:val="20"/>
          <w:color w:val="auto"/>
        </w:rPr>
      </w:pPr>
    </w:p>
    <w:p>
      <w:pPr>
        <w:ind w:right="340" w:firstLine="836"/>
        <w:spacing w:after="0" w:line="316" w:lineRule="auto"/>
        <w:tabs>
          <w:tab w:leader="none" w:pos="120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The exercise price per Share under an Option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in the case of Replacement Awards, such exercise price shall not be less than the Fair Market Value of a Share on the date of grant of such Option.</w:t>
      </w:r>
    </w:p>
    <w:p>
      <w:pPr>
        <w:spacing w:after="0" w:line="137" w:lineRule="exact"/>
        <w:rPr>
          <w:rFonts w:ascii="Arial" w:cs="Arial" w:eastAsia="Arial" w:hAnsi="Arial"/>
          <w:sz w:val="16"/>
          <w:szCs w:val="16"/>
          <w:color w:val="auto"/>
        </w:rPr>
      </w:pPr>
    </w:p>
    <w:p>
      <w:pPr>
        <w:ind w:left="1200" w:hanging="364"/>
        <w:spacing w:after="0"/>
        <w:tabs>
          <w:tab w:leader="none" w:pos="12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term of each Option shall be fixed by the Committee but shall not exceed 10 years from the date of grant of such Option.</w:t>
      </w:r>
    </w:p>
    <w:p>
      <w:pPr>
        <w:spacing w:after="0" w:line="230" w:lineRule="exact"/>
        <w:rPr>
          <w:rFonts w:ascii="Arial" w:cs="Arial" w:eastAsia="Arial" w:hAnsi="Arial"/>
          <w:sz w:val="16"/>
          <w:szCs w:val="16"/>
          <w:color w:val="auto"/>
        </w:rPr>
      </w:pPr>
    </w:p>
    <w:p>
      <w:pPr>
        <w:ind w:left="1200" w:hanging="364"/>
        <w:spacing w:after="0"/>
        <w:tabs>
          <w:tab w:leader="none" w:pos="12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Committee shall determine the time or times at which an Option may be exercised in whole or in part.</w:t>
      </w:r>
    </w:p>
    <w:p>
      <w:pPr>
        <w:spacing w:after="0" w:line="218" w:lineRule="exact"/>
        <w:rPr>
          <w:rFonts w:ascii="Arial" w:cs="Arial" w:eastAsia="Arial" w:hAnsi="Arial"/>
          <w:sz w:val="17"/>
          <w:szCs w:val="17"/>
          <w:color w:val="auto"/>
        </w:rPr>
      </w:pPr>
    </w:p>
    <w:p>
      <w:pPr>
        <w:ind w:right="20" w:firstLine="836"/>
        <w:spacing w:after="0" w:line="293" w:lineRule="auto"/>
        <w:tabs>
          <w:tab w:leader="none" w:pos="121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Committee shall determine the methods by which, and the forms in which payment of the exercise price with respect thereto may be made or deemed to have been made, including cash, Shares, other Awards, other property, net settlement (including broker-assisted cashless exercise) or any combination thereof, having a Fair Market Value on the exercise date equal to the relevant exercise price.</w:t>
      </w:r>
    </w:p>
    <w:p>
      <w:pPr>
        <w:spacing w:after="0" w:line="155" w:lineRule="exact"/>
        <w:rPr>
          <w:sz w:val="20"/>
          <w:szCs w:val="20"/>
          <w:color w:val="auto"/>
        </w:rPr>
      </w:pPr>
    </w:p>
    <w:p>
      <w:pPr>
        <w:ind w:firstLine="423"/>
        <w:spacing w:after="0" w:line="316" w:lineRule="auto"/>
        <w:rPr>
          <w:sz w:val="20"/>
          <w:szCs w:val="20"/>
          <w:color w:val="auto"/>
        </w:rPr>
      </w:pPr>
      <w:r>
        <w:rPr>
          <w:rFonts w:ascii="Arial" w:cs="Arial" w:eastAsia="Arial" w:hAnsi="Arial"/>
          <w:sz w:val="16"/>
          <w:szCs w:val="16"/>
          <w:color w:val="auto"/>
        </w:rPr>
        <w:t>Section 7</w:t>
      </w:r>
      <w:r>
        <w:rPr>
          <w:rFonts w:ascii="Arial" w:cs="Arial" w:eastAsia="Arial" w:hAnsi="Arial"/>
          <w:sz w:val="16"/>
          <w:szCs w:val="16"/>
          <w:i w:val="1"/>
          <w:iCs w:val="1"/>
          <w:color w:val="auto"/>
        </w:rPr>
        <w:t>. Stock Appreciation Rights.</w:t>
      </w:r>
      <w:r>
        <w:rPr>
          <w:rFonts w:ascii="Arial" w:cs="Arial" w:eastAsia="Arial" w:hAnsi="Arial"/>
          <w:sz w:val="16"/>
          <w:szCs w:val="16"/>
          <w:color w:val="auto"/>
        </w:rPr>
        <w:t xml:space="preserve"> The Committee is authorized to grant SARs to Participants with the following terms and conditions and with such additional terms and conditions, in either case not inconsistent with the provisions of the Plan, as the Committee shall determine.</w:t>
      </w:r>
    </w:p>
    <w:p>
      <w:pPr>
        <w:spacing w:after="0" w:line="137" w:lineRule="exact"/>
        <w:rPr>
          <w:sz w:val="20"/>
          <w:szCs w:val="20"/>
          <w:color w:val="auto"/>
        </w:rPr>
      </w:pPr>
    </w:p>
    <w:p>
      <w:pPr>
        <w:ind w:left="840"/>
        <w:spacing w:after="0"/>
        <w:tabs>
          <w:tab w:leader="none" w:pos="118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5"/>
          <w:szCs w:val="15"/>
          <w:color w:val="auto"/>
        </w:rPr>
        <w:t>SARs may be granted under the Plan to Participants either alone (“freestanding”) or in addition to other Awards granted under the Plan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(“tandem”).</w:t>
      </w:r>
    </w:p>
    <w:p>
      <w:pPr>
        <w:spacing w:after="0" w:line="206" w:lineRule="exact"/>
        <w:rPr>
          <w:sz w:val="20"/>
          <w:szCs w:val="20"/>
          <w:color w:val="auto"/>
        </w:rPr>
      </w:pPr>
    </w:p>
    <w:p>
      <w:pPr>
        <w:ind w:right="460" w:firstLine="836"/>
        <w:spacing w:after="0" w:line="269" w:lineRule="auto"/>
        <w:tabs>
          <w:tab w:leader="none" w:pos="121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The exercise price per Share under a SAR shall be determined by the Committee;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in the case of Replacement Awards, such exercise price shall not be less than the Fair Market Value of a Share on the date of grant of such SAR (or if granted in connection with an Option, on the grant date of such 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40"/>
          </w:cols>
          <w:pgMar w:left="680" w:top="270" w:right="679" w:bottom="1440" w:gutter="0" w:footer="0" w:header="0"/>
        </w:sectPr>
      </w:pPr>
    </w:p>
    <w:bookmarkStart w:id="218" w:name="page219"/>
    <w:bookmarkEnd w:id="218"/>
    <w:p>
      <w:pPr>
        <w:ind w:left="1200" w:hanging="364"/>
        <w:spacing w:after="0"/>
        <w:tabs>
          <w:tab w:leader="none" w:pos="12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term of each SAR shall be fixed by the Committee but shall not exceed 10 years from the date of grant of such SAR.</w:t>
      </w:r>
    </w:p>
    <w:p>
      <w:pPr>
        <w:spacing w:after="0" w:line="218" w:lineRule="exact"/>
        <w:rPr>
          <w:rFonts w:ascii="Arial" w:cs="Arial" w:eastAsia="Arial" w:hAnsi="Arial"/>
          <w:sz w:val="17"/>
          <w:szCs w:val="17"/>
          <w:color w:val="auto"/>
        </w:rPr>
      </w:pPr>
    </w:p>
    <w:p>
      <w:pPr>
        <w:ind w:left="1200" w:hanging="364"/>
        <w:spacing w:after="0"/>
        <w:tabs>
          <w:tab w:leader="none" w:pos="12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Committee shall determine the time or times at which a SAR may be exercised or settled in whole or in part.</w:t>
      </w:r>
    </w:p>
    <w:p>
      <w:pPr>
        <w:spacing w:after="0" w:line="218" w:lineRule="exact"/>
        <w:rPr>
          <w:rFonts w:ascii="Arial" w:cs="Arial" w:eastAsia="Arial" w:hAnsi="Arial"/>
          <w:sz w:val="17"/>
          <w:szCs w:val="17"/>
          <w:color w:val="auto"/>
        </w:rPr>
      </w:pPr>
    </w:p>
    <w:p>
      <w:pPr>
        <w:ind w:right="60" w:firstLine="836"/>
        <w:spacing w:after="0" w:line="293" w:lineRule="auto"/>
        <w:tabs>
          <w:tab w:leader="none" w:pos="120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Upon the exercise of a SAR, the Company shall pay to the Participant an amount equal to the number of Shares subject to the SAR multiplied by the excess, if any, of the Fair Market Value of one Share on the exercise date over the exercise price of such SAR. The Company shall pay such excess in cash, in Shares valued at Fair Market Value, or any combination thereof, as determined by the Committee.</w:t>
      </w:r>
    </w:p>
    <w:p>
      <w:pPr>
        <w:spacing w:after="0" w:line="155" w:lineRule="exact"/>
        <w:rPr>
          <w:sz w:val="20"/>
          <w:szCs w:val="20"/>
          <w:color w:val="auto"/>
        </w:rPr>
      </w:pPr>
    </w:p>
    <w:p>
      <w:pPr>
        <w:ind w:right="440" w:firstLine="423"/>
        <w:spacing w:after="0" w:line="26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i w:val="1"/>
          <w:iCs w:val="1"/>
          <w:color w:val="auto"/>
        </w:rPr>
        <w:t>Restricted Stock and RSUs.</w:t>
      </w:r>
      <w:r>
        <w:rPr>
          <w:rFonts w:ascii="Arial" w:cs="Arial" w:eastAsia="Arial" w:hAnsi="Arial"/>
          <w:sz w:val="17"/>
          <w:szCs w:val="17"/>
          <w:color w:val="auto"/>
        </w:rPr>
        <w:t xml:space="preserve"> The Committee is authorized to grant Awards of Restricted Stock and RSUs to Participants with the following terms and conditions and with such additional terms and conditions, in either case not inconsistent with the provisions of the Plan, as the Committee shall determine.</w:t>
      </w:r>
    </w:p>
    <w:p>
      <w:pPr>
        <w:spacing w:after="0" w:line="171" w:lineRule="exact"/>
        <w:rPr>
          <w:sz w:val="20"/>
          <w:szCs w:val="20"/>
          <w:color w:val="auto"/>
        </w:rPr>
      </w:pPr>
    </w:p>
    <w:p>
      <w:pPr>
        <w:ind w:firstLine="836"/>
        <w:spacing w:after="0" w:line="269" w:lineRule="auto"/>
        <w:tabs>
          <w:tab w:leader="none" w:pos="120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applicable Award Document shall specify the vesting schedule and, with respect to RSUs, the delivery schedule (which may include deferred delivery later than the vesting date) and whether the Award of Restricted Stock or RSUs is entitled to dividends or dividend equivalents, voting rights or any other rights.</w:t>
      </w:r>
    </w:p>
    <w:p>
      <w:pPr>
        <w:spacing w:after="0" w:line="171" w:lineRule="exact"/>
        <w:rPr>
          <w:rFonts w:ascii="Arial" w:cs="Arial" w:eastAsia="Arial" w:hAnsi="Arial"/>
          <w:sz w:val="17"/>
          <w:szCs w:val="17"/>
          <w:color w:val="auto"/>
        </w:rPr>
      </w:pPr>
    </w:p>
    <w:p>
      <w:pPr>
        <w:ind w:right="220" w:firstLine="836"/>
        <w:spacing w:after="0" w:line="279" w:lineRule="auto"/>
        <w:tabs>
          <w:tab w:leader="none" w:pos="121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Shares of Restricted Stock and RSUs shall be subject to such restrictions as the Committee may impose (including any limitation on the right to vote a Share of Restricted Stock or the right to receive any dividend, dividend equivalent or other right), which restrictions may lapse separately or in combination at such time or times, in such installments or otherwise, as the Committee may deem appropriate. Without limiting the generality of the foregoing, if the Award relates to Shares on which dividends are declared during the period that the Award is outstanding, the Award shall not provide for the payment of such dividend (or a dividend equivalent) to the Participant prior to the time at which such Award, or applicable portion thereof, becomes nonforfeitable, unless otherwise provided in the applicable Award Document.</w:t>
      </w:r>
    </w:p>
    <w:p>
      <w:pPr>
        <w:spacing w:after="0" w:line="166" w:lineRule="exact"/>
        <w:rPr>
          <w:rFonts w:ascii="Arial" w:cs="Arial" w:eastAsia="Arial" w:hAnsi="Arial"/>
          <w:sz w:val="16"/>
          <w:szCs w:val="16"/>
          <w:color w:val="auto"/>
        </w:rPr>
      </w:pPr>
    </w:p>
    <w:p>
      <w:pPr>
        <w:ind w:right="140" w:firstLine="836"/>
        <w:spacing w:after="0" w:line="264" w:lineRule="auto"/>
        <w:tabs>
          <w:tab w:leader="none" w:pos="12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share of Restricted Stock granted under the Plan may be evidenced in such manner as the Committee may deem appropriate, including book-entry registration or issuance of a stock certificate or certificates. In the event that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60"/>
          </w:cols>
          <w:pgMar w:left="680" w:top="270" w:right="659" w:bottom="1440" w:gutter="0" w:footer="0" w:header="0"/>
        </w:sectPr>
      </w:pPr>
    </w:p>
    <w:bookmarkStart w:id="219" w:name="page220"/>
    <w:bookmarkEnd w:id="219"/>
    <w:p>
      <w:pPr>
        <w:ind w:right="40" w:firstLine="836"/>
        <w:spacing w:after="0" w:line="284" w:lineRule="auto"/>
        <w:tabs>
          <w:tab w:leader="none" w:pos="1216" w:val="left"/>
        </w:tabs>
        <w:numPr>
          <w:ilvl w:val="0"/>
          <w:numId w:val="1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Committee may determine the form or forms (including cash, Shares, other Awards, other property or any combination thereof) in which payment of the amount owing upon settlement of any RSU Award may be made.</w:t>
      </w:r>
    </w:p>
    <w:p>
      <w:pPr>
        <w:spacing w:after="0" w:line="159" w:lineRule="exact"/>
        <w:rPr>
          <w:sz w:val="20"/>
          <w:szCs w:val="20"/>
          <w:color w:val="auto"/>
        </w:rPr>
      </w:pPr>
    </w:p>
    <w:p>
      <w:pPr>
        <w:jc w:val="both"/>
        <w:ind w:right="660" w:firstLine="423"/>
        <w:spacing w:after="0" w:line="26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i w:val="1"/>
          <w:iCs w:val="1"/>
          <w:color w:val="auto"/>
        </w:rPr>
        <w:t>Performance Awards.</w:t>
      </w:r>
      <w:r>
        <w:rPr>
          <w:rFonts w:ascii="Arial" w:cs="Arial" w:eastAsia="Arial" w:hAnsi="Arial"/>
          <w:sz w:val="17"/>
          <w:szCs w:val="17"/>
          <w:color w:val="auto"/>
        </w:rPr>
        <w:t xml:space="preserve"> The Committee is authorized to grant Performance Awards to Participants with the following terms and conditions and with such additional terms and conditions, in either case not inconsistent with the provisions of the Plan, as the Committee shall determine.</w:t>
      </w:r>
    </w:p>
    <w:p>
      <w:pPr>
        <w:spacing w:after="0" w:line="171" w:lineRule="exact"/>
        <w:rPr>
          <w:sz w:val="20"/>
          <w:szCs w:val="20"/>
          <w:color w:val="auto"/>
        </w:rPr>
      </w:pPr>
    </w:p>
    <w:p>
      <w:pPr>
        <w:ind w:right="20" w:firstLine="836"/>
        <w:spacing w:after="0" w:line="296" w:lineRule="auto"/>
        <w:tabs>
          <w:tab w:leader="none" w:pos="1209" w:val="left"/>
        </w:tabs>
        <w:numPr>
          <w:ilvl w:val="0"/>
          <w:numId w:val="154"/>
        </w:numPr>
        <w:rPr>
          <w:rFonts w:ascii="Arial" w:cs="Arial" w:eastAsia="Arial" w:hAnsi="Arial"/>
          <w:sz w:val="15"/>
          <w:szCs w:val="15"/>
          <w:color w:val="auto"/>
        </w:rPr>
      </w:pPr>
      <w:r>
        <w:rPr>
          <w:rFonts w:ascii="Arial" w:cs="Arial" w:eastAsia="Arial" w:hAnsi="Arial"/>
          <w:sz w:val="15"/>
          <w:szCs w:val="15"/>
          <w:color w:val="auto"/>
        </w:rPr>
        <w:t>Performance Awards may be denominated as a cash amount, a number of Shares or a combination thereof and are Awards which may be earned upon achievement or satisfaction of performance conditions specified by the Committee. In addition, the Committee may specify that any other Award shall constitute a Performance Award by conditioning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 If the Performance Award relates to Shares on which dividends are declared during the Performance Period, the Performance Award shall not provide for the payment of such dividend (or dividend equivalent) to the Participant prior to the time at which such Performance Award, or the applicable portion thereof, is earned.</w:t>
      </w:r>
    </w:p>
    <w:p>
      <w:pPr>
        <w:spacing w:after="0" w:line="157" w:lineRule="exact"/>
        <w:rPr>
          <w:rFonts w:ascii="Arial" w:cs="Arial" w:eastAsia="Arial" w:hAnsi="Arial"/>
          <w:sz w:val="15"/>
          <w:szCs w:val="15"/>
          <w:color w:val="auto"/>
        </w:rPr>
      </w:pPr>
    </w:p>
    <w:p>
      <w:pPr>
        <w:ind w:firstLine="836"/>
        <w:spacing w:after="0" w:line="275" w:lineRule="auto"/>
        <w:tabs>
          <w:tab w:leader="none" w:pos="121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Performance criteria may be measured on an absolute (</w:t>
      </w:r>
      <w:r>
        <w:rPr>
          <w:rFonts w:ascii="Arial" w:cs="Arial" w:eastAsia="Arial" w:hAnsi="Arial"/>
          <w:sz w:val="16"/>
          <w:szCs w:val="16"/>
          <w:i w:val="1"/>
          <w:iCs w:val="1"/>
          <w:color w:val="auto"/>
        </w:rPr>
        <w:t>e.g.</w:t>
      </w:r>
      <w:r>
        <w:rPr>
          <w:rFonts w:ascii="Arial" w:cs="Arial" w:eastAsia="Arial" w:hAnsi="Arial"/>
          <w:sz w:val="16"/>
          <w:szCs w:val="16"/>
          <w:color w:val="auto"/>
        </w:rPr>
        <w:t>, plan or budget) or relative basis, and may be established on a corporate-wide basis or with respect to one or more business units, divisions, subsidiaries or business segments. Relative performance may be measured against a group of peer companies, a financial market index or other acceptable objective and quantifiable indices.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minimum acceptable level of achievement, in whole or in part, as the Committee deems appropriate and equitable. Performance objectives may be adjusted for material items not originally contemplated in establishing the performance target for items resulting from discontinued operations, extraordinary gains and losses, the effect of changes in accounting standards or principles, acquisitions or divestitures, changes in tax rules or regulations, capital transactions, restructuring, nonrecurring gains or losses or unusual items. Performance measures may vary from Performance Award to Performance Award, and from Participant to Participant, and may be established on a stand-alone basis, in tandem or in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40"/>
          </w:cols>
          <w:pgMar w:left="680" w:top="269" w:right="679" w:bottom="1440" w:gutter="0" w:footer="0" w:header="0"/>
        </w:sectPr>
      </w:pPr>
    </w:p>
    <w:bookmarkStart w:id="220" w:name="page221"/>
    <w:bookmarkEnd w:id="220"/>
    <w:p>
      <w:pPr>
        <w:jc w:val="both"/>
        <w:ind w:right="1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alternative. The Committee shall have the power to impose such other restrictions on Awards subject to this Section 9(b) as it may deem necessary or appropriate to ensure that such Awards satisfy all requirements of any applicable law, stock market or exchange rules and regulations or accounting or tax rules and regulations.</w:t>
      </w:r>
    </w:p>
    <w:p>
      <w:pPr>
        <w:spacing w:after="0" w:line="171" w:lineRule="exact"/>
        <w:rPr>
          <w:sz w:val="20"/>
          <w:szCs w:val="20"/>
          <w:color w:val="auto"/>
        </w:rPr>
      </w:pPr>
    </w:p>
    <w:p>
      <w:pPr>
        <w:ind w:right="20" w:firstLine="836"/>
        <w:spacing w:after="0" w:line="264" w:lineRule="auto"/>
        <w:tabs>
          <w:tab w:leader="none" w:pos="1209"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 xml:space="preserve">Settlement of Performance Awards; Other Terms. </w:t>
      </w:r>
      <w:r>
        <w:rPr>
          <w:rFonts w:ascii="Arial" w:cs="Arial" w:eastAsia="Arial" w:hAnsi="Arial"/>
          <w:sz w:val="17"/>
          <w:szCs w:val="17"/>
          <w:color w:val="auto"/>
        </w:rPr>
        <w:t>Settlement of Performance Awards shall be in cash, Shares, other Awards, other</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net settlement or any combination thereof, as determined in the discretion of the Committee. Performance Awards will be settled only after the end of the relevant Performance Period. The Committee may, in its discretion, increase or reduce the amount of a settlement otherwise to be made in connection with a Performance Award.</w:t>
      </w:r>
    </w:p>
    <w:p>
      <w:pPr>
        <w:spacing w:after="0" w:line="176" w:lineRule="exact"/>
        <w:rPr>
          <w:sz w:val="20"/>
          <w:szCs w:val="20"/>
          <w:color w:val="auto"/>
        </w:rPr>
      </w:pPr>
    </w:p>
    <w:p>
      <w:pPr>
        <w:ind w:right="180" w:firstLine="423"/>
        <w:spacing w:after="0" w:line="281" w:lineRule="auto"/>
        <w:rPr>
          <w:sz w:val="20"/>
          <w:szCs w:val="20"/>
          <w:color w:val="auto"/>
        </w:rPr>
      </w:pPr>
      <w:r>
        <w:rPr>
          <w:rFonts w:ascii="Arial" w:cs="Arial" w:eastAsia="Arial" w:hAnsi="Arial"/>
          <w:sz w:val="16"/>
          <w:szCs w:val="16"/>
          <w:color w:val="auto"/>
        </w:rPr>
        <w:t>Section 10</w:t>
      </w:r>
      <w:r>
        <w:rPr>
          <w:rFonts w:ascii="Arial" w:cs="Arial" w:eastAsia="Arial" w:hAnsi="Arial"/>
          <w:sz w:val="16"/>
          <w:szCs w:val="16"/>
          <w:i w:val="1"/>
          <w:iCs w:val="1"/>
          <w:color w:val="auto"/>
        </w:rPr>
        <w:t>. Other Share-Based Awards.</w:t>
      </w:r>
      <w:r>
        <w:rPr>
          <w:rFonts w:ascii="Arial" w:cs="Arial" w:eastAsia="Arial" w:hAnsi="Arial"/>
          <w:sz w:val="16"/>
          <w:szCs w:val="16"/>
          <w:color w:val="auto"/>
        </w:rPr>
        <w:t xml:space="preserve"> The Committee is authorized, subject to limitations under applicable law, to grant to Participants such other Awards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acquisition rights for Shares, Awards with value and payment contingent upon performance of the Company or business units thereof or any other factors designated by the Committee. The Committee shall determine the terms and conditions of such Awards.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Section 11</w:t>
      </w:r>
      <w:r>
        <w:rPr>
          <w:rFonts w:ascii="Arial" w:cs="Arial" w:eastAsia="Arial" w:hAnsi="Arial"/>
          <w:sz w:val="17"/>
          <w:szCs w:val="17"/>
          <w:i w:val="1"/>
          <w:iCs w:val="1"/>
          <w:color w:val="auto"/>
        </w:rPr>
        <w:t>. Effect of Termination of Service or a Change in Control on Awards.</w:t>
      </w:r>
    </w:p>
    <w:p>
      <w:pPr>
        <w:spacing w:after="0" w:line="219" w:lineRule="exact"/>
        <w:rPr>
          <w:sz w:val="20"/>
          <w:szCs w:val="20"/>
          <w:color w:val="auto"/>
        </w:rPr>
      </w:pPr>
    </w:p>
    <w:p>
      <w:pPr>
        <w:ind w:firstLine="836"/>
        <w:spacing w:after="0" w:line="269" w:lineRule="auto"/>
        <w:tabs>
          <w:tab w:leader="none" w:pos="120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Committee may provide, by rule or regulation or in any Award Document, or may determine in any individual case, the circumstances in which, and the extent to which, an Award may be exercised, settled, vested, paid or forfeited in the event of a Participant’s Termination of Service prior to the vesting, exercise or settlement of such Award or the end of a Performance Period.</w:t>
      </w:r>
    </w:p>
    <w:p>
      <w:pPr>
        <w:spacing w:after="0" w:line="171" w:lineRule="exact"/>
        <w:rPr>
          <w:rFonts w:ascii="Arial" w:cs="Arial" w:eastAsia="Arial" w:hAnsi="Arial"/>
          <w:sz w:val="17"/>
          <w:szCs w:val="17"/>
          <w:color w:val="auto"/>
        </w:rPr>
      </w:pPr>
    </w:p>
    <w:p>
      <w:pPr>
        <w:ind w:left="1200" w:hanging="364"/>
        <w:spacing w:after="0"/>
        <w:tabs>
          <w:tab w:leader="none" w:pos="12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the event of a Change in Control, outstanding Awards shall be treated as described below.</w:t>
      </w:r>
    </w:p>
    <w:p>
      <w:pPr>
        <w:spacing w:after="0" w:line="115" w:lineRule="exact"/>
        <w:rPr>
          <w:rFonts w:ascii="Arial" w:cs="Arial" w:eastAsia="Arial" w:hAnsi="Arial"/>
          <w:sz w:val="17"/>
          <w:szCs w:val="17"/>
          <w:color w:val="auto"/>
        </w:rPr>
      </w:pPr>
    </w:p>
    <w:p>
      <w:pPr>
        <w:ind w:left="420" w:right="80" w:firstLine="805"/>
        <w:spacing w:after="0" w:line="261" w:lineRule="auto"/>
        <w:tabs>
          <w:tab w:leader="none" w:pos="161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If in connection with the Change in Control, any outstanding Award is continued in effect or converted into an award or right with respect to stock of the successor or surviving corporation (or a parent or subsidiary thereof) (in the case of Options and SARs awarded to a Participant to whom Section 18 applies, in a manner that complies with Sections 424 and 409A of the Code if those sections apply to the Award), then upon the occurrence of a Termination of Service of a Participant by the Company without Cause within 24 months following the Change in Control, on the date of such Termination of Service, such Award held by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20"/>
          </w:cols>
          <w:pgMar w:left="680" w:top="269" w:right="699" w:bottom="1440" w:gutter="0" w:footer="0" w:header="0"/>
        </w:sectPr>
      </w:pPr>
    </w:p>
    <w:bookmarkStart w:id="221" w:name="page222"/>
    <w:bookmarkEnd w:id="221"/>
    <w:p>
      <w:pPr>
        <w:ind w:left="420" w:right="180"/>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such Participant shall immediately vest and settle, and with respect to Options and SARs, shall become exercisable and shall remain exercisable for one year.</w:t>
      </w:r>
    </w:p>
    <w:p>
      <w:pPr>
        <w:spacing w:after="0" w:line="55" w:lineRule="exact"/>
        <w:rPr>
          <w:sz w:val="20"/>
          <w:szCs w:val="20"/>
          <w:color w:val="auto"/>
        </w:rPr>
      </w:pPr>
    </w:p>
    <w:p>
      <w:pPr>
        <w:ind w:left="420" w:right="180" w:firstLine="805"/>
        <w:spacing w:after="0" w:line="284" w:lineRule="auto"/>
        <w:tabs>
          <w:tab w:leader="none" w:pos="161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outstanding Awards are not continued or converted as described in subsection (i) above, then on the Change in Control, such Awards shall immediately vest and settle and, in the case of Options and SARs, shall become fully exercisable.</w:t>
      </w:r>
    </w:p>
    <w:p>
      <w:pPr>
        <w:spacing w:after="0" w:line="159" w:lineRule="exact"/>
        <w:rPr>
          <w:sz w:val="20"/>
          <w:szCs w:val="20"/>
          <w:color w:val="auto"/>
        </w:rPr>
      </w:pPr>
    </w:p>
    <w:p>
      <w:pPr>
        <w:ind w:right="320"/>
        <w:spacing w:after="0" w:line="321" w:lineRule="auto"/>
        <w:rPr>
          <w:sz w:val="20"/>
          <w:szCs w:val="20"/>
          <w:color w:val="auto"/>
        </w:rPr>
      </w:pPr>
      <w:r>
        <w:rPr>
          <w:rFonts w:ascii="Arial" w:cs="Arial" w:eastAsia="Arial" w:hAnsi="Arial"/>
          <w:sz w:val="15"/>
          <w:szCs w:val="15"/>
          <w:color w:val="auto"/>
        </w:rPr>
        <w:t>For purposes of subsections (i) and (ii) above, no Option, SAR, Restricted Stock or RSU shall be treated as “continued or converted” on a basis consistent with the requirements of subsection (i) or (ii), as applicable, unless the stock underlying such award after such continuation or conversion consists of securities of a class that is widely held and publicly traded on a recognized United States or International securities exchange.</w:t>
      </w:r>
    </w:p>
    <w:p>
      <w:pPr>
        <w:spacing w:after="0" w:line="137" w:lineRule="exact"/>
        <w:rPr>
          <w:sz w:val="20"/>
          <w:szCs w:val="20"/>
          <w:color w:val="auto"/>
        </w:rPr>
      </w:pPr>
    </w:p>
    <w:p>
      <w:pPr>
        <w:ind w:firstLine="836"/>
        <w:spacing w:after="0" w:line="260" w:lineRule="auto"/>
        <w:tabs>
          <w:tab w:leader="none" w:pos="120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 addition, in the event of a Change in Control or other Adjustment Event and to the extent permitted under applicable law and not inconsistent with the provisions of Section 11(a) above or the applicable Award Document, the Committee, in its sole discretion, and on such terms and conditions as it deems appropriate, either by the terms of the Award or by action taken prior to the occurrence of such Change in Control or other Adjustment Event, may take any one or more of the following actions whenever the Committee determines that such action is appropriate or desirable in order to prevent the dilution or enlargement of the benefits intended to be made available under the Plan or to facilitate the Change in Control transaction or other Adjustment Event:</w:t>
      </w:r>
    </w:p>
    <w:p>
      <w:pPr>
        <w:spacing w:after="0" w:line="76" w:lineRule="exact"/>
        <w:rPr>
          <w:rFonts w:ascii="Arial" w:cs="Arial" w:eastAsia="Arial" w:hAnsi="Arial"/>
          <w:sz w:val="17"/>
          <w:szCs w:val="17"/>
          <w:color w:val="auto"/>
        </w:rPr>
      </w:pPr>
    </w:p>
    <w:p>
      <w:pPr>
        <w:ind w:left="420" w:right="20" w:firstLine="805"/>
        <w:spacing w:after="0" w:line="321" w:lineRule="auto"/>
        <w:tabs>
          <w:tab w:leader="none" w:pos="1567" w:val="left"/>
        </w:tabs>
        <w:numPr>
          <w:ilvl w:val="1"/>
          <w:numId w:val="158"/>
        </w:numPr>
        <w:rPr>
          <w:rFonts w:ascii="Arial" w:cs="Arial" w:eastAsia="Arial" w:hAnsi="Arial"/>
          <w:sz w:val="15"/>
          <w:szCs w:val="15"/>
          <w:color w:val="auto"/>
        </w:rPr>
      </w:pPr>
      <w:r>
        <w:rPr>
          <w:rFonts w:ascii="Arial" w:cs="Arial" w:eastAsia="Arial" w:hAnsi="Arial"/>
          <w:sz w:val="15"/>
          <w:szCs w:val="15"/>
          <w:color w:val="auto"/>
        </w:rPr>
        <w:t>to terminate or cancel any outstanding Award in exchange for a cash payment (and, for the avoidance of doubt, if as of the date of the Change in Control or other Adjustment Event, the Committee determines that no amount would have been realized upon the exercise of the Award or other realization of the Participant’s rights, then the Award may be cancelled by the Company without payment of consideration);</w:t>
      </w:r>
    </w:p>
    <w:p>
      <w:pPr>
        <w:spacing w:after="0" w:line="33" w:lineRule="exact"/>
        <w:rPr>
          <w:rFonts w:ascii="Arial" w:cs="Arial" w:eastAsia="Arial" w:hAnsi="Arial"/>
          <w:sz w:val="15"/>
          <w:szCs w:val="15"/>
          <w:color w:val="auto"/>
        </w:rPr>
      </w:pPr>
    </w:p>
    <w:p>
      <w:pPr>
        <w:ind w:left="420" w:right="60" w:firstLine="805"/>
        <w:spacing w:after="0" w:line="279" w:lineRule="auto"/>
        <w:tabs>
          <w:tab w:leader="none" w:pos="1615"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to provide for the assumption, substitution, replacement or continuation of any Award by the successor or surviving corporation (or a parent or subsidiary thereof) with cash, securities, rights or other property to be paid or issued, as the case may be, by the successor or surviving corporation (or a parent or subsidiary thereof), and to provide for appropriate adjustments with respect to the number and type of securities (or other consideration) of the successor or surviving corporation (or a parent or subsidiary thereof), subject to any replacement awards, the terms and conditions of the replacement awards (including, without limitation, any applicable performance targets or criteria with respect thereto) and the grant, exercise or purchase price per share for the replacement awards;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40"/>
          </w:cols>
          <w:pgMar w:left="680" w:top="270" w:right="679" w:bottom="1440" w:gutter="0" w:footer="0" w:header="0"/>
        </w:sectPr>
      </w:pPr>
    </w:p>
    <w:bookmarkStart w:id="222" w:name="page223"/>
    <w:bookmarkEnd w:id="222"/>
    <w:p>
      <w:pPr>
        <w:ind w:left="420" w:firstLine="805"/>
        <w:spacing w:after="0" w:line="269" w:lineRule="auto"/>
        <w:tabs>
          <w:tab w:leader="none" w:pos="1663" w:val="left"/>
        </w:tabs>
        <w:numPr>
          <w:ilvl w:val="0"/>
          <w:numId w:val="1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to make any other adjustments in the number and type of securities (or other consideration) subject to outstanding Awards and in the terms and conditions of outstanding Awards (including the grant or exercise price and performance criteria with respect thereto) and Awards that may be granted in the future;</w:t>
      </w:r>
    </w:p>
    <w:p>
      <w:pPr>
        <w:spacing w:after="0" w:line="67" w:lineRule="exact"/>
        <w:rPr>
          <w:rFonts w:ascii="Arial" w:cs="Arial" w:eastAsia="Arial" w:hAnsi="Arial"/>
          <w:sz w:val="17"/>
          <w:szCs w:val="17"/>
          <w:color w:val="auto"/>
        </w:rPr>
      </w:pPr>
    </w:p>
    <w:p>
      <w:pPr>
        <w:ind w:left="420" w:right="280" w:firstLine="805"/>
        <w:spacing w:after="0" w:line="284" w:lineRule="auto"/>
        <w:tabs>
          <w:tab w:leader="none" w:pos="165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to provide that any Award shall be accelerated and become exercisable, payable and/or fully vested with respect to all Shares covered thereby, notwithstanding anything to the contrary in the Plan or the applicable Award Document; and</w:t>
      </w:r>
    </w:p>
    <w:p>
      <w:pPr>
        <w:spacing w:after="0" w:line="55" w:lineRule="exact"/>
        <w:rPr>
          <w:rFonts w:ascii="Arial" w:cs="Arial" w:eastAsia="Arial" w:hAnsi="Arial"/>
          <w:sz w:val="17"/>
          <w:szCs w:val="17"/>
          <w:color w:val="auto"/>
        </w:rPr>
      </w:pPr>
    </w:p>
    <w:p>
      <w:pPr>
        <w:ind w:left="1600" w:hanging="375"/>
        <w:spacing w:after="0"/>
        <w:tabs>
          <w:tab w:leader="none" w:pos="16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to provide that any Award shall not vest, be exercised or become payable as a result of such event.</w:t>
      </w:r>
    </w:p>
    <w:p>
      <w:pPr>
        <w:spacing w:after="0" w:line="3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Section 12</w:t>
      </w:r>
      <w:r>
        <w:rPr>
          <w:rFonts w:ascii="Arial" w:cs="Arial" w:eastAsia="Arial" w:hAnsi="Arial"/>
          <w:sz w:val="17"/>
          <w:szCs w:val="17"/>
          <w:i w:val="1"/>
          <w:iCs w:val="1"/>
          <w:color w:val="auto"/>
        </w:rPr>
        <w:t>. General Provisions Applicable to Awards.</w:t>
      </w:r>
    </w:p>
    <w:p>
      <w:pPr>
        <w:spacing w:after="0" w:line="115" w:lineRule="exact"/>
        <w:rPr>
          <w:sz w:val="20"/>
          <w:szCs w:val="20"/>
          <w:color w:val="auto"/>
        </w:rPr>
      </w:pPr>
    </w:p>
    <w:p>
      <w:pPr>
        <w:ind w:right="100" w:firstLine="836"/>
        <w:spacing w:after="0" w:line="284" w:lineRule="auto"/>
        <w:tabs>
          <w:tab w:leader="none" w:pos="12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Awards shall be granted for no cash consideration or for such minimal cash consideration as may be required by applicable law unless otherwise determined by the Committee.</w:t>
      </w:r>
    </w:p>
    <w:p>
      <w:pPr>
        <w:spacing w:after="0" w:line="158" w:lineRule="exact"/>
        <w:rPr>
          <w:rFonts w:ascii="Arial" w:cs="Arial" w:eastAsia="Arial" w:hAnsi="Arial"/>
          <w:sz w:val="17"/>
          <w:szCs w:val="17"/>
          <w:color w:val="auto"/>
        </w:rPr>
      </w:pPr>
    </w:p>
    <w:p>
      <w:pPr>
        <w:ind w:right="140" w:firstLine="836"/>
        <w:spacing w:after="0" w:line="264" w:lineRule="auto"/>
        <w:tabs>
          <w:tab w:leader="none" w:pos="121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75" w:lineRule="exact"/>
        <w:rPr>
          <w:rFonts w:ascii="Arial" w:cs="Arial" w:eastAsia="Arial" w:hAnsi="Arial"/>
          <w:sz w:val="17"/>
          <w:szCs w:val="17"/>
          <w:color w:val="auto"/>
        </w:rPr>
      </w:pPr>
    </w:p>
    <w:p>
      <w:pPr>
        <w:ind w:right="20" w:firstLine="836"/>
        <w:spacing w:after="0" w:line="304" w:lineRule="auto"/>
        <w:tabs>
          <w:tab w:leader="none" w:pos="1209" w:val="left"/>
        </w:tabs>
        <w:numPr>
          <w:ilvl w:val="0"/>
          <w:numId w:val="160"/>
        </w:numPr>
        <w:rPr>
          <w:rFonts w:ascii="Arial" w:cs="Arial" w:eastAsia="Arial" w:hAnsi="Arial"/>
          <w:sz w:val="15"/>
          <w:szCs w:val="15"/>
          <w:color w:val="auto"/>
        </w:rPr>
      </w:pPr>
      <w:r>
        <w:rPr>
          <w:rFonts w:ascii="Arial" w:cs="Arial" w:eastAsia="Arial" w:hAnsi="Arial"/>
          <w:sz w:val="15"/>
          <w:szCs w:val="15"/>
          <w:color w:val="auto"/>
        </w:rPr>
        <w:t>Subject to the terms of the Plan and Section 18, payments or transfers to be made by the Company upon the grant, exercise or settlement of an Award may be made in the form of cash, Shares, other Awards, other property, net settlement or any combination thereof, as determined by the Committee in its discretion,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150" w:lineRule="exact"/>
        <w:rPr>
          <w:rFonts w:ascii="Arial" w:cs="Arial" w:eastAsia="Arial" w:hAnsi="Arial"/>
          <w:sz w:val="15"/>
          <w:szCs w:val="15"/>
          <w:color w:val="auto"/>
        </w:rPr>
      </w:pPr>
    </w:p>
    <w:p>
      <w:pPr>
        <w:ind w:right="60" w:firstLine="836"/>
        <w:spacing w:after="0" w:line="281" w:lineRule="auto"/>
        <w:tabs>
          <w:tab w:leader="none" w:pos="121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as may be permitted by the Committee or as specifically provided in an Award Document, (i) no Award and no right under any Award shall be assignable, alienable, saleable or transferable by a Participant otherwise than by will or pursuant to Section 12(e) and (ii) during a Participant’s lifetime, each Award, and each right under any Award, shall be exercisable only by the Participant or, if permissible under applicable law, by the Participant’s guardian or legal representative. The provisions of this Section 12(d) shall not apply to any Award that has been fully exercised or settled, as the case may be, and shall not preclude forfeiture of an Award in accordance with the terms thereof.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40"/>
          </w:cols>
          <w:pgMar w:left="680" w:top="269" w:right="679" w:bottom="1440" w:gutter="0" w:footer="0" w:header="0"/>
        </w:sectPr>
      </w:pPr>
    </w:p>
    <w:bookmarkStart w:id="223" w:name="page224"/>
    <w:bookmarkEnd w:id="223"/>
    <w:p>
      <w:pPr>
        <w:ind w:right="60" w:firstLine="836"/>
        <w:spacing w:after="0" w:line="284" w:lineRule="auto"/>
        <w:tabs>
          <w:tab w:leader="none" w:pos="12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 Participant may designate a Beneficiary or change a previous Beneficiary designation at such times prescribed by the Committee by using forms and following procedures approved or accepted by the Committee for that purpose.</w:t>
      </w:r>
    </w:p>
    <w:p>
      <w:pPr>
        <w:spacing w:after="0" w:line="158" w:lineRule="exact"/>
        <w:rPr>
          <w:rFonts w:ascii="Arial" w:cs="Arial" w:eastAsia="Arial" w:hAnsi="Arial"/>
          <w:sz w:val="17"/>
          <w:szCs w:val="17"/>
          <w:color w:val="auto"/>
        </w:rPr>
      </w:pPr>
    </w:p>
    <w:p>
      <w:pPr>
        <w:ind w:firstLine="836"/>
        <w:spacing w:after="0" w:line="261" w:lineRule="auto"/>
        <w:tabs>
          <w:tab w:leader="none" w:pos="118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All certificates for Shares and/or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spacing w:after="0" w:line="180" w:lineRule="exact"/>
        <w:rPr>
          <w:rFonts w:ascii="Arial" w:cs="Arial" w:eastAsia="Arial" w:hAnsi="Arial"/>
          <w:sz w:val="17"/>
          <w:szCs w:val="17"/>
          <w:color w:val="auto"/>
        </w:rPr>
      </w:pPr>
    </w:p>
    <w:p>
      <w:pPr>
        <w:ind w:firstLine="836"/>
        <w:spacing w:after="0" w:line="269" w:lineRule="auto"/>
        <w:tabs>
          <w:tab w:leader="none" w:pos="121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Without limiting the generality of Section 12(h), the Committee may impose restrictions on any Award with respect to noncompetition, confidentiality and other restrictive covenants, or requirements to comply with minimum stock ownership requirements, as it deems necessary or appropriate in its sole discretion.</w:t>
      </w:r>
    </w:p>
    <w:p>
      <w:pPr>
        <w:spacing w:after="0" w:line="171" w:lineRule="exact"/>
        <w:rPr>
          <w:rFonts w:ascii="Arial" w:cs="Arial" w:eastAsia="Arial" w:hAnsi="Arial"/>
          <w:sz w:val="17"/>
          <w:szCs w:val="17"/>
          <w:color w:val="auto"/>
        </w:rPr>
      </w:pPr>
    </w:p>
    <w:p>
      <w:pPr>
        <w:ind w:right="60" w:firstLine="836"/>
        <w:spacing w:after="0" w:line="258" w:lineRule="auto"/>
        <w:tabs>
          <w:tab w:leader="none" w:pos="1216"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Committee may specify in an Award Document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Document) or remain in effect, depending on the outcome), violation of material policies, breach of noncompetition, confidentiality or other restrictive covenants that may apply to the Participant, or other conduct by the Participant that is detrimental to the business or reputation of the Company and/or its Affiliates.</w:t>
      </w:r>
    </w:p>
    <w:p>
      <w:pPr>
        <w:spacing w:after="0" w:line="183" w:lineRule="exact"/>
        <w:rPr>
          <w:rFonts w:ascii="Arial" w:cs="Arial" w:eastAsia="Arial" w:hAnsi="Arial"/>
          <w:sz w:val="17"/>
          <w:szCs w:val="17"/>
          <w:color w:val="auto"/>
        </w:rPr>
      </w:pPr>
    </w:p>
    <w:p>
      <w:pPr>
        <w:ind w:right="100" w:firstLine="836"/>
        <w:spacing w:after="0" w:line="269" w:lineRule="auto"/>
        <w:tabs>
          <w:tab w:leader="none" w:pos="118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Rights, payments and benefits under any Award shall be subject to repayment to or recoupment (“clawback”) by the Company in accordance with such policies and procedures as the Committee or Board may adopt from time to time, including policies and procedures to implement applicable law, stock market or exchange rules and regulations or accounting or tax rules and regulations.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Section 13</w:t>
      </w:r>
      <w:r>
        <w:rPr>
          <w:rFonts w:ascii="Arial" w:cs="Arial" w:eastAsia="Arial" w:hAnsi="Arial"/>
          <w:sz w:val="17"/>
          <w:szCs w:val="17"/>
          <w:i w:val="1"/>
          <w:iCs w:val="1"/>
          <w:color w:val="auto"/>
        </w:rPr>
        <w:t>. Amendments and Termination.</w:t>
      </w:r>
    </w:p>
    <w:p>
      <w:pPr>
        <w:spacing w:after="0" w:line="115" w:lineRule="exact"/>
        <w:rPr>
          <w:sz w:val="20"/>
          <w:szCs w:val="20"/>
          <w:color w:val="auto"/>
        </w:rPr>
      </w:pPr>
    </w:p>
    <w:p>
      <w:pPr>
        <w:ind w:right="220" w:firstLine="836"/>
        <w:spacing w:after="0" w:line="284" w:lineRule="auto"/>
        <w:tabs>
          <w:tab w:leader="none" w:pos="120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Except to the extent prohibited by applicable law and unless otherwise expressly provided in an Award Document or in the Plan, the Board may amend, alter, suspend, discontinue or terminate the Plan or any portion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40"/>
          </w:cols>
          <w:pgMar w:left="680" w:top="270" w:right="679" w:bottom="1440" w:gutter="0" w:footer="0" w:header="0"/>
        </w:sectPr>
      </w:pPr>
    </w:p>
    <w:bookmarkStart w:id="224" w:name="page225"/>
    <w:bookmarkEnd w:id="224"/>
    <w:p>
      <w:pPr>
        <w:ind w:left="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thereof at any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amendment, alteration, suspension, discontinuation or termination shall be made without</w:t>
      </w:r>
    </w:p>
    <w:p>
      <w:pPr>
        <w:spacing w:after="0" w:line="36" w:lineRule="exact"/>
        <w:rPr>
          <w:sz w:val="20"/>
          <w:szCs w:val="20"/>
          <w:color w:val="auto"/>
        </w:rPr>
      </w:pPr>
    </w:p>
    <w:p>
      <w:pPr>
        <w:ind w:left="9" w:right="40" w:hanging="9"/>
        <w:spacing w:after="0" w:line="256" w:lineRule="auto"/>
        <w:tabs>
          <w:tab w:leader="none" w:pos="21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shareholder approval, if such approval is required by applicable law or the rules of the stock market or exchange, if any, on which the Shares are principally quoted or traded or (ii) the consent of the affected Participant, if such action would materially adversely affect the rights of such Participant under any outstanding Award, except to the extent any such amendment, alteration, suspension, discontinuance or termination is made to cause the Plan to comply with applicable law, stock market or exchange rules and regulations or accounting or tax rules and regulations, or to impose any recoupment provisions on any Awards in accordance with Section 12(i). Notwithstanding anything to the contrary in the Plan, the Committee may amend the Plan in such manner as may be necessary to enable the Plan to achieve its stated purposes in any jurisdiction in a tax-efficient manner and in compliance with local laws, rules and regulations.</w:t>
      </w:r>
    </w:p>
    <w:p>
      <w:pPr>
        <w:spacing w:after="0" w:line="185" w:lineRule="exact"/>
        <w:rPr>
          <w:rFonts w:ascii="Arial" w:cs="Arial" w:eastAsia="Arial" w:hAnsi="Arial"/>
          <w:sz w:val="17"/>
          <w:szCs w:val="17"/>
          <w:color w:val="auto"/>
        </w:rPr>
      </w:pPr>
    </w:p>
    <w:p>
      <w:pPr>
        <w:ind w:left="9" w:firstLine="836"/>
        <w:spacing w:after="0" w:line="290" w:lineRule="auto"/>
        <w:tabs>
          <w:tab w:leader="none" w:pos="1225" w:val="left"/>
        </w:tabs>
        <w:numPr>
          <w:ilvl w:val="1"/>
          <w:numId w:val="163"/>
        </w:numPr>
        <w:rPr>
          <w:rFonts w:ascii="Arial" w:cs="Arial" w:eastAsia="Arial" w:hAnsi="Arial"/>
          <w:sz w:val="15"/>
          <w:szCs w:val="15"/>
          <w:color w:val="auto"/>
        </w:rPr>
      </w:pPr>
      <w:r>
        <w:rPr>
          <w:rFonts w:ascii="Arial" w:cs="Arial" w:eastAsia="Arial" w:hAnsi="Arial"/>
          <w:sz w:val="15"/>
          <w:szCs w:val="15"/>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subject to Section 4(c) and Section 18, no such action shall materially adversely affect the rights of any affected Participant or holder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Beneficiary under any Award theretofore granted under the Plan, except to the extent any such action is made to cause the Plan to comply with applicable law, stock market or exchange rules and regulations or accounting or tax rules and regulations, or to impose any recoupment provisions on any Awards in accordance with Section 12(i);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except as provided in Section 4(c), the Committee shall not without the approval of the Company’s shareholders (a) lower the exercise price per Share of an Option or SAR after it is granted or take any other action that would be treated as a repricing of such Award under the rules of the principal stock market or exchange on which the Company’s Shares are quoted or traded, or</w:t>
      </w:r>
    </w:p>
    <w:p>
      <w:pPr>
        <w:spacing w:after="0" w:line="2" w:lineRule="exact"/>
        <w:rPr>
          <w:rFonts w:ascii="Arial" w:cs="Arial" w:eastAsia="Arial" w:hAnsi="Arial"/>
          <w:sz w:val="15"/>
          <w:szCs w:val="15"/>
          <w:color w:val="auto"/>
        </w:rPr>
      </w:pPr>
    </w:p>
    <w:p>
      <w:pPr>
        <w:ind w:left="9" w:right="400" w:hanging="9"/>
        <w:spacing w:after="0" w:line="268" w:lineRule="auto"/>
        <w:tabs>
          <w:tab w:leader="none" w:pos="25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cancel an Option or SAR when the exercise price per Share exceeds the Fair Market Value in exchange for cash or another Award (other than in connection with a Change in Control).</w:t>
      </w:r>
    </w:p>
    <w:p>
      <w:pPr>
        <w:spacing w:after="0" w:line="172" w:lineRule="exact"/>
        <w:rPr>
          <w:rFonts w:ascii="Arial" w:cs="Arial" w:eastAsia="Arial" w:hAnsi="Arial"/>
          <w:sz w:val="17"/>
          <w:szCs w:val="17"/>
          <w:color w:val="auto"/>
        </w:rPr>
      </w:pPr>
    </w:p>
    <w:p>
      <w:pPr>
        <w:ind w:left="9" w:right="60" w:firstLine="836"/>
        <w:spacing w:after="0" w:line="261" w:lineRule="auto"/>
        <w:tabs>
          <w:tab w:leader="none" w:pos="1219" w:val="left"/>
        </w:tabs>
        <w:numPr>
          <w:ilvl w:val="1"/>
          <w:numId w:val="164"/>
        </w:numPr>
        <w:rPr>
          <w:rFonts w:ascii="Arial" w:cs="Arial" w:eastAsia="Arial" w:hAnsi="Arial"/>
          <w:sz w:val="17"/>
          <w:szCs w:val="17"/>
          <w:color w:val="auto"/>
        </w:rPr>
      </w:pPr>
      <w:r>
        <w:rPr>
          <w:rFonts w:ascii="Arial" w:cs="Arial" w:eastAsia="Arial" w:hAnsi="Arial"/>
          <w:sz w:val="17"/>
          <w:szCs w:val="17"/>
          <w:color w:val="auto"/>
        </w:rPr>
        <w:t>Except as provided in Section 9(b), the Committee shall be authorized to make adjustments in the terms and conditions of, and the criteria included in, Awards in recognition of events (including the events described in Section 4(c)) affecting the Company, or the financial statements of the Company, or of changes in applicable law, stock market or exchange rules and regulations or accounting or tax rules and regulations, whenever the Committee determines that such adjustments are appropriate in order to prevent dilution or enlargement of the benefits or potential benefits intended to be made available under the Plan.</w:t>
      </w:r>
    </w:p>
    <w:p>
      <w:pPr>
        <w:spacing w:after="0" w:line="180" w:lineRule="exact"/>
        <w:rPr>
          <w:rFonts w:ascii="Arial" w:cs="Arial" w:eastAsia="Arial" w:hAnsi="Arial"/>
          <w:sz w:val="17"/>
          <w:szCs w:val="17"/>
          <w:color w:val="auto"/>
        </w:rPr>
      </w:pPr>
    </w:p>
    <w:p>
      <w:pPr>
        <w:ind w:left="9" w:right="260" w:firstLine="836"/>
        <w:spacing w:after="0" w:line="284" w:lineRule="auto"/>
        <w:tabs>
          <w:tab w:leader="none" w:pos="1225"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Committee may correct any defect, supply any omission or reconcile any inconsistency in the Plan or any Award in the manner and to the extent it shall deem desirable to carry the Plan into effect.</w:t>
      </w:r>
    </w:p>
    <w:p>
      <w:pPr>
        <w:spacing w:after="0" w:line="9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69"/>
          </w:cols>
          <w:pgMar w:left="671" w:top="270" w:right="659" w:bottom="1440" w:gutter="0" w:footer="0" w:header="0"/>
        </w:sectPr>
      </w:pPr>
    </w:p>
    <w:bookmarkStart w:id="225" w:name="page226"/>
    <w:bookmarkEnd w:id="225"/>
    <w:p>
      <w:pPr>
        <w:ind w:right="120" w:firstLine="423"/>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Section 14. </w:t>
      </w:r>
      <w:r>
        <w:rPr>
          <w:rFonts w:ascii="Arial" w:cs="Arial" w:eastAsia="Arial" w:hAnsi="Arial"/>
          <w:sz w:val="16"/>
          <w:szCs w:val="16"/>
          <w:i w:val="1"/>
          <w:iCs w:val="1"/>
          <w:color w:val="auto"/>
        </w:rPr>
        <w:t>Prohibition on Option and SAR Repricing.</w:t>
      </w:r>
      <w:r>
        <w:rPr>
          <w:rFonts w:ascii="Arial" w:cs="Arial" w:eastAsia="Arial" w:hAnsi="Arial"/>
          <w:sz w:val="16"/>
          <w:szCs w:val="16"/>
          <w:color w:val="auto"/>
        </w:rPr>
        <w:t xml:space="preserve"> Except as provided in Section 4(c), the Committee may not, without prior approval of the Company’s shareholders, seek to effect any re-pricing of any previously granted “underwater” Option or SAR by: (i) amending or modifying the terms of the Option or SAR to lower the exercise price; (ii) cancelling the underwater Option or SAR and granting either (A) replacement Options or SARs having a lower exercise price or (B) Restricted Stock, RSU, Performance Award or Other Stock-Based Award in exchange; or (iii) cancelling or repurchasing the underwater Options or SARs for cash or other securities. An Option or SAR will be deemed to be “underwater” at any time when the Fair Market Value of the Shares covered by such Award is less than the exercise price of the Award.</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Section 15</w:t>
      </w:r>
      <w:r>
        <w:rPr>
          <w:rFonts w:ascii="Arial" w:cs="Arial" w:eastAsia="Arial" w:hAnsi="Arial"/>
          <w:sz w:val="17"/>
          <w:szCs w:val="17"/>
          <w:i w:val="1"/>
          <w:iCs w:val="1"/>
          <w:color w:val="auto"/>
        </w:rPr>
        <w:t>. Miscellaneous.</w:t>
      </w:r>
    </w:p>
    <w:p>
      <w:pPr>
        <w:spacing w:after="0" w:line="115" w:lineRule="exact"/>
        <w:rPr>
          <w:sz w:val="20"/>
          <w:szCs w:val="20"/>
          <w:color w:val="auto"/>
        </w:rPr>
      </w:pPr>
    </w:p>
    <w:p>
      <w:pPr>
        <w:jc w:val="both"/>
        <w:ind w:right="160" w:firstLine="836"/>
        <w:spacing w:after="0" w:line="285" w:lineRule="auto"/>
        <w:tabs>
          <w:tab w:leader="none" w:pos="120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 Any Award granted under the Plan shall be a one-time Award that does not constitute a promise of future grants. The Company, in its sole discretion, maintains the right to make available future grants under the Plan.</w:t>
      </w:r>
    </w:p>
    <w:p>
      <w:pPr>
        <w:spacing w:after="0" w:line="161" w:lineRule="exact"/>
        <w:rPr>
          <w:rFonts w:ascii="Arial" w:cs="Arial" w:eastAsia="Arial" w:hAnsi="Arial"/>
          <w:sz w:val="16"/>
          <w:szCs w:val="16"/>
          <w:color w:val="auto"/>
        </w:rPr>
      </w:pPr>
    </w:p>
    <w:p>
      <w:pPr>
        <w:ind w:right="40" w:firstLine="836"/>
        <w:spacing w:after="0" w:line="261" w:lineRule="auto"/>
        <w:tabs>
          <w:tab w:leader="none" w:pos="121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grant of an Award shall not be construed as giving a Participant the right to be retained in the employ of, or to continue to provide services to, the Company or any Affiliate. Further, the Company or the applicable subsidiary may at any time dismiss a Participant, free from any liability, or any claim under the Plan, unless otherwise expressly provided in the Plan or in any Award Document or in any other agreement binding the parties. The receipt of any Award under the Plan is not intended to confer any rights on the receiving Participant except as set forth in the applicable Award Document.</w:t>
      </w:r>
    </w:p>
    <w:p>
      <w:pPr>
        <w:spacing w:after="0" w:line="180" w:lineRule="exact"/>
        <w:rPr>
          <w:rFonts w:ascii="Arial" w:cs="Arial" w:eastAsia="Arial" w:hAnsi="Arial"/>
          <w:sz w:val="17"/>
          <w:szCs w:val="17"/>
          <w:color w:val="auto"/>
        </w:rPr>
      </w:pPr>
    </w:p>
    <w:p>
      <w:pPr>
        <w:ind w:right="440" w:firstLine="836"/>
        <w:spacing w:after="0" w:line="284" w:lineRule="auto"/>
        <w:tabs>
          <w:tab w:leader="none" w:pos="120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58" w:lineRule="exact"/>
        <w:rPr>
          <w:rFonts w:ascii="Arial" w:cs="Arial" w:eastAsia="Arial" w:hAnsi="Arial"/>
          <w:sz w:val="17"/>
          <w:szCs w:val="17"/>
          <w:color w:val="auto"/>
        </w:rPr>
      </w:pPr>
    </w:p>
    <w:p>
      <w:pPr>
        <w:ind w:firstLine="836"/>
        <w:spacing w:after="0" w:line="279" w:lineRule="auto"/>
        <w:tabs>
          <w:tab w:leader="none" w:pos="121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Company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or par value amounts (to the extent required to be paid in cash) due in respect of an Award, its exercise or settlement or any payment or transfer under such Award or under the Plan and to take such other action (including providing for elective payment of such amounts in cash or Shares by the Participant) as may be necessary in the opinion of the Company to satisfy all obligations for the payment of such taxes or par value amounts (to the extent required to be paid in cash).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20"/>
          </w:cols>
          <w:pgMar w:left="680" w:top="269" w:right="699" w:bottom="1440" w:gutter="0" w:footer="0" w:header="0"/>
        </w:sectPr>
      </w:pPr>
    </w:p>
    <w:bookmarkStart w:id="226" w:name="page227"/>
    <w:bookmarkEnd w:id="226"/>
    <w:p>
      <w:pPr>
        <w:ind w:right="460" w:firstLine="836"/>
        <w:spacing w:after="0" w:line="281" w:lineRule="auto"/>
        <w:tabs>
          <w:tab w:leader="none" w:pos="1209" w:val="left"/>
        </w:tabs>
        <w:numPr>
          <w:ilvl w:val="0"/>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166" w:lineRule="exact"/>
        <w:rPr>
          <w:rFonts w:ascii="Arial" w:cs="Arial" w:eastAsia="Arial" w:hAnsi="Arial"/>
          <w:sz w:val="16"/>
          <w:szCs w:val="16"/>
          <w:color w:val="auto"/>
        </w:rPr>
      </w:pPr>
    </w:p>
    <w:p>
      <w:pPr>
        <w:ind w:right="320" w:firstLine="836"/>
        <w:spacing w:after="0" w:line="293" w:lineRule="auto"/>
        <w:tabs>
          <w:tab w:leader="none" w:pos="119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54" w:lineRule="exact"/>
        <w:rPr>
          <w:rFonts w:ascii="Arial" w:cs="Arial" w:eastAsia="Arial" w:hAnsi="Arial"/>
          <w:sz w:val="16"/>
          <w:szCs w:val="16"/>
          <w:color w:val="auto"/>
        </w:rPr>
      </w:pPr>
    </w:p>
    <w:p>
      <w:pPr>
        <w:jc w:val="both"/>
        <w:ind w:right="140" w:firstLine="836"/>
        <w:spacing w:after="0" w:line="269" w:lineRule="auto"/>
        <w:tabs>
          <w:tab w:leader="none" w:pos="1219"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171" w:lineRule="exact"/>
        <w:rPr>
          <w:rFonts w:ascii="Arial" w:cs="Arial" w:eastAsia="Arial" w:hAnsi="Arial"/>
          <w:sz w:val="17"/>
          <w:szCs w:val="17"/>
          <w:color w:val="auto"/>
        </w:rPr>
      </w:pPr>
    </w:p>
    <w:p>
      <w:pPr>
        <w:ind w:right="20" w:firstLine="836"/>
        <w:spacing w:after="0" w:line="310" w:lineRule="auto"/>
        <w:tabs>
          <w:tab w:leader="none" w:pos="121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Awards may be granted to Participants who are non-US nationals or employed outside the US, or both, on such terms and conditions different from those applicable to Awards to Participants who are employed in the US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Section 16</w:t>
      </w:r>
      <w:r>
        <w:rPr>
          <w:rFonts w:ascii="Arial" w:cs="Arial" w:eastAsia="Arial" w:hAnsi="Arial"/>
          <w:sz w:val="17"/>
          <w:szCs w:val="17"/>
          <w:i w:val="1"/>
          <w:iCs w:val="1"/>
          <w:color w:val="auto"/>
        </w:rPr>
        <w:t>. Effective Date of the Plan.</w:t>
      </w:r>
      <w:r>
        <w:rPr>
          <w:rFonts w:ascii="Arial" w:cs="Arial" w:eastAsia="Arial" w:hAnsi="Arial"/>
          <w:sz w:val="17"/>
          <w:szCs w:val="17"/>
          <w:color w:val="auto"/>
        </w:rPr>
        <w:t xml:space="preserve"> The Plan is effective as of the Effective Date.</w:t>
      </w:r>
    </w:p>
    <w:p>
      <w:pPr>
        <w:spacing w:after="0" w:line="219" w:lineRule="exact"/>
        <w:rPr>
          <w:sz w:val="20"/>
          <w:szCs w:val="20"/>
          <w:color w:val="auto"/>
        </w:rPr>
      </w:pPr>
    </w:p>
    <w:p>
      <w:pPr>
        <w:ind w:firstLine="423"/>
        <w:spacing w:after="0" w:line="281" w:lineRule="auto"/>
        <w:rPr>
          <w:sz w:val="20"/>
          <w:szCs w:val="20"/>
          <w:color w:val="auto"/>
        </w:rPr>
      </w:pPr>
      <w:r>
        <w:rPr>
          <w:rFonts w:ascii="Arial" w:cs="Arial" w:eastAsia="Arial" w:hAnsi="Arial"/>
          <w:sz w:val="16"/>
          <w:szCs w:val="16"/>
          <w:color w:val="auto"/>
        </w:rPr>
        <w:t>Section 17</w:t>
      </w:r>
      <w:r>
        <w:rPr>
          <w:rFonts w:ascii="Arial" w:cs="Arial" w:eastAsia="Arial" w:hAnsi="Arial"/>
          <w:sz w:val="16"/>
          <w:szCs w:val="16"/>
          <w:i w:val="1"/>
          <w:iCs w:val="1"/>
          <w:color w:val="auto"/>
        </w:rPr>
        <w:t>. Term of the Plan.</w:t>
      </w:r>
      <w:r>
        <w:rPr>
          <w:rFonts w:ascii="Arial" w:cs="Arial" w:eastAsia="Arial" w:hAnsi="Arial"/>
          <w:sz w:val="16"/>
          <w:szCs w:val="16"/>
          <w:color w:val="auto"/>
        </w:rPr>
        <w:t xml:space="preserve"> No Award shall be granted under the Plan after the earliest to occur of (i) the ten-year anniversary of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permitted by the listing rules of any stock exchanges on which the Company is listed, such ten-year term may be extended indefinitely so long as the maximum number of Shares available for issuance under the Plan have not been issued, (ii) the maximum number of Shares available for issuance under the Plan have been issued or (iii) the Board terminates the Plan in accordance with Section 13(a). However, unless otherwise expressly provided in the Plan or in an applicable Award Document, any Award theretofore granted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40"/>
          </w:cols>
          <w:pgMar w:left="680" w:top="270" w:right="679" w:bottom="1440" w:gutter="0" w:footer="0" w:header="0"/>
        </w:sectPr>
      </w:pPr>
    </w:p>
    <w:bookmarkStart w:id="227" w:name="page228"/>
    <w:bookmarkEnd w:id="227"/>
    <w:p>
      <w:pPr>
        <w:spacing w:after="0" w:line="31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37" w:lineRule="exact"/>
        <w:rPr>
          <w:sz w:val="20"/>
          <w:szCs w:val="20"/>
          <w:color w:val="auto"/>
        </w:rPr>
      </w:pPr>
    </w:p>
    <w:p>
      <w:pPr>
        <w:ind w:firstLine="423"/>
        <w:spacing w:after="0" w:line="273"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i w:val="1"/>
          <w:iCs w:val="1"/>
          <w:color w:val="auto"/>
        </w:rPr>
        <w:t>Section 409A of the Code.</w:t>
      </w:r>
      <w:r>
        <w:rPr>
          <w:rFonts w:ascii="Arial" w:cs="Arial" w:eastAsia="Arial" w:hAnsi="Arial"/>
          <w:sz w:val="16"/>
          <w:szCs w:val="16"/>
          <w:color w:val="auto"/>
        </w:rPr>
        <w:t xml:space="preserve"> With respect to Awards subject to Section 409A of the Code, the Plan is intended to comply with the requirements of Section 409A of the Code, and the provisions of the Plan and any Award Document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deemed amended so as to avoid this conflict.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If the Award includes a “series of installment payments” (within the meaning of Section 1.409A-2(b)(2)(iii) of the Treasury Regulations), the Participant’s right to the series of installment payments shall be treated as a right to a series of separate payments and not as a right to a single payment, and if the Award includes “dividend equivalents” (within the meaning of Section 1.409A-3(e) of the Treasury Regulations), the Participant’s right to the dividend equivalents shall be treated separately from the right to other amounts under the Award. Notwithstanding the foregoing, the tax treatment of the benefits provided under the Plan or any Award Document is not warranted or guaranteed, and in no event shall the Company be liable for all or any portion of any taxes, penalties, interest or other expenses that may be incurred by the Participant on account of non-compliance with Section 409A of the Code.</w:t>
      </w:r>
    </w:p>
    <w:p>
      <w:pPr>
        <w:spacing w:after="0" w:line="178" w:lineRule="exact"/>
        <w:rPr>
          <w:sz w:val="20"/>
          <w:szCs w:val="20"/>
          <w:color w:val="auto"/>
        </w:rPr>
      </w:pPr>
    </w:p>
    <w:p>
      <w:pPr>
        <w:ind w:right="60" w:firstLine="423"/>
        <w:spacing w:after="0" w:line="269" w:lineRule="auto"/>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i w:val="1"/>
          <w:iCs w:val="1"/>
          <w:color w:val="auto"/>
        </w:rPr>
        <w:t>Data Protection.</w:t>
      </w:r>
      <w:r>
        <w:rPr>
          <w:rFonts w:ascii="Arial" w:cs="Arial" w:eastAsia="Arial" w:hAnsi="Arial"/>
          <w:sz w:val="17"/>
          <w:szCs w:val="17"/>
          <w:color w:val="auto"/>
        </w:rPr>
        <w:t xml:space="preserve"> By participating in the Plan, the Participant consents to the holding and processing of personal information provided by the Participant to the Company or any Affiliate, trustee or third party service provider, for all purposes relating to the operation of the Plan. These include, but are not limited to:</w:t>
      </w:r>
    </w:p>
    <w:p>
      <w:pPr>
        <w:spacing w:after="0" w:line="171" w:lineRule="exact"/>
        <w:rPr>
          <w:sz w:val="20"/>
          <w:szCs w:val="20"/>
          <w:color w:val="auto"/>
        </w:rPr>
      </w:pPr>
    </w:p>
    <w:p>
      <w:pPr>
        <w:ind w:left="740" w:hanging="327"/>
        <w:spacing w:after="0"/>
        <w:tabs>
          <w:tab w:leader="none" w:pos="7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administering and maintaining Participant records;</w:t>
      </w:r>
    </w:p>
    <w:p>
      <w:pPr>
        <w:spacing w:after="0" w:line="218" w:lineRule="exact"/>
        <w:rPr>
          <w:rFonts w:ascii="Arial" w:cs="Arial" w:eastAsia="Arial" w:hAnsi="Arial"/>
          <w:sz w:val="17"/>
          <w:szCs w:val="17"/>
          <w:color w:val="auto"/>
        </w:rPr>
      </w:pPr>
    </w:p>
    <w:p>
      <w:pPr>
        <w:ind w:left="800" w:hanging="387"/>
        <w:spacing w:after="0"/>
        <w:tabs>
          <w:tab w:leader="none" w:pos="8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providing information to the Company, Affiliates, trustees of any employee benefit trust, registrars, brokers or third party administrators of</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the Plan;</w:t>
      </w:r>
    </w:p>
    <w:p>
      <w:pPr>
        <w:spacing w:after="0" w:line="206" w:lineRule="exact"/>
        <w:rPr>
          <w:rFonts w:ascii="Arial" w:cs="Arial" w:eastAsia="Arial" w:hAnsi="Arial"/>
          <w:sz w:val="16"/>
          <w:szCs w:val="16"/>
          <w:color w:val="auto"/>
        </w:rPr>
      </w:pPr>
    </w:p>
    <w:p>
      <w:pPr>
        <w:ind w:left="840" w:hanging="427"/>
        <w:spacing w:after="0"/>
        <w:tabs>
          <w:tab w:leader="none" w:pos="8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providing information to future purchasers or merger partners of the Company or any Affiliate, or the business in which the Participant</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works; and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20"/>
          </w:cols>
          <w:pgMar w:left="680" w:top="270" w:right="699" w:bottom="1440" w:gutter="0" w:footer="0" w:header="0"/>
        </w:sectPr>
      </w:pPr>
    </w:p>
    <w:bookmarkStart w:id="228" w:name="page229"/>
    <w:bookmarkEnd w:id="228"/>
    <w:p>
      <w:pPr>
        <w:ind w:right="60" w:firstLine="413"/>
        <w:spacing w:after="0" w:line="284" w:lineRule="auto"/>
        <w:tabs>
          <w:tab w:leader="none" w:pos="844" w:val="left"/>
        </w:tabs>
        <w:numPr>
          <w:ilvl w:val="0"/>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transferring information about the Participant to any country or territory that may not provide the same protection for the information as the Participant’s home country.</w:t>
      </w:r>
    </w:p>
    <w:p>
      <w:pPr>
        <w:spacing w:after="0" w:line="159"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Section 20</w:t>
      </w:r>
      <w:r>
        <w:rPr>
          <w:rFonts w:ascii="Arial" w:cs="Arial" w:eastAsia="Arial" w:hAnsi="Arial"/>
          <w:sz w:val="17"/>
          <w:szCs w:val="17"/>
          <w:i w:val="1"/>
          <w:iCs w:val="1"/>
          <w:color w:val="auto"/>
        </w:rPr>
        <w:t>. Governing Law.</w:t>
      </w:r>
      <w:r>
        <w:rPr>
          <w:rFonts w:ascii="Arial" w:cs="Arial" w:eastAsia="Arial" w:hAnsi="Arial"/>
          <w:sz w:val="17"/>
          <w:szCs w:val="17"/>
          <w:color w:val="auto"/>
        </w:rPr>
        <w:t xml:space="preserve"> The Plan and each Award Document shall be governed by the laws of England and Wales. The Company, its Affiliates and each Participant (by acceptance of an Award) irrevocably submit, in respect of any suit, action or proceeding related to the implementation or enforcement of the Plan, to the exclusive jurisdiction of the competent courts in England and Wales.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i w:val="1"/>
          <w:iCs w:val="1"/>
          <w:color w:val="auto"/>
        </w:rPr>
        <w:t>Definitions</w:t>
      </w:r>
      <w:r>
        <w:rPr>
          <w:rFonts w:ascii="Arial" w:cs="Arial" w:eastAsia="Arial" w:hAnsi="Arial"/>
          <w:sz w:val="17"/>
          <w:szCs w:val="17"/>
          <w:color w:val="auto"/>
        </w:rPr>
        <w:t>. As used in the Plan, the following terms shall have the meanings set forth below:</w:t>
      </w:r>
    </w:p>
    <w:p>
      <w:pPr>
        <w:spacing w:after="0" w:line="213" w:lineRule="exact"/>
        <w:rPr>
          <w:sz w:val="20"/>
          <w:szCs w:val="20"/>
          <w:color w:val="auto"/>
        </w:rPr>
      </w:pPr>
    </w:p>
    <w:p>
      <w:pPr>
        <w:ind w:left="1200" w:hanging="364"/>
        <w:spacing w:after="0"/>
        <w:tabs>
          <w:tab w:leader="none" w:pos="12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ADS</w:t>
      </w:r>
      <w:r>
        <w:rPr>
          <w:rFonts w:ascii="Arial" w:cs="Arial" w:eastAsia="Arial" w:hAnsi="Arial"/>
          <w:sz w:val="17"/>
          <w:szCs w:val="17"/>
          <w:color w:val="auto"/>
        </w:rPr>
        <w:t>” means an American Depositary Share, representing five (5) Shares.</w:t>
      </w:r>
    </w:p>
    <w:p>
      <w:pPr>
        <w:spacing w:after="0" w:line="218" w:lineRule="exact"/>
        <w:rPr>
          <w:rFonts w:ascii="Arial" w:cs="Arial" w:eastAsia="Arial" w:hAnsi="Arial"/>
          <w:sz w:val="17"/>
          <w:szCs w:val="17"/>
          <w:color w:val="auto"/>
        </w:rPr>
      </w:pPr>
    </w:p>
    <w:p>
      <w:pPr>
        <w:ind w:firstLine="836"/>
        <w:spacing w:after="0" w:line="272" w:lineRule="auto"/>
        <w:tabs>
          <w:tab w:leader="none" w:pos="121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 any entity that, directly or indirectly, is controlled by the Company, (ii) any entity in which the Company, directly or indirectly, has a significant equity interest, in each case as determined by the Committee and (iii) any other entity which the Committee determines should be treated as an “Affiliate.”</w:t>
      </w:r>
    </w:p>
    <w:p>
      <w:pPr>
        <w:spacing w:after="0" w:line="164" w:lineRule="exact"/>
        <w:rPr>
          <w:rFonts w:ascii="Arial" w:cs="Arial" w:eastAsia="Arial" w:hAnsi="Arial"/>
          <w:sz w:val="17"/>
          <w:szCs w:val="17"/>
          <w:color w:val="auto"/>
        </w:rPr>
      </w:pPr>
    </w:p>
    <w:p>
      <w:pPr>
        <w:ind w:left="1200" w:hanging="364"/>
        <w:spacing w:after="0"/>
        <w:tabs>
          <w:tab w:leader="none" w:pos="12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any Option, SAR, Restricted Stock, RSU, Performance Award or Other Stock-Based Award granted under the Plan.</w:t>
      </w:r>
    </w:p>
    <w:p>
      <w:pPr>
        <w:spacing w:after="0" w:line="230" w:lineRule="exact"/>
        <w:rPr>
          <w:rFonts w:ascii="Arial" w:cs="Arial" w:eastAsia="Arial" w:hAnsi="Arial"/>
          <w:sz w:val="16"/>
          <w:szCs w:val="16"/>
          <w:color w:val="auto"/>
        </w:rPr>
      </w:pPr>
    </w:p>
    <w:p>
      <w:pPr>
        <w:ind w:right="120" w:firstLine="836"/>
        <w:spacing w:after="0" w:line="291" w:lineRule="auto"/>
        <w:tabs>
          <w:tab w:leader="none" w:pos="121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Award Document</w:t>
      </w:r>
      <w:r>
        <w:rPr>
          <w:rFonts w:ascii="Arial" w:cs="Arial" w:eastAsia="Arial" w:hAnsi="Arial"/>
          <w:sz w:val="17"/>
          <w:szCs w:val="17"/>
          <w:color w:val="auto"/>
        </w:rPr>
        <w:t>” means any agreement, contract or other instrument or document, which may be in electronic format, evidencing any Award granted under the Plan, which may, but need not, be executed or acknowledged by a Participant.</w:t>
      </w:r>
    </w:p>
    <w:p>
      <w:pPr>
        <w:spacing w:after="0" w:line="147" w:lineRule="exact"/>
        <w:rPr>
          <w:rFonts w:ascii="Arial" w:cs="Arial" w:eastAsia="Arial" w:hAnsi="Arial"/>
          <w:sz w:val="17"/>
          <w:szCs w:val="17"/>
          <w:color w:val="auto"/>
        </w:rPr>
      </w:pPr>
    </w:p>
    <w:p>
      <w:pPr>
        <w:ind w:right="160" w:firstLine="836"/>
        <w:spacing w:after="0" w:line="266" w:lineRule="auto"/>
        <w:tabs>
          <w:tab w:leader="none" w:pos="120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Beneficiary</w:t>
      </w:r>
      <w:r>
        <w:rPr>
          <w:rFonts w:ascii="Arial" w:cs="Arial" w:eastAsia="Arial" w:hAnsi="Arial"/>
          <w:sz w:val="17"/>
          <w:szCs w:val="17"/>
          <w:color w:val="auto"/>
        </w:rPr>
        <w:t>” means a person entitled to receive payments or other benefits or exercise rights that are available under the Plan in the event of the Participant’s death. If no such person is named by a Participant, or if no Beneficiary designated by the Participant is eligible to receive payments or other benefits or exercise rights that are available under the Plan at the Participant’s death, such Participant’s Beneficiary shall be such Participant’s estate.</w:t>
      </w:r>
    </w:p>
    <w:p>
      <w:pPr>
        <w:spacing w:after="0" w:line="169" w:lineRule="exact"/>
        <w:rPr>
          <w:rFonts w:ascii="Arial" w:cs="Arial" w:eastAsia="Arial" w:hAnsi="Arial"/>
          <w:sz w:val="17"/>
          <w:szCs w:val="17"/>
          <w:color w:val="auto"/>
        </w:rPr>
      </w:pPr>
    </w:p>
    <w:p>
      <w:pPr>
        <w:ind w:left="1180" w:hanging="344"/>
        <w:spacing w:after="0"/>
        <w:tabs>
          <w:tab w:leader="none" w:pos="11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means the board of directors of the Company.</w:t>
      </w:r>
    </w:p>
    <w:p>
      <w:pPr>
        <w:spacing w:after="0" w:line="218" w:lineRule="exact"/>
        <w:rPr>
          <w:rFonts w:ascii="Arial" w:cs="Arial" w:eastAsia="Arial" w:hAnsi="Arial"/>
          <w:sz w:val="17"/>
          <w:szCs w:val="17"/>
          <w:color w:val="auto"/>
        </w:rPr>
      </w:pPr>
    </w:p>
    <w:p>
      <w:pPr>
        <w:ind w:left="1200" w:hanging="364"/>
        <w:spacing w:after="0"/>
        <w:tabs>
          <w:tab w:leader="none" w:pos="12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except as otherwise provided in such Participant’s Award Document, such Participant’s:</w:t>
      </w:r>
    </w:p>
    <w:p>
      <w:pPr>
        <w:spacing w:after="0" w:line="121" w:lineRule="exact"/>
        <w:rPr>
          <w:rFonts w:ascii="Arial" w:cs="Arial" w:eastAsia="Arial" w:hAnsi="Arial"/>
          <w:sz w:val="17"/>
          <w:szCs w:val="17"/>
          <w:color w:val="auto"/>
        </w:rPr>
      </w:pPr>
    </w:p>
    <w:p>
      <w:pPr>
        <w:ind w:left="420" w:right="40" w:firstLine="805"/>
        <w:spacing w:after="0" w:line="269" w:lineRule="auto"/>
        <w:tabs>
          <w:tab w:leader="none" w:pos="1567" w:val="left"/>
        </w:tabs>
        <w:numPr>
          <w:ilvl w:val="1"/>
          <w:numId w:val="169"/>
        </w:numPr>
        <w:rPr>
          <w:rFonts w:ascii="Arial" w:cs="Arial" w:eastAsia="Arial" w:hAnsi="Arial"/>
          <w:sz w:val="17"/>
          <w:szCs w:val="17"/>
          <w:color w:val="auto"/>
        </w:rPr>
      </w:pPr>
      <w:r>
        <w:rPr>
          <w:rFonts w:ascii="Arial" w:cs="Arial" w:eastAsia="Arial" w:hAnsi="Arial"/>
          <w:sz w:val="17"/>
          <w:szCs w:val="17"/>
          <w:color w:val="auto"/>
        </w:rPr>
        <w:t>indictment for any crime (A) constituting a felony, or (B) that has, or could reasonably be expected to result in, an adverse impact on the performance of a Participant’s duties to the Company or any of its subsidiaries, or otherwise has, or could reasonably be expected to result in, an adverse impact to the business or reputation of the Company or any of its subsidiaries;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40"/>
          </w:cols>
          <w:pgMar w:left="680" w:top="270" w:right="679" w:bottom="1440" w:gutter="0" w:footer="0" w:header="0"/>
        </w:sectPr>
      </w:pPr>
    </w:p>
    <w:bookmarkStart w:id="229" w:name="page230"/>
    <w:bookmarkEnd w:id="229"/>
    <w:p>
      <w:pPr>
        <w:ind w:right="160" w:firstLine="805"/>
        <w:spacing w:after="0" w:line="293" w:lineRule="auto"/>
        <w:tabs>
          <w:tab w:leader="none" w:pos="1195"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having been the subject of any order, judicial or administrative, obtained or issued by the Securities and Exchange Commission (or any other competent authority) for any securities violation involving fraud, including, for example, any such order consented to by the Participant in which findings of facts or any legal conclusions establishing liability are neither admitted nor denied;</w:t>
      </w:r>
    </w:p>
    <w:p>
      <w:pPr>
        <w:spacing w:after="0" w:line="51" w:lineRule="exact"/>
        <w:rPr>
          <w:rFonts w:ascii="Arial" w:cs="Arial" w:eastAsia="Arial" w:hAnsi="Arial"/>
          <w:sz w:val="16"/>
          <w:szCs w:val="16"/>
          <w:color w:val="auto"/>
        </w:rPr>
      </w:pPr>
    </w:p>
    <w:p>
      <w:pPr>
        <w:ind w:right="60" w:firstLine="805"/>
        <w:spacing w:after="0" w:line="284" w:lineRule="auto"/>
        <w:tabs>
          <w:tab w:leader="none" w:pos="124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conduct, in connection with his or her employment, which is not taken in good faith and has, or could reasonably be expected to result in, material injury to the business or reputation of the Company or any of its subsidiaries;</w:t>
      </w:r>
    </w:p>
    <w:p>
      <w:pPr>
        <w:spacing w:after="0" w:line="55" w:lineRule="exact"/>
        <w:rPr>
          <w:rFonts w:ascii="Arial" w:cs="Arial" w:eastAsia="Arial" w:hAnsi="Arial"/>
          <w:sz w:val="17"/>
          <w:szCs w:val="17"/>
          <w:color w:val="auto"/>
        </w:rPr>
      </w:pPr>
    </w:p>
    <w:p>
      <w:pPr>
        <w:ind w:right="140" w:firstLine="805"/>
        <w:spacing w:after="0" w:line="284" w:lineRule="auto"/>
        <w:tabs>
          <w:tab w:leader="none" w:pos="123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willful violation of the Company’s code of conduct or other material policies set forth in the manuals or statements of policy of the Company or any of its subsidiaries;</w:t>
      </w:r>
    </w:p>
    <w:p>
      <w:pPr>
        <w:spacing w:after="0" w:line="55" w:lineRule="exact"/>
        <w:rPr>
          <w:rFonts w:ascii="Arial" w:cs="Arial" w:eastAsia="Arial" w:hAnsi="Arial"/>
          <w:sz w:val="17"/>
          <w:szCs w:val="17"/>
          <w:color w:val="auto"/>
        </w:rPr>
      </w:pPr>
    </w:p>
    <w:p>
      <w:pPr>
        <w:ind w:firstLine="805"/>
        <w:spacing w:after="0" w:line="284" w:lineRule="auto"/>
        <w:tabs>
          <w:tab w:leader="none" w:pos="118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willful neglect in the performance of a Participant’s duties for the Company or any of its subsidiaries or willful or repeated failure or refusal to perform such duties;</w:t>
      </w:r>
    </w:p>
    <w:p>
      <w:pPr>
        <w:spacing w:after="0" w:line="55" w:lineRule="exact"/>
        <w:rPr>
          <w:rFonts w:ascii="Arial" w:cs="Arial" w:eastAsia="Arial" w:hAnsi="Arial"/>
          <w:sz w:val="17"/>
          <w:szCs w:val="17"/>
          <w:color w:val="auto"/>
        </w:rPr>
      </w:pPr>
    </w:p>
    <w:p>
      <w:pPr>
        <w:ind w:left="1220" w:hanging="415"/>
        <w:spacing w:after="0"/>
        <w:tabs>
          <w:tab w:leader="none" w:pos="12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material breach of any applicable employment agreement or other agreement with the Company or any of its subsidiaries; or</w:t>
      </w:r>
    </w:p>
    <w:p>
      <w:pPr>
        <w:spacing w:after="0" w:line="126" w:lineRule="exact"/>
        <w:rPr>
          <w:rFonts w:ascii="Arial" w:cs="Arial" w:eastAsia="Arial" w:hAnsi="Arial"/>
          <w:sz w:val="16"/>
          <w:szCs w:val="16"/>
          <w:color w:val="auto"/>
        </w:rPr>
      </w:pPr>
    </w:p>
    <w:p>
      <w:pPr>
        <w:ind w:left="1280" w:hanging="475"/>
        <w:spacing w:after="0"/>
        <w:tabs>
          <w:tab w:leader="none" w:pos="12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conduct, in connection with his or her employment.</w:t>
      </w:r>
    </w:p>
    <w:p>
      <w:pPr>
        <w:spacing w:after="0" w:line="115" w:lineRule="exact"/>
        <w:rPr>
          <w:sz w:val="20"/>
          <w:szCs w:val="20"/>
          <w:color w:val="auto"/>
        </w:rPr>
      </w:pPr>
    </w:p>
    <w:p>
      <w:pPr>
        <w:ind w:right="460"/>
        <w:spacing w:after="0" w:line="316" w:lineRule="auto"/>
        <w:rPr>
          <w:sz w:val="20"/>
          <w:szCs w:val="20"/>
          <w:color w:val="auto"/>
        </w:rPr>
      </w:pPr>
      <w:r>
        <w:rPr>
          <w:rFonts w:ascii="Arial" w:cs="Arial" w:eastAsia="Arial" w:hAnsi="Arial"/>
          <w:sz w:val="16"/>
          <w:szCs w:val="16"/>
          <w:color w:val="auto"/>
        </w:rPr>
        <w:t>The occurrence of any such event described in clauses (ii) through (v) that is susceptible to cure or remedy shall not constitute Cause if such Participant cures or remedies such event within 30 (thirty) days after the Company provides notice to such Participant.</w:t>
      </w:r>
    </w:p>
    <w:p>
      <w:pPr>
        <w:spacing w:after="0" w:line="27" w:lineRule="exact"/>
        <w:rPr>
          <w:sz w:val="20"/>
          <w:szCs w:val="20"/>
          <w:color w:val="auto"/>
        </w:rPr>
      </w:pPr>
    </w:p>
    <w:p>
      <w:pPr>
        <w:ind w:left="780" w:hanging="381"/>
        <w:spacing w:after="0"/>
        <w:tabs>
          <w:tab w:leader="none" w:pos="7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occurrence of any one or more of the following events:</w:t>
      </w:r>
    </w:p>
    <w:p>
      <w:pPr>
        <w:spacing w:after="0" w:line="121" w:lineRule="exact"/>
        <w:rPr>
          <w:rFonts w:ascii="Arial" w:cs="Arial" w:eastAsia="Arial" w:hAnsi="Arial"/>
          <w:sz w:val="17"/>
          <w:szCs w:val="17"/>
          <w:color w:val="auto"/>
        </w:rPr>
      </w:pPr>
    </w:p>
    <w:p>
      <w:pPr>
        <w:ind w:right="520" w:firstLine="805"/>
        <w:spacing w:after="0" w:line="264" w:lineRule="auto"/>
        <w:tabs>
          <w:tab w:leader="none" w:pos="1147"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 direct or indirect change in ownership or control of the Company effected through one transaction or a series of related transactions within a 12-month period, whereby any Person other than the Company, directly or indirectly acquires or maintains beneficial ownership of securities of the Company constituting more than 50% of the total combined voting power of the Company’s equity securities outstanding immediately after such acquisition;</w:t>
      </w:r>
    </w:p>
    <w:p>
      <w:pPr>
        <w:spacing w:after="0" w:line="72" w:lineRule="exact"/>
        <w:rPr>
          <w:rFonts w:ascii="Arial" w:cs="Arial" w:eastAsia="Arial" w:hAnsi="Arial"/>
          <w:sz w:val="17"/>
          <w:szCs w:val="17"/>
          <w:color w:val="auto"/>
        </w:rPr>
      </w:pPr>
    </w:p>
    <w:p>
      <w:pPr>
        <w:ind w:right="80" w:firstLine="805"/>
        <w:spacing w:after="0" w:line="264" w:lineRule="auto"/>
        <w:tabs>
          <w:tab w:leader="none" w:pos="1195"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at any time during a period of 12 consecutive months, individuals who at the beginning of such period constituted the Board cease for any reason to constitute a majority of members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new member of the Board whose election or nomination for election was approved by a vote of at least a majority of the directors then still in office who either were directors at the beginning of such period or whose election or nomination for election was so</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140"/>
          </w:cols>
          <w:pgMar w:left="1100" w:top="269" w:right="659" w:bottom="1440" w:gutter="0" w:footer="0" w:header="0"/>
        </w:sectPr>
      </w:pPr>
    </w:p>
    <w:bookmarkStart w:id="230" w:name="page231"/>
    <w:bookmarkEnd w:id="230"/>
    <w:p>
      <w:pPr>
        <w:ind w:left="420" w:right="160"/>
        <w:spacing w:after="0" w:line="32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approved, shall be considered as though such individual were a member of the Board at the beginning of the period,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33" w:lineRule="exact"/>
        <w:rPr>
          <w:sz w:val="20"/>
          <w:szCs w:val="20"/>
          <w:color w:val="auto"/>
        </w:rPr>
      </w:pPr>
    </w:p>
    <w:p>
      <w:pPr>
        <w:ind w:left="420" w:right="80" w:firstLine="805"/>
        <w:spacing w:after="0" w:line="281" w:lineRule="auto"/>
        <w:tabs>
          <w:tab w:leader="none" w:pos="166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or any of its subsidiaries with any other corporation or entity, other than a merger or consolidation which would result in the voting securities of the Company outstanding immediately prior to such merger or consolidation continuing to represent (either by remaining outstanding or being converted into voting securities of the surviving entity or, if applicable, the ultimate parent thereof) at least 50% of the combined voting power and total fair market value of the securities of the Company or such surviving entity or parent outstanding immediately after such merger or consolidation; or</w:t>
      </w:r>
    </w:p>
    <w:p>
      <w:pPr>
        <w:spacing w:after="0" w:line="62" w:lineRule="exact"/>
        <w:rPr>
          <w:rFonts w:ascii="Arial" w:cs="Arial" w:eastAsia="Arial" w:hAnsi="Arial"/>
          <w:sz w:val="16"/>
          <w:szCs w:val="16"/>
          <w:color w:val="auto"/>
        </w:rPr>
      </w:pPr>
    </w:p>
    <w:p>
      <w:pPr>
        <w:ind w:left="420" w:right="40" w:firstLine="805"/>
        <w:spacing w:after="0" w:line="354" w:lineRule="auto"/>
        <w:tabs>
          <w:tab w:leader="none" w:pos="1653"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 consummation of any sale, lease, exchange or other transfer to any Person (other than an Affiliate of the Company), in one transaction or a series of related transactions within a 12-month period, of all or substantially all of the assets of the Company and its subsidiaries.</w:t>
      </w:r>
    </w:p>
    <w:p>
      <w:pPr>
        <w:spacing w:after="0" w:line="11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Notwithstanding the foregoing or any provision of any Award Document to the contrary, for any Award to which Section 18 applies that provides for accelerated distribution on a Change in Control of amounts that constitute “deferred compensation” (as defined in Section 409A of the Code), if the event that constitutes such Change in Control does not also constitute a change in the ownership or effective control of the Company, or in the ownership of a substantial portion of the Company’s assets (in either case, as defined in Section 409A of the Code), such amount shall not be distributed on such Change in Control but instead shall vest as of the date of such Change in Control and shall be paid on the scheduled payment date specified in the applicable Award Document, except to the extent that earlier distribution would not result in the Participant who holds such Award incurring any additional tax, penalty, interest or other expense under Section 409A of the Code.</w:t>
      </w:r>
    </w:p>
    <w:p>
      <w:pPr>
        <w:spacing w:after="0" w:line="56" w:lineRule="exact"/>
        <w:rPr>
          <w:sz w:val="20"/>
          <w:szCs w:val="20"/>
          <w:color w:val="auto"/>
        </w:rPr>
      </w:pPr>
    </w:p>
    <w:p>
      <w:pPr>
        <w:ind w:left="420" w:right="240" w:firstLine="805"/>
        <w:spacing w:after="0" w:line="291" w:lineRule="auto"/>
        <w:tabs>
          <w:tab w:leader="none" w:pos="156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United States Internal Revenue Code of 1986, as amended from time to time, and the rules, regulations and guidance thereunder. Any reference to a provision in the Code shall include any successor provision thereto.</w:t>
      </w:r>
    </w:p>
    <w:p>
      <w:pPr>
        <w:spacing w:after="0" w:line="147" w:lineRule="exact"/>
        <w:rPr>
          <w:rFonts w:ascii="Arial" w:cs="Arial" w:eastAsia="Arial" w:hAnsi="Arial"/>
          <w:sz w:val="17"/>
          <w:szCs w:val="17"/>
          <w:color w:val="auto"/>
        </w:rPr>
      </w:pPr>
    </w:p>
    <w:p>
      <w:pPr>
        <w:ind w:right="20" w:firstLine="1364"/>
        <w:spacing w:after="0" w:line="291" w:lineRule="auto"/>
        <w:tabs>
          <w:tab w:leader="none" w:pos="1709" w:val="left"/>
        </w:tabs>
        <w:numPr>
          <w:ilvl w:val="1"/>
          <w:numId w:val="1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the Remuneration Committee of the Board or such other committee as may be designated by the Board. If the Board does not designate the Committee, references herein to the “Committee” shall refer to the Board.</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520"/>
          </w:cols>
          <w:pgMar w:left="680" w:top="269" w:right="699" w:bottom="1440" w:gutter="0" w:footer="0" w:header="0"/>
        </w:sectPr>
      </w:pPr>
    </w:p>
    <w:bookmarkStart w:id="231" w:name="page232"/>
    <w:bookmarkEnd w:id="231"/>
    <w:p>
      <w:pPr>
        <w:ind w:right="260" w:firstLine="836"/>
        <w:spacing w:after="0" w:line="324" w:lineRule="auto"/>
        <w:tabs>
          <w:tab w:leader="none" w:pos="1219" w:val="left"/>
        </w:tabs>
        <w:numPr>
          <w:ilvl w:val="0"/>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w:t>
      </w:r>
      <w:r>
        <w:rPr>
          <w:rFonts w:ascii="Arial" w:cs="Arial" w:eastAsia="Arial" w:hAnsi="Arial"/>
          <w:sz w:val="16"/>
          <w:szCs w:val="16"/>
          <w:b w:val="1"/>
          <w:bCs w:val="1"/>
          <w:color w:val="auto"/>
        </w:rPr>
        <w:t>Disability</w:t>
      </w:r>
      <w:r>
        <w:rPr>
          <w:rFonts w:ascii="Arial" w:cs="Arial" w:eastAsia="Arial" w:hAnsi="Arial"/>
          <w:sz w:val="16"/>
          <w:szCs w:val="16"/>
          <w:color w:val="auto"/>
        </w:rPr>
        <w:t>” means total and permanent disability as determined by the Committee in its discretion in accordance with uniform and non-discriminatory standards adopted by the Committee from time to time, or such other definition as is required under applicable law.</w:t>
      </w:r>
    </w:p>
    <w:p>
      <w:pPr>
        <w:spacing w:after="0" w:line="124" w:lineRule="exact"/>
        <w:rPr>
          <w:rFonts w:ascii="Arial" w:cs="Arial" w:eastAsia="Arial" w:hAnsi="Arial"/>
          <w:sz w:val="16"/>
          <w:szCs w:val="16"/>
          <w:color w:val="auto"/>
        </w:rPr>
      </w:pPr>
    </w:p>
    <w:p>
      <w:pPr>
        <w:ind w:left="1180" w:hanging="344"/>
        <w:spacing w:after="0"/>
        <w:tabs>
          <w:tab w:leader="none" w:pos="11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April 4, 2019.</w:t>
      </w:r>
    </w:p>
    <w:p>
      <w:pPr>
        <w:spacing w:after="0" w:line="218" w:lineRule="exact"/>
        <w:rPr>
          <w:rFonts w:ascii="Arial" w:cs="Arial" w:eastAsia="Arial" w:hAnsi="Arial"/>
          <w:sz w:val="17"/>
          <w:szCs w:val="17"/>
          <w:color w:val="auto"/>
        </w:rPr>
      </w:pPr>
    </w:p>
    <w:p>
      <w:pPr>
        <w:ind w:right="120" w:firstLine="836"/>
        <w:spacing w:after="0" w:line="291" w:lineRule="auto"/>
        <w:tabs>
          <w:tab w:leader="none" w:pos="126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United States Securities Exchange Act of 1934, as amended from time to time, and the rules, regulations and guidance thereunder. Any reference to a provision in the Exchange Act shall include any successor provision thereto.</w:t>
      </w:r>
    </w:p>
    <w:p>
      <w:pPr>
        <w:spacing w:after="0" w:line="147" w:lineRule="exact"/>
        <w:rPr>
          <w:rFonts w:ascii="Arial" w:cs="Arial" w:eastAsia="Arial" w:hAnsi="Arial"/>
          <w:sz w:val="17"/>
          <w:szCs w:val="17"/>
          <w:color w:val="auto"/>
        </w:rPr>
      </w:pPr>
    </w:p>
    <w:p>
      <w:pPr>
        <w:ind w:firstLine="836"/>
        <w:spacing w:after="0" w:line="306" w:lineRule="auto"/>
        <w:tabs>
          <w:tab w:leader="none" w:pos="1219" w:val="left"/>
        </w:tabs>
        <w:numPr>
          <w:ilvl w:val="0"/>
          <w:numId w:val="17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Fair Market Value</w:t>
      </w:r>
      <w:r>
        <w:rPr>
          <w:rFonts w:ascii="Arial" w:cs="Arial" w:eastAsia="Arial" w:hAnsi="Arial"/>
          <w:sz w:val="15"/>
          <w:szCs w:val="15"/>
          <w:color w:val="auto"/>
        </w:rPr>
        <w:t>” means (i) with respect to a Share or ADS, as applicable, the closing price of a Share or ADS, as applicable, on the date in question (or, if there is no reported sale on such date, on the last preceding date on which any reported sale occurred) on the principal stock market or exchange on which the Shares or ADSs, as applicable, are quoted or traded, or if Shares or ADSs, as applicable, are not so quoted or traded, the fair market value of a Share or ADS, as applicable, as determined by the Committee, and (ii) with respect to any property other than Shares or ADSs, the fair market value of such property determined by such methods or procedures as shall be established from time to time by the Committee.</w:t>
      </w:r>
    </w:p>
    <w:p>
      <w:pPr>
        <w:spacing w:after="0" w:line="143" w:lineRule="exact"/>
        <w:rPr>
          <w:rFonts w:ascii="Arial" w:cs="Arial" w:eastAsia="Arial" w:hAnsi="Arial"/>
          <w:sz w:val="15"/>
          <w:szCs w:val="15"/>
          <w:color w:val="auto"/>
        </w:rPr>
      </w:pPr>
    </w:p>
    <w:p>
      <w:pPr>
        <w:ind w:left="1200" w:hanging="364"/>
        <w:spacing w:after="0"/>
        <w:tabs>
          <w:tab w:leader="none" w:pos="12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option representing the right to acquire Shares from the Company, granted in accordance with the provisions of</w:t>
      </w:r>
    </w:p>
    <w:p>
      <w:pPr>
        <w:spacing w:after="0" w:line="4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6.</w:t>
      </w:r>
    </w:p>
    <w:p>
      <w:pPr>
        <w:spacing w:after="0" w:line="200" w:lineRule="exact"/>
        <w:rPr>
          <w:rFonts w:ascii="Arial" w:cs="Arial" w:eastAsia="Arial" w:hAnsi="Arial"/>
          <w:sz w:val="16"/>
          <w:szCs w:val="16"/>
          <w:color w:val="auto"/>
        </w:rPr>
      </w:pPr>
    </w:p>
    <w:p>
      <w:pPr>
        <w:ind w:left="1200" w:hanging="364"/>
        <w:spacing w:after="0"/>
        <w:tabs>
          <w:tab w:leader="none" w:pos="12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Share-Based Award</w:t>
      </w:r>
      <w:r>
        <w:rPr>
          <w:rFonts w:ascii="Arial" w:cs="Arial" w:eastAsia="Arial" w:hAnsi="Arial"/>
          <w:sz w:val="17"/>
          <w:szCs w:val="17"/>
          <w:color w:val="auto"/>
        </w:rPr>
        <w:t>” means an Award granted in accordance with the provisions of Section 10.</w:t>
      </w:r>
    </w:p>
    <w:p>
      <w:pPr>
        <w:spacing w:after="0" w:line="218" w:lineRule="exact"/>
        <w:rPr>
          <w:rFonts w:ascii="Arial" w:cs="Arial" w:eastAsia="Arial" w:hAnsi="Arial"/>
          <w:sz w:val="17"/>
          <w:szCs w:val="17"/>
          <w:color w:val="auto"/>
        </w:rPr>
      </w:pPr>
    </w:p>
    <w:p>
      <w:pPr>
        <w:ind w:left="1200" w:hanging="364"/>
        <w:spacing w:after="0"/>
        <w:tabs>
          <w:tab w:leader="none" w:pos="12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w:t>
      </w:r>
      <w:r>
        <w:rPr>
          <w:rFonts w:ascii="Arial" w:cs="Arial" w:eastAsia="Arial" w:hAnsi="Arial"/>
          <w:sz w:val="17"/>
          <w:szCs w:val="17"/>
          <w:color w:val="auto"/>
        </w:rPr>
        <w:t>” means the recipient of an Award granted under the Plan.</w:t>
      </w:r>
    </w:p>
    <w:p>
      <w:pPr>
        <w:spacing w:after="0" w:line="218" w:lineRule="exact"/>
        <w:rPr>
          <w:rFonts w:ascii="Arial" w:cs="Arial" w:eastAsia="Arial" w:hAnsi="Arial"/>
          <w:sz w:val="17"/>
          <w:szCs w:val="17"/>
          <w:color w:val="auto"/>
        </w:rPr>
      </w:pPr>
    </w:p>
    <w:p>
      <w:pPr>
        <w:ind w:left="1180" w:hanging="344"/>
        <w:spacing w:after="0"/>
        <w:tabs>
          <w:tab w:leader="none" w:pos="11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Award</w:t>
      </w:r>
      <w:r>
        <w:rPr>
          <w:rFonts w:ascii="Arial" w:cs="Arial" w:eastAsia="Arial" w:hAnsi="Arial"/>
          <w:sz w:val="17"/>
          <w:szCs w:val="17"/>
          <w:color w:val="auto"/>
        </w:rPr>
        <w:t>” means an Award granted in accordance with the provisions of Section 9.</w:t>
      </w:r>
    </w:p>
    <w:p>
      <w:pPr>
        <w:spacing w:after="0" w:line="218" w:lineRule="exact"/>
        <w:rPr>
          <w:rFonts w:ascii="Arial" w:cs="Arial" w:eastAsia="Arial" w:hAnsi="Arial"/>
          <w:sz w:val="17"/>
          <w:szCs w:val="17"/>
          <w:color w:val="auto"/>
        </w:rPr>
      </w:pPr>
    </w:p>
    <w:p>
      <w:pPr>
        <w:ind w:right="200" w:firstLine="836"/>
        <w:spacing w:after="0" w:line="291" w:lineRule="auto"/>
        <w:tabs>
          <w:tab w:leader="none" w:pos="12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Performance Period</w:t>
      </w:r>
      <w:r>
        <w:rPr>
          <w:rFonts w:ascii="Arial" w:cs="Arial" w:eastAsia="Arial" w:hAnsi="Arial"/>
          <w:sz w:val="17"/>
          <w:szCs w:val="17"/>
          <w:color w:val="auto"/>
        </w:rPr>
        <w:t>” means the period established by the Committee at the time any Performance Award is granted or at any time thereafter during which any performance goals specified by the Committee with respect to such Award are measured.</w:t>
      </w:r>
    </w:p>
    <w:p>
      <w:pPr>
        <w:spacing w:after="0" w:line="147" w:lineRule="exact"/>
        <w:rPr>
          <w:rFonts w:ascii="Arial" w:cs="Arial" w:eastAsia="Arial" w:hAnsi="Arial"/>
          <w:sz w:val="17"/>
          <w:szCs w:val="17"/>
          <w:color w:val="auto"/>
        </w:rPr>
      </w:pPr>
    </w:p>
    <w:p>
      <w:pPr>
        <w:ind w:firstLine="836"/>
        <w:spacing w:after="0" w:line="291" w:lineRule="auto"/>
        <w:tabs>
          <w:tab w:leader="none" w:pos="118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 natural person or a partnership, company, association, cooperative, mutual insurance society, foundation or any other body which operates externally as an independent unit or organisation.</w:t>
      </w:r>
    </w:p>
    <w:p>
      <w:pPr>
        <w:spacing w:after="0" w:line="147" w:lineRule="exact"/>
        <w:rPr>
          <w:rFonts w:ascii="Arial" w:cs="Arial" w:eastAsia="Arial" w:hAnsi="Arial"/>
          <w:sz w:val="17"/>
          <w:szCs w:val="17"/>
          <w:color w:val="auto"/>
        </w:rPr>
      </w:pPr>
    </w:p>
    <w:p>
      <w:pPr>
        <w:ind w:right="20" w:firstLine="836"/>
        <w:spacing w:after="0" w:line="291" w:lineRule="auto"/>
        <w:tabs>
          <w:tab w:leader="none" w:pos="121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Replacement Award</w:t>
      </w:r>
      <w:r>
        <w:rPr>
          <w:rFonts w:ascii="Arial" w:cs="Arial" w:eastAsia="Arial" w:hAnsi="Arial"/>
          <w:sz w:val="17"/>
          <w:szCs w:val="17"/>
          <w:color w:val="auto"/>
        </w:rPr>
        <w:t>” means an Award granted in assumption of, or in substitution for, an outstanding award previously granted by a company or business acquired by the Company or with which the Company, directly or indirectly, combines.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40"/>
          </w:cols>
          <w:pgMar w:left="680" w:top="264" w:right="679" w:bottom="1440" w:gutter="0" w:footer="0" w:header="0"/>
        </w:sectPr>
      </w:pPr>
    </w:p>
    <w:bookmarkStart w:id="232" w:name="page233"/>
    <w:bookmarkEnd w:id="232"/>
    <w:p>
      <w:pPr>
        <w:ind w:left="1180" w:hanging="364"/>
        <w:spacing w:after="0"/>
        <w:tabs>
          <w:tab w:leader="none" w:pos="11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w:t>
      </w:r>
      <w:r>
        <w:rPr>
          <w:rFonts w:ascii="Arial" w:cs="Arial" w:eastAsia="Arial" w:hAnsi="Arial"/>
          <w:sz w:val="17"/>
          <w:szCs w:val="17"/>
          <w:b w:val="1"/>
          <w:bCs w:val="1"/>
          <w:color w:val="auto"/>
        </w:rPr>
        <w:t>Restricted Stock</w:t>
      </w:r>
      <w:r>
        <w:rPr>
          <w:rFonts w:ascii="Arial" w:cs="Arial" w:eastAsia="Arial" w:hAnsi="Arial"/>
          <w:sz w:val="17"/>
          <w:szCs w:val="17"/>
          <w:color w:val="auto"/>
        </w:rPr>
        <w:t>” means any Share granted in accordance with the relevant provisions of Section 8.</w:t>
      </w:r>
    </w:p>
    <w:p>
      <w:pPr>
        <w:spacing w:after="0" w:line="218" w:lineRule="exact"/>
        <w:rPr>
          <w:rFonts w:ascii="Arial" w:cs="Arial" w:eastAsia="Arial" w:hAnsi="Arial"/>
          <w:sz w:val="17"/>
          <w:szCs w:val="17"/>
          <w:color w:val="auto"/>
        </w:rPr>
      </w:pPr>
    </w:p>
    <w:p>
      <w:pPr>
        <w:ind w:left="-20" w:right="80" w:firstLine="836"/>
        <w:spacing w:after="0" w:line="324" w:lineRule="auto"/>
        <w:tabs>
          <w:tab w:leader="none" w:pos="123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RSU</w:t>
      </w:r>
      <w:r>
        <w:rPr>
          <w:rFonts w:ascii="Arial" w:cs="Arial" w:eastAsia="Arial" w:hAnsi="Arial"/>
          <w:sz w:val="16"/>
          <w:szCs w:val="16"/>
          <w:color w:val="auto"/>
        </w:rPr>
        <w:t>” means a contractual right granted in accordance with the relevant provisions of Section 8 that is denominated in Shares. Each RSU represents a right to receive the value of one Share. Awards of RSUs may include the right to receive dividend equivalents.</w:t>
      </w:r>
    </w:p>
    <w:p>
      <w:pPr>
        <w:spacing w:after="0" w:line="124" w:lineRule="exact"/>
        <w:rPr>
          <w:rFonts w:ascii="Arial" w:cs="Arial" w:eastAsia="Arial" w:hAnsi="Arial"/>
          <w:sz w:val="16"/>
          <w:szCs w:val="16"/>
          <w:color w:val="auto"/>
        </w:rPr>
      </w:pPr>
    </w:p>
    <w:p>
      <w:pPr>
        <w:ind w:left="-20" w:firstLine="836"/>
        <w:spacing w:after="0" w:line="272" w:lineRule="auto"/>
        <w:tabs>
          <w:tab w:leader="none" w:pos="119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SAR</w:t>
      </w:r>
      <w:r>
        <w:rPr>
          <w:rFonts w:ascii="Arial" w:cs="Arial" w:eastAsia="Arial" w:hAnsi="Arial"/>
          <w:sz w:val="17"/>
          <w:szCs w:val="17"/>
          <w:color w:val="auto"/>
        </w:rPr>
        <w:t>” means any right granted in accordance with the provisions of Section 7 to receive upon exercise by a Participant or settlement the excess of (i) the Fair Market Value of one Share on the date of exercise or settlement over (ii) the exercise price of the right on the date of grant, or if granted in connection with an Option, on the date of grant of the Option.</w:t>
      </w:r>
    </w:p>
    <w:p>
      <w:pPr>
        <w:spacing w:after="0" w:line="164" w:lineRule="exact"/>
        <w:rPr>
          <w:rFonts w:ascii="Arial" w:cs="Arial" w:eastAsia="Arial" w:hAnsi="Arial"/>
          <w:sz w:val="17"/>
          <w:szCs w:val="17"/>
          <w:color w:val="auto"/>
        </w:rPr>
      </w:pPr>
    </w:p>
    <w:p>
      <w:pPr>
        <w:ind w:left="1180" w:hanging="364"/>
        <w:spacing w:after="0"/>
        <w:tabs>
          <w:tab w:leader="none" w:pos="11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w:t>
      </w:r>
      <w:r>
        <w:rPr>
          <w:rFonts w:ascii="Arial" w:cs="Arial" w:eastAsia="Arial" w:hAnsi="Arial"/>
          <w:sz w:val="17"/>
          <w:szCs w:val="17"/>
          <w:color w:val="auto"/>
        </w:rPr>
        <w:t>” means an ordinary share, £0.003 par value, of the Company.</w:t>
      </w:r>
    </w:p>
    <w:p>
      <w:pPr>
        <w:spacing w:after="0" w:line="218" w:lineRule="exact"/>
        <w:rPr>
          <w:rFonts w:ascii="Arial" w:cs="Arial" w:eastAsia="Arial" w:hAnsi="Arial"/>
          <w:sz w:val="17"/>
          <w:szCs w:val="17"/>
          <w:color w:val="auto"/>
        </w:rPr>
      </w:pPr>
    </w:p>
    <w:p>
      <w:pPr>
        <w:ind w:left="-20" w:right="80" w:firstLine="836"/>
        <w:spacing w:after="0" w:line="260" w:lineRule="auto"/>
        <w:tabs>
          <w:tab w:leader="none" w:pos="118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of Service</w:t>
      </w:r>
      <w:r>
        <w:rPr>
          <w:rFonts w:ascii="Arial" w:cs="Arial" w:eastAsia="Arial" w:hAnsi="Arial"/>
          <w:sz w:val="17"/>
          <w:szCs w:val="17"/>
          <w:color w:val="auto"/>
        </w:rPr>
        <w:t xml:space="preserve">” means a cessation of the employment relationship such that the Participant is no longer an employee of the Company or one of its subsidiaries;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transfer of employment from the Company to a subsidiary, from a subsidiary to the Company or from one subsidiary to another subsidiary shall not be deemed a cessation of service that would constitute a Termination of Service;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a Termination of Service will be deemed to occur for a Participant employed by a subsidiary when a subsidiary ceases to be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subsidiary, unless such Participant’s employment continues with the Company or another subsidiary;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these purposes, a Participant who holds an office with the Company or one of its subsidiaries shall be deemed to be an employee of that Company whether or not he or she is otherwise such an employee.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500"/>
          </w:cols>
          <w:pgMar w:left="700" w:top="263" w:right="699" w:bottom="1440" w:gutter="0" w:footer="0" w:header="0"/>
        </w:sectPr>
      </w:pPr>
    </w:p>
    <w:bookmarkStart w:id="233" w:name="page234"/>
    <w:bookmarkEnd w:id="23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APPENDIX 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MEREO BIOPHARMA GROUP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2019 NON-EMPLOYEE EQUITY INCENTIVE PLAN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“NON-EMPLOYEE PLAN”)</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Introduction</w:t>
      </w:r>
      <w:r>
        <w:rPr>
          <w:rFonts w:ascii="Arial" w:cs="Arial" w:eastAsia="Arial" w:hAnsi="Arial"/>
          <w:sz w:val="17"/>
          <w:szCs w:val="17"/>
          <w:color w:val="auto"/>
        </w:rPr>
        <w:t>.</w:t>
      </w:r>
    </w:p>
    <w:p>
      <w:pPr>
        <w:spacing w:after="0" w:line="109" w:lineRule="exact"/>
        <w:rPr>
          <w:sz w:val="20"/>
          <w:szCs w:val="20"/>
          <w:color w:val="auto"/>
        </w:rPr>
      </w:pPr>
    </w:p>
    <w:p>
      <w:pPr>
        <w:ind w:right="80" w:firstLine="836"/>
        <w:spacing w:after="0" w:line="272" w:lineRule="auto"/>
        <w:tabs>
          <w:tab w:leader="none" w:pos="120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Non-Employee Plan is a sub-plan of the Mereo Biopharma Group plc 2019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and permits the grant of Options and RSUs to officers of the Company or any subsidiary of the Company who are not employees (as at the time of the relevant grant) of any such company.</w:t>
      </w:r>
    </w:p>
    <w:p>
      <w:pPr>
        <w:spacing w:after="0" w:line="170" w:lineRule="exact"/>
        <w:rPr>
          <w:rFonts w:ascii="Arial" w:cs="Arial" w:eastAsia="Arial" w:hAnsi="Arial"/>
          <w:sz w:val="17"/>
          <w:szCs w:val="17"/>
          <w:color w:val="auto"/>
        </w:rPr>
      </w:pPr>
    </w:p>
    <w:p>
      <w:pPr>
        <w:ind w:right="60" w:firstLine="836"/>
        <w:spacing w:after="0" w:line="284" w:lineRule="auto"/>
        <w:tabs>
          <w:tab w:leader="none" w:pos="121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For the avoidance of doubt, the Non-Employee Plan (i) shall not prejudice the status of the Plan as an employees’ share scheme within the meaning of section 1166 of the UK Companies Act 2006 and (ii) operates separately from the Plan.</w:t>
      </w:r>
    </w:p>
    <w:p>
      <w:pPr>
        <w:spacing w:after="0" w:line="2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Definitions and Interpretation</w:t>
      </w:r>
    </w:p>
    <w:p>
      <w:pPr>
        <w:spacing w:after="0" w:line="115" w:lineRule="exact"/>
        <w:rPr>
          <w:sz w:val="20"/>
          <w:szCs w:val="20"/>
          <w:color w:val="auto"/>
        </w:rPr>
      </w:pPr>
    </w:p>
    <w:p>
      <w:pPr>
        <w:ind w:right="40" w:firstLine="836"/>
        <w:spacing w:after="0" w:line="284" w:lineRule="auto"/>
        <w:tabs>
          <w:tab w:leader="none" w:pos="120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the Non-Employee Plan, words and expressions used in the Plan shall, unless otherwise specified below, apply in relation to Awards granted under the Non-Employee Plan.</w:t>
      </w:r>
    </w:p>
    <w:p>
      <w:pPr>
        <w:spacing w:after="0" w:line="158" w:lineRule="exact"/>
        <w:rPr>
          <w:rFonts w:ascii="Arial" w:cs="Arial" w:eastAsia="Arial" w:hAnsi="Arial"/>
          <w:sz w:val="17"/>
          <w:szCs w:val="17"/>
          <w:color w:val="auto"/>
        </w:rPr>
      </w:pPr>
    </w:p>
    <w:p>
      <w:pPr>
        <w:ind w:right="60" w:firstLine="836"/>
        <w:spacing w:after="0" w:line="284" w:lineRule="auto"/>
        <w:tabs>
          <w:tab w:leader="none" w:pos="121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Save as modified in the Non-Employee Plan, all the provisions of the Plan relevant to Awards structured as Options and RSUs shall be incorporated into the Non-Employee Plan as if fully set out herein so as to be part of the Non-Employee Plan.</w:t>
      </w:r>
    </w:p>
    <w:p>
      <w:pPr>
        <w:spacing w:after="0" w:line="158" w:lineRule="exact"/>
        <w:rPr>
          <w:rFonts w:ascii="Arial" w:cs="Arial" w:eastAsia="Arial" w:hAnsi="Arial"/>
          <w:sz w:val="17"/>
          <w:szCs w:val="17"/>
          <w:color w:val="auto"/>
        </w:rPr>
      </w:pPr>
    </w:p>
    <w:p>
      <w:pPr>
        <w:ind w:left="1200" w:hanging="364"/>
        <w:spacing w:after="0"/>
        <w:tabs>
          <w:tab w:leader="none" w:pos="12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These rules of the Non-Employee Plan take precedence if there is any inconsistency between them and the rules of the Plan.</w:t>
      </w:r>
    </w:p>
    <w:p>
      <w:pPr>
        <w:spacing w:after="0" w:line="224" w:lineRule="exact"/>
        <w:rPr>
          <w:rFonts w:ascii="Arial" w:cs="Arial" w:eastAsia="Arial" w:hAnsi="Arial"/>
          <w:sz w:val="16"/>
          <w:szCs w:val="16"/>
          <w:color w:val="auto"/>
        </w:rPr>
      </w:pPr>
    </w:p>
    <w:p>
      <w:pPr>
        <w:ind w:right="40" w:firstLine="836"/>
        <w:spacing w:after="0" w:line="266" w:lineRule="auto"/>
        <w:tabs>
          <w:tab w:leader="none" w:pos="121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these rules of the Non-Employee Plan, “</w:t>
      </w:r>
      <w:r>
        <w:rPr>
          <w:rFonts w:ascii="Arial" w:cs="Arial" w:eastAsia="Arial" w:hAnsi="Arial"/>
          <w:sz w:val="17"/>
          <w:szCs w:val="17"/>
          <w:b w:val="1"/>
          <w:bCs w:val="1"/>
          <w:color w:val="auto"/>
        </w:rPr>
        <w:t>Termination of Service</w:t>
      </w:r>
      <w:r>
        <w:rPr>
          <w:rFonts w:ascii="Arial" w:cs="Arial" w:eastAsia="Arial" w:hAnsi="Arial"/>
          <w:sz w:val="17"/>
          <w:szCs w:val="17"/>
          <w:color w:val="auto"/>
        </w:rPr>
        <w:t>” means the Participant ceasing to be an officeholder or employee of the Company or one of its subsidiaries such that they are no longer an officeholder or employee of any such company; provided that, for avoidance of doubt, a Termination of Service will be deemed to occur if a subsidiary of which the Participant is an officeholder or employee ceases to be a subsidiary, unless they remain an officeholder or employee of the Company or another subsidiary.</w:t>
      </w:r>
    </w:p>
    <w:p>
      <w:pPr>
        <w:spacing w:after="0" w:line="169" w:lineRule="exact"/>
        <w:rPr>
          <w:rFonts w:ascii="Arial" w:cs="Arial" w:eastAsia="Arial" w:hAnsi="Arial"/>
          <w:sz w:val="17"/>
          <w:szCs w:val="17"/>
          <w:color w:val="auto"/>
        </w:rPr>
      </w:pPr>
    </w:p>
    <w:p>
      <w:pPr>
        <w:ind w:right="440" w:firstLine="836"/>
        <w:spacing w:after="0" w:line="291" w:lineRule="auto"/>
        <w:tabs>
          <w:tab w:leader="none" w:pos="120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these rules of the Non-Employee Plan, whenever the terms “</w:t>
      </w:r>
      <w:r>
        <w:rPr>
          <w:rFonts w:ascii="Arial" w:cs="Arial" w:eastAsia="Arial" w:hAnsi="Arial"/>
          <w:sz w:val="17"/>
          <w:szCs w:val="17"/>
          <w:b w:val="1"/>
          <w:bCs w:val="1"/>
          <w:color w:val="auto"/>
        </w:rPr>
        <w:t>employee</w:t>
      </w:r>
      <w:r>
        <w:rPr>
          <w:rFonts w:ascii="Arial" w:cs="Arial" w:eastAsia="Arial" w:hAnsi="Arial"/>
          <w:sz w:val="17"/>
          <w:szCs w:val="17"/>
          <w:color w:val="auto"/>
        </w:rPr>
        <w:t>” or “</w:t>
      </w:r>
      <w:r>
        <w:rPr>
          <w:rFonts w:ascii="Arial" w:cs="Arial" w:eastAsia="Arial" w:hAnsi="Arial"/>
          <w:sz w:val="17"/>
          <w:szCs w:val="17"/>
          <w:b w:val="1"/>
          <w:bCs w:val="1"/>
          <w:color w:val="auto"/>
        </w:rPr>
        <w:t>employment</w:t>
      </w:r>
      <w:r>
        <w:rPr>
          <w:rFonts w:ascii="Arial" w:cs="Arial" w:eastAsia="Arial" w:hAnsi="Arial"/>
          <w:sz w:val="17"/>
          <w:szCs w:val="17"/>
          <w:color w:val="auto"/>
        </w:rPr>
        <w:t>” are otherwise used in the context of matters following the grant of an Award, they shall be construed in the context of that person being an officeholder.</w:t>
      </w:r>
    </w:p>
    <w:p>
      <w:pPr>
        <w:sectPr>
          <w:pgSz w:w="11900" w:h="16838" w:orient="portrait"/>
          <w:cols w:equalWidth="0" w:num="1">
            <w:col w:w="10560"/>
          </w:cols>
          <w:pgMar w:left="680" w:top="264" w:right="659" w:bottom="1440" w:gutter="0" w:footer="0" w:header="0"/>
        </w:sectPr>
      </w:pPr>
    </w:p>
    <w:bookmarkStart w:id="234" w:name="page235"/>
    <w:bookmarkEnd w:id="234"/>
    <w:p>
      <w:pPr>
        <w:jc w:val="right"/>
        <w:spacing w:after="0"/>
        <w:rPr>
          <w:sz w:val="20"/>
          <w:szCs w:val="20"/>
          <w:color w:val="auto"/>
        </w:rPr>
      </w:pPr>
      <w:r>
        <w:rPr>
          <w:rFonts w:ascii="Arial" w:cs="Arial" w:eastAsia="Arial" w:hAnsi="Arial"/>
          <w:sz w:val="17"/>
          <w:szCs w:val="17"/>
          <w:b w:val="1"/>
          <w:bCs w:val="1"/>
          <w:color w:val="auto"/>
        </w:rPr>
        <w:t>Exhibit 4.13.1</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DATED 17 APRIL 2019</w:t>
      </w:r>
    </w:p>
    <w:p>
      <w:pPr>
        <w:spacing w:after="0" w:line="239" w:lineRule="exact"/>
        <w:rPr>
          <w:sz w:val="20"/>
          <w:szCs w:val="20"/>
          <w:color w:val="auto"/>
        </w:rPr>
      </w:pPr>
    </w:p>
    <w:p>
      <w:pPr>
        <w:ind w:left="3080" w:hanging="677"/>
        <w:spacing w:after="0"/>
        <w:tabs>
          <w:tab w:leader="none" w:pos="3080" w:val="left"/>
        </w:tabs>
        <w:numPr>
          <w:ilvl w:val="0"/>
          <w:numId w:val="178"/>
        </w:numPr>
        <w:rPr>
          <w:rFonts w:ascii="Arial" w:cs="Arial" w:eastAsia="Arial" w:hAnsi="Arial"/>
          <w:sz w:val="17"/>
          <w:szCs w:val="17"/>
          <w:color w:val="auto"/>
        </w:rPr>
      </w:pPr>
      <w:r>
        <w:rPr>
          <w:rFonts w:ascii="Arial" w:cs="Arial" w:eastAsia="Arial" w:hAnsi="Arial"/>
          <w:sz w:val="17"/>
          <w:szCs w:val="17"/>
          <w:b w:val="1"/>
          <w:bCs w:val="1"/>
          <w:color w:val="auto"/>
        </w:rPr>
        <w:t>MEREO BIOPHARMA GROUP PLC (as</w:t>
      </w:r>
    </w:p>
    <w:p>
      <w:pPr>
        <w:spacing w:after="0" w:line="30" w:lineRule="exact"/>
        <w:rPr>
          <w:rFonts w:ascii="Arial" w:cs="Arial" w:eastAsia="Arial" w:hAnsi="Arial"/>
          <w:sz w:val="17"/>
          <w:szCs w:val="17"/>
          <w:color w:val="auto"/>
        </w:rPr>
      </w:pPr>
    </w:p>
    <w:p>
      <w:pPr>
        <w:ind w:left="4260"/>
        <w:spacing w:after="0"/>
        <w:rPr>
          <w:rFonts w:ascii="Arial" w:cs="Arial" w:eastAsia="Arial" w:hAnsi="Arial"/>
          <w:sz w:val="17"/>
          <w:szCs w:val="17"/>
          <w:color w:val="auto"/>
        </w:rPr>
      </w:pPr>
      <w:r>
        <w:rPr>
          <w:rFonts w:ascii="Arial" w:cs="Arial" w:eastAsia="Arial" w:hAnsi="Arial"/>
          <w:sz w:val="17"/>
          <w:szCs w:val="17"/>
          <w:b w:val="1"/>
          <w:bCs w:val="1"/>
          <w:color w:val="auto"/>
        </w:rPr>
        <w:t>Borrower)</w:t>
      </w:r>
    </w:p>
    <w:p>
      <w:pPr>
        <w:spacing w:after="0" w:line="200" w:lineRule="exact"/>
        <w:rPr>
          <w:rFonts w:ascii="Arial" w:cs="Arial" w:eastAsia="Arial" w:hAnsi="Arial"/>
          <w:sz w:val="17"/>
          <w:szCs w:val="17"/>
          <w:color w:val="auto"/>
        </w:rPr>
      </w:pPr>
    </w:p>
    <w:p>
      <w:pPr>
        <w:ind w:left="3220" w:hanging="817"/>
        <w:spacing w:after="0"/>
        <w:tabs>
          <w:tab w:leader="none" w:pos="3220" w:val="left"/>
        </w:tabs>
        <w:numPr>
          <w:ilvl w:val="0"/>
          <w:numId w:val="178"/>
        </w:numPr>
        <w:rPr>
          <w:rFonts w:ascii="Arial" w:cs="Arial" w:eastAsia="Arial" w:hAnsi="Arial"/>
          <w:sz w:val="17"/>
          <w:szCs w:val="17"/>
          <w:color w:val="auto"/>
        </w:rPr>
      </w:pPr>
      <w:r>
        <w:rPr>
          <w:rFonts w:ascii="Arial" w:cs="Arial" w:eastAsia="Arial" w:hAnsi="Arial"/>
          <w:sz w:val="17"/>
          <w:szCs w:val="17"/>
          <w:b w:val="1"/>
          <w:bCs w:val="1"/>
          <w:color w:val="auto"/>
        </w:rPr>
        <w:t>THE GUARANTORS (as Guarantors)</w:t>
      </w:r>
    </w:p>
    <w:p>
      <w:pPr>
        <w:spacing w:after="0" w:line="218" w:lineRule="exact"/>
        <w:rPr>
          <w:rFonts w:ascii="Arial" w:cs="Arial" w:eastAsia="Arial" w:hAnsi="Arial"/>
          <w:sz w:val="17"/>
          <w:szCs w:val="17"/>
          <w:color w:val="auto"/>
        </w:rPr>
      </w:pPr>
    </w:p>
    <w:p>
      <w:pPr>
        <w:ind w:left="2740" w:hanging="337"/>
        <w:spacing w:after="0"/>
        <w:tabs>
          <w:tab w:leader="none" w:pos="2740" w:val="left"/>
        </w:tabs>
        <w:numPr>
          <w:ilvl w:val="0"/>
          <w:numId w:val="178"/>
        </w:numPr>
        <w:rPr>
          <w:rFonts w:ascii="Arial" w:cs="Arial" w:eastAsia="Arial" w:hAnsi="Arial"/>
          <w:sz w:val="17"/>
          <w:szCs w:val="17"/>
          <w:color w:val="auto"/>
        </w:rPr>
      </w:pPr>
      <w:r>
        <w:rPr>
          <w:rFonts w:ascii="Arial" w:cs="Arial" w:eastAsia="Arial" w:hAnsi="Arial"/>
          <w:sz w:val="17"/>
          <w:szCs w:val="17"/>
          <w:b w:val="1"/>
          <w:bCs w:val="1"/>
          <w:color w:val="auto"/>
        </w:rPr>
        <w:t>SILICON VALLEY BANK and KREOS CAPITAL</w:t>
      </w:r>
    </w:p>
    <w:p>
      <w:pPr>
        <w:spacing w:after="0" w:line="30" w:lineRule="exact"/>
        <w:rPr>
          <w:rFonts w:ascii="Arial" w:cs="Arial" w:eastAsia="Arial" w:hAnsi="Arial"/>
          <w:sz w:val="17"/>
          <w:szCs w:val="17"/>
          <w:color w:val="auto"/>
        </w:rPr>
      </w:pPr>
    </w:p>
    <w:p>
      <w:pPr>
        <w:ind w:left="3480"/>
        <w:spacing w:after="0"/>
        <w:rPr>
          <w:rFonts w:ascii="Arial" w:cs="Arial" w:eastAsia="Arial" w:hAnsi="Arial"/>
          <w:sz w:val="17"/>
          <w:szCs w:val="17"/>
          <w:color w:val="auto"/>
        </w:rPr>
      </w:pPr>
      <w:r>
        <w:rPr>
          <w:rFonts w:ascii="Arial" w:cs="Arial" w:eastAsia="Arial" w:hAnsi="Arial"/>
          <w:sz w:val="17"/>
          <w:szCs w:val="17"/>
          <w:b w:val="1"/>
          <w:bCs w:val="1"/>
          <w:color w:val="auto"/>
        </w:rPr>
        <w:t>V (UK) LIMITED (as Lenders)</w:t>
      </w:r>
    </w:p>
    <w:p>
      <w:pPr>
        <w:spacing w:after="0" w:line="200" w:lineRule="exact"/>
        <w:rPr>
          <w:rFonts w:ascii="Arial" w:cs="Arial" w:eastAsia="Arial" w:hAnsi="Arial"/>
          <w:sz w:val="17"/>
          <w:szCs w:val="17"/>
          <w:color w:val="auto"/>
        </w:rPr>
      </w:pPr>
    </w:p>
    <w:p>
      <w:pPr>
        <w:ind w:left="2840" w:hanging="437"/>
        <w:spacing w:after="0"/>
        <w:tabs>
          <w:tab w:leader="none" w:pos="2840" w:val="left"/>
        </w:tabs>
        <w:numPr>
          <w:ilvl w:val="0"/>
          <w:numId w:val="178"/>
        </w:numPr>
        <w:rPr>
          <w:rFonts w:ascii="Arial" w:cs="Arial" w:eastAsia="Arial" w:hAnsi="Arial"/>
          <w:sz w:val="17"/>
          <w:szCs w:val="17"/>
          <w:color w:val="auto"/>
        </w:rPr>
      </w:pPr>
      <w:r>
        <w:rPr>
          <w:rFonts w:ascii="Arial" w:cs="Arial" w:eastAsia="Arial" w:hAnsi="Arial"/>
          <w:sz w:val="17"/>
          <w:szCs w:val="17"/>
          <w:b w:val="1"/>
          <w:bCs w:val="1"/>
          <w:color w:val="auto"/>
        </w:rPr>
        <w:t>KREOS CAPITAL V (UK) LIMITED (as Agent)</w:t>
      </w:r>
    </w:p>
    <w:p>
      <w:pPr>
        <w:spacing w:after="0" w:line="218" w:lineRule="exact"/>
        <w:rPr>
          <w:rFonts w:ascii="Arial" w:cs="Arial" w:eastAsia="Arial" w:hAnsi="Arial"/>
          <w:sz w:val="17"/>
          <w:szCs w:val="17"/>
          <w:color w:val="auto"/>
        </w:rPr>
      </w:pPr>
    </w:p>
    <w:p>
      <w:pPr>
        <w:ind w:left="2780" w:hanging="377"/>
        <w:spacing w:after="0"/>
        <w:tabs>
          <w:tab w:leader="none" w:pos="2780" w:val="left"/>
        </w:tabs>
        <w:numPr>
          <w:ilvl w:val="0"/>
          <w:numId w:val="178"/>
        </w:numPr>
        <w:rPr>
          <w:rFonts w:ascii="Arial" w:cs="Arial" w:eastAsia="Arial" w:hAnsi="Arial"/>
          <w:sz w:val="17"/>
          <w:szCs w:val="17"/>
          <w:color w:val="auto"/>
        </w:rPr>
      </w:pPr>
      <w:r>
        <w:rPr>
          <w:rFonts w:ascii="Arial" w:cs="Arial" w:eastAsia="Arial" w:hAnsi="Arial"/>
          <w:sz w:val="17"/>
          <w:szCs w:val="17"/>
          <w:b w:val="1"/>
          <w:bCs w:val="1"/>
          <w:color w:val="auto"/>
        </w:rPr>
        <w:t>KREOS CAPITAL V (UK) LIMITED (as Security</w:t>
      </w:r>
    </w:p>
    <w:p>
      <w:pPr>
        <w:spacing w:after="0" w:line="30" w:lineRule="exact"/>
        <w:rPr>
          <w:rFonts w:ascii="Arial" w:cs="Arial" w:eastAsia="Arial" w:hAnsi="Arial"/>
          <w:sz w:val="17"/>
          <w:szCs w:val="17"/>
          <w:color w:val="auto"/>
        </w:rPr>
      </w:pPr>
    </w:p>
    <w:p>
      <w:pPr>
        <w:ind w:left="4380"/>
        <w:spacing w:after="0"/>
        <w:rPr>
          <w:rFonts w:ascii="Arial" w:cs="Arial" w:eastAsia="Arial" w:hAnsi="Arial"/>
          <w:sz w:val="17"/>
          <w:szCs w:val="17"/>
          <w:color w:val="auto"/>
        </w:rPr>
      </w:pPr>
      <w:r>
        <w:rPr>
          <w:rFonts w:ascii="Arial" w:cs="Arial" w:eastAsia="Arial" w:hAnsi="Arial"/>
          <w:sz w:val="17"/>
          <w:szCs w:val="17"/>
          <w:b w:val="1"/>
          <w:bCs w:val="1"/>
          <w:color w:val="auto"/>
        </w:rPr>
        <w:t>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220980</wp:posOffset>
            </wp:positionV>
            <wp:extent cx="14141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DEED OF CONSENT AND AMENDMENT</w:t>
      </w:r>
    </w:p>
    <w:p>
      <w:pPr>
        <w:spacing w:after="0" w:line="30"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RELATING TO A £20,455,000 LOAN AGREEMENT</w:t>
      </w:r>
    </w:p>
    <w:p>
      <w:pPr>
        <w:spacing w:after="0" w:line="12"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DATED 28 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229235</wp:posOffset>
            </wp:positionV>
            <wp:extent cx="14141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5 Fleet Place London EC4M 7RD</w:t>
      </w:r>
    </w:p>
    <w:p>
      <w:pPr>
        <w:spacing w:after="0" w:line="24" w:lineRule="exact"/>
        <w:rPr>
          <w:sz w:val="20"/>
          <w:szCs w:val="20"/>
          <w:color w:val="auto"/>
        </w:rPr>
      </w:pPr>
    </w:p>
    <w:p>
      <w:pPr>
        <w:jc w:val="center"/>
        <w:ind w:right="760"/>
        <w:spacing w:after="0"/>
        <w:rPr>
          <w:sz w:val="20"/>
          <w:szCs w:val="20"/>
          <w:color w:val="auto"/>
        </w:rPr>
      </w:pPr>
      <w:r>
        <w:rPr>
          <w:rFonts w:ascii="Arial" w:cs="Arial" w:eastAsia="Arial" w:hAnsi="Arial"/>
          <w:sz w:val="15"/>
          <w:szCs w:val="15"/>
          <w:b w:val="1"/>
          <w:bCs w:val="1"/>
          <w:color w:val="auto"/>
        </w:rPr>
        <w:t xml:space="preserve">Tel: </w:t>
      </w:r>
      <w:r>
        <w:rPr>
          <w:rFonts w:ascii="Arial" w:cs="Arial" w:eastAsia="Arial" w:hAnsi="Arial"/>
          <w:sz w:val="15"/>
          <w:szCs w:val="15"/>
          <w:color w:val="auto"/>
        </w:rPr>
        <w:t>+44 (0)20 7203 5000 ●</w:t>
      </w:r>
      <w:r>
        <w:rPr>
          <w:rFonts w:ascii="Arial" w:cs="Arial" w:eastAsia="Arial" w:hAnsi="Arial"/>
          <w:sz w:val="15"/>
          <w:szCs w:val="15"/>
          <w:b w:val="1"/>
          <w:bCs w:val="1"/>
          <w:color w:val="auto"/>
        </w:rPr>
        <w:t xml:space="preserve"> Fax: </w:t>
      </w:r>
      <w:r>
        <w:rPr>
          <w:rFonts w:ascii="Arial" w:cs="Arial" w:eastAsia="Arial" w:hAnsi="Arial"/>
          <w:sz w:val="15"/>
          <w:szCs w:val="15"/>
          <w:color w:val="auto"/>
        </w:rPr>
        <w:t>+44 (0)20 7203 0200 ●</w:t>
      </w:r>
      <w:r>
        <w:rPr>
          <w:rFonts w:ascii="Arial" w:cs="Arial" w:eastAsia="Arial" w:hAnsi="Arial"/>
          <w:sz w:val="15"/>
          <w:szCs w:val="15"/>
          <w:b w:val="1"/>
          <w:bCs w:val="1"/>
          <w:color w:val="auto"/>
        </w:rPr>
        <w:t xml:space="preserve"> DX: </w:t>
      </w:r>
      <w:r>
        <w:rPr>
          <w:rFonts w:ascii="Arial" w:cs="Arial" w:eastAsia="Arial" w:hAnsi="Arial"/>
          <w:sz w:val="15"/>
          <w:szCs w:val="15"/>
          <w:color w:val="auto"/>
        </w:rPr>
        <w:t>19 London/Chancery Lane</w:t>
      </w:r>
    </w:p>
    <w:p>
      <w:pPr>
        <w:spacing w:after="0" w:line="35"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www.charlesrussellspeechlys.com</w:t>
      </w:r>
    </w:p>
    <w:p>
      <w:pPr>
        <w:sectPr>
          <w:pgSz w:w="11900" w:h="16838" w:orient="portrait"/>
          <w:cols w:equalWidth="0" w:num="1">
            <w:col w:w="9800"/>
          </w:cols>
          <w:pgMar w:left="1440" w:top="121" w:right="65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26"/>
        </w:trPr>
        <w:tc>
          <w:tcPr>
            <w:tcW w:w="260" w:type="dxa"/>
            <w:vAlign w:val="bottom"/>
          </w:tcPr>
          <w:p>
            <w:pPr>
              <w:spacing w:after="0"/>
              <w:rPr>
                <w:sz w:val="19"/>
                <w:szCs w:val="19"/>
                <w:color w:val="auto"/>
              </w:rPr>
            </w:pPr>
          </w:p>
        </w:tc>
        <w:tc>
          <w:tcPr>
            <w:tcW w:w="7780" w:type="dxa"/>
            <w:vAlign w:val="bottom"/>
          </w:tcPr>
          <w:p>
            <w:pPr>
              <w:ind w:left="4540"/>
              <w:spacing w:after="0"/>
              <w:rPr>
                <w:sz w:val="20"/>
                <w:szCs w:val="20"/>
                <w:color w:val="auto"/>
              </w:rPr>
            </w:pPr>
            <w:r>
              <w:rPr>
                <w:rFonts w:ascii="Arial" w:cs="Arial" w:eastAsia="Arial" w:hAnsi="Arial"/>
                <w:sz w:val="17"/>
                <w:szCs w:val="17"/>
                <w:b w:val="1"/>
                <w:bCs w:val="1"/>
                <w:color w:val="auto"/>
              </w:rPr>
              <w:t>CONTENTS</w:t>
            </w:r>
          </w:p>
        </w:tc>
        <w:tc>
          <w:tcPr>
            <w:tcW w:w="2460" w:type="dxa"/>
            <w:vAlign w:val="bottom"/>
          </w:tcPr>
          <w:p>
            <w:pPr>
              <w:spacing w:after="0"/>
              <w:rPr>
                <w:sz w:val="19"/>
                <w:szCs w:val="19"/>
                <w:color w:val="auto"/>
              </w:rPr>
            </w:pPr>
          </w:p>
        </w:tc>
      </w:tr>
      <w:tr>
        <w:trPr>
          <w:trHeight w:val="440"/>
        </w:trPr>
        <w:tc>
          <w:tcPr>
            <w:tcW w:w="260" w:type="dxa"/>
            <w:vAlign w:val="bottom"/>
          </w:tcPr>
          <w:p>
            <w:pPr>
              <w:spacing w:after="0"/>
              <w:rPr>
                <w:sz w:val="20"/>
                <w:szCs w:val="20"/>
                <w:color w:val="auto"/>
              </w:rPr>
            </w:pPr>
            <w:r>
              <w:rPr>
                <w:rFonts w:ascii="Arial" w:cs="Arial" w:eastAsia="Arial" w:hAnsi="Arial"/>
                <w:sz w:val="17"/>
                <w:szCs w:val="17"/>
                <w:color w:val="auto"/>
              </w:rPr>
              <w:t>1</w:t>
            </w:r>
          </w:p>
        </w:tc>
        <w:tc>
          <w:tcPr>
            <w:tcW w:w="7780" w:type="dxa"/>
            <w:vAlign w:val="bottom"/>
          </w:tcPr>
          <w:p>
            <w:pPr>
              <w:ind w:left="100"/>
              <w:spacing w:after="0"/>
              <w:rPr>
                <w:sz w:val="20"/>
                <w:szCs w:val="20"/>
                <w:color w:val="auto"/>
              </w:rPr>
            </w:pPr>
            <w:r>
              <w:rPr>
                <w:rFonts w:ascii="Arial" w:cs="Arial" w:eastAsia="Arial" w:hAnsi="Arial"/>
                <w:sz w:val="17"/>
                <w:szCs w:val="17"/>
                <w:color w:val="auto"/>
              </w:rPr>
              <w:t>DEFINITIONS AND INTERPRETATION</w:t>
            </w:r>
          </w:p>
        </w:tc>
        <w:tc>
          <w:tcPr>
            <w:tcW w:w="24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11"/>
        </w:trPr>
        <w:tc>
          <w:tcPr>
            <w:tcW w:w="260" w:type="dxa"/>
            <w:vAlign w:val="bottom"/>
          </w:tcPr>
          <w:p>
            <w:pPr>
              <w:spacing w:after="0"/>
              <w:rPr>
                <w:sz w:val="20"/>
                <w:szCs w:val="20"/>
                <w:color w:val="auto"/>
              </w:rPr>
            </w:pPr>
            <w:r>
              <w:rPr>
                <w:rFonts w:ascii="Arial" w:cs="Arial" w:eastAsia="Arial" w:hAnsi="Arial"/>
                <w:sz w:val="17"/>
                <w:szCs w:val="17"/>
                <w:color w:val="auto"/>
              </w:rPr>
              <w:t>2</w:t>
            </w:r>
          </w:p>
        </w:tc>
        <w:tc>
          <w:tcPr>
            <w:tcW w:w="7780" w:type="dxa"/>
            <w:vAlign w:val="bottom"/>
          </w:tcPr>
          <w:p>
            <w:pPr>
              <w:ind w:left="100"/>
              <w:spacing w:after="0"/>
              <w:rPr>
                <w:sz w:val="20"/>
                <w:szCs w:val="20"/>
                <w:color w:val="auto"/>
              </w:rPr>
            </w:pPr>
            <w:r>
              <w:rPr>
                <w:rFonts w:ascii="Arial" w:cs="Arial" w:eastAsia="Arial" w:hAnsi="Arial"/>
                <w:sz w:val="17"/>
                <w:szCs w:val="17"/>
                <w:color w:val="auto"/>
              </w:rPr>
              <w:t>CONSENT</w:t>
            </w:r>
          </w:p>
        </w:tc>
        <w:tc>
          <w:tcPr>
            <w:tcW w:w="24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11"/>
        </w:trPr>
        <w:tc>
          <w:tcPr>
            <w:tcW w:w="260" w:type="dxa"/>
            <w:vAlign w:val="bottom"/>
          </w:tcPr>
          <w:p>
            <w:pPr>
              <w:spacing w:after="0"/>
              <w:rPr>
                <w:sz w:val="20"/>
                <w:szCs w:val="20"/>
                <w:color w:val="auto"/>
              </w:rPr>
            </w:pPr>
            <w:r>
              <w:rPr>
                <w:rFonts w:ascii="Arial" w:cs="Arial" w:eastAsia="Arial" w:hAnsi="Arial"/>
                <w:sz w:val="17"/>
                <w:szCs w:val="17"/>
                <w:color w:val="auto"/>
              </w:rPr>
              <w:t>3</w:t>
            </w:r>
          </w:p>
        </w:tc>
        <w:tc>
          <w:tcPr>
            <w:tcW w:w="7780" w:type="dxa"/>
            <w:vAlign w:val="bottom"/>
          </w:tcPr>
          <w:p>
            <w:pPr>
              <w:ind w:left="100"/>
              <w:spacing w:after="0"/>
              <w:rPr>
                <w:sz w:val="20"/>
                <w:szCs w:val="20"/>
                <w:color w:val="auto"/>
              </w:rPr>
            </w:pPr>
            <w:r>
              <w:rPr>
                <w:rFonts w:ascii="Arial" w:cs="Arial" w:eastAsia="Arial" w:hAnsi="Arial"/>
                <w:sz w:val="17"/>
                <w:szCs w:val="17"/>
                <w:color w:val="auto"/>
              </w:rPr>
              <w:t>CONDITIONS PRECEDENT TO CONSENT</w:t>
            </w:r>
          </w:p>
        </w:tc>
        <w:tc>
          <w:tcPr>
            <w:tcW w:w="24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11"/>
        </w:trPr>
        <w:tc>
          <w:tcPr>
            <w:tcW w:w="260" w:type="dxa"/>
            <w:vAlign w:val="bottom"/>
          </w:tcPr>
          <w:p>
            <w:pPr>
              <w:spacing w:after="0"/>
              <w:rPr>
                <w:sz w:val="20"/>
                <w:szCs w:val="20"/>
                <w:color w:val="auto"/>
              </w:rPr>
            </w:pPr>
            <w:r>
              <w:rPr>
                <w:rFonts w:ascii="Arial" w:cs="Arial" w:eastAsia="Arial" w:hAnsi="Arial"/>
                <w:sz w:val="17"/>
                <w:szCs w:val="17"/>
                <w:color w:val="auto"/>
              </w:rPr>
              <w:t>4</w:t>
            </w:r>
          </w:p>
        </w:tc>
        <w:tc>
          <w:tcPr>
            <w:tcW w:w="7780" w:type="dxa"/>
            <w:vAlign w:val="bottom"/>
          </w:tcPr>
          <w:p>
            <w:pPr>
              <w:ind w:left="100"/>
              <w:spacing w:after="0"/>
              <w:rPr>
                <w:sz w:val="20"/>
                <w:szCs w:val="20"/>
                <w:color w:val="auto"/>
              </w:rPr>
            </w:pPr>
            <w:r>
              <w:rPr>
                <w:rFonts w:ascii="Arial" w:cs="Arial" w:eastAsia="Arial" w:hAnsi="Arial"/>
                <w:sz w:val="17"/>
                <w:szCs w:val="17"/>
                <w:color w:val="auto"/>
              </w:rPr>
              <w:t>CLEAN UP ACTIONS</w:t>
            </w:r>
          </w:p>
        </w:tc>
        <w:tc>
          <w:tcPr>
            <w:tcW w:w="24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11"/>
        </w:trPr>
        <w:tc>
          <w:tcPr>
            <w:tcW w:w="260" w:type="dxa"/>
            <w:vAlign w:val="bottom"/>
          </w:tcPr>
          <w:p>
            <w:pPr>
              <w:spacing w:after="0"/>
              <w:rPr>
                <w:sz w:val="20"/>
                <w:szCs w:val="20"/>
                <w:color w:val="auto"/>
              </w:rPr>
            </w:pPr>
            <w:r>
              <w:rPr>
                <w:rFonts w:ascii="Arial" w:cs="Arial" w:eastAsia="Arial" w:hAnsi="Arial"/>
                <w:sz w:val="17"/>
                <w:szCs w:val="17"/>
                <w:color w:val="auto"/>
              </w:rPr>
              <w:t>5</w:t>
            </w:r>
          </w:p>
        </w:tc>
        <w:tc>
          <w:tcPr>
            <w:tcW w:w="7780" w:type="dxa"/>
            <w:vAlign w:val="bottom"/>
          </w:tcPr>
          <w:p>
            <w:pPr>
              <w:ind w:left="100"/>
              <w:spacing w:after="0"/>
              <w:rPr>
                <w:sz w:val="20"/>
                <w:szCs w:val="20"/>
                <w:color w:val="auto"/>
              </w:rPr>
            </w:pPr>
            <w:r>
              <w:rPr>
                <w:rFonts w:ascii="Arial" w:cs="Arial" w:eastAsia="Arial" w:hAnsi="Arial"/>
                <w:sz w:val="17"/>
                <w:szCs w:val="17"/>
                <w:color w:val="auto"/>
              </w:rPr>
              <w:t>REPRESENTATIONS</w:t>
            </w:r>
          </w:p>
        </w:tc>
        <w:tc>
          <w:tcPr>
            <w:tcW w:w="24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11"/>
        </w:trPr>
        <w:tc>
          <w:tcPr>
            <w:tcW w:w="260" w:type="dxa"/>
            <w:vAlign w:val="bottom"/>
          </w:tcPr>
          <w:p>
            <w:pPr>
              <w:spacing w:after="0"/>
              <w:rPr>
                <w:sz w:val="20"/>
                <w:szCs w:val="20"/>
                <w:color w:val="auto"/>
              </w:rPr>
            </w:pPr>
            <w:r>
              <w:rPr>
                <w:rFonts w:ascii="Arial" w:cs="Arial" w:eastAsia="Arial" w:hAnsi="Arial"/>
                <w:sz w:val="17"/>
                <w:szCs w:val="17"/>
                <w:color w:val="auto"/>
              </w:rPr>
              <w:t>6</w:t>
            </w:r>
          </w:p>
        </w:tc>
        <w:tc>
          <w:tcPr>
            <w:tcW w:w="7780" w:type="dxa"/>
            <w:vAlign w:val="bottom"/>
          </w:tcPr>
          <w:p>
            <w:pPr>
              <w:ind w:left="100"/>
              <w:spacing w:after="0"/>
              <w:rPr>
                <w:sz w:val="20"/>
                <w:szCs w:val="20"/>
                <w:color w:val="auto"/>
              </w:rPr>
            </w:pPr>
            <w:r>
              <w:rPr>
                <w:rFonts w:ascii="Arial" w:cs="Arial" w:eastAsia="Arial" w:hAnsi="Arial"/>
                <w:sz w:val="17"/>
                <w:szCs w:val="17"/>
                <w:color w:val="auto"/>
              </w:rPr>
              <w:t>AMENDMENT, WAIVER AND DELIVERY OF WARRANTS</w:t>
            </w:r>
          </w:p>
        </w:tc>
        <w:tc>
          <w:tcPr>
            <w:tcW w:w="24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11"/>
        </w:trPr>
        <w:tc>
          <w:tcPr>
            <w:tcW w:w="260" w:type="dxa"/>
            <w:vAlign w:val="bottom"/>
          </w:tcPr>
          <w:p>
            <w:pPr>
              <w:spacing w:after="0"/>
              <w:rPr>
                <w:sz w:val="20"/>
                <w:szCs w:val="20"/>
                <w:color w:val="auto"/>
              </w:rPr>
            </w:pPr>
            <w:r>
              <w:rPr>
                <w:rFonts w:ascii="Arial" w:cs="Arial" w:eastAsia="Arial" w:hAnsi="Arial"/>
                <w:sz w:val="17"/>
                <w:szCs w:val="17"/>
                <w:color w:val="auto"/>
              </w:rPr>
              <w:t>7</w:t>
            </w:r>
          </w:p>
        </w:tc>
        <w:tc>
          <w:tcPr>
            <w:tcW w:w="7780" w:type="dxa"/>
            <w:vAlign w:val="bottom"/>
          </w:tcPr>
          <w:p>
            <w:pPr>
              <w:ind w:left="100"/>
              <w:spacing w:after="0"/>
              <w:rPr>
                <w:sz w:val="20"/>
                <w:szCs w:val="20"/>
                <w:color w:val="auto"/>
              </w:rPr>
            </w:pPr>
            <w:r>
              <w:rPr>
                <w:rFonts w:ascii="Arial" w:cs="Arial" w:eastAsia="Arial" w:hAnsi="Arial"/>
                <w:sz w:val="17"/>
                <w:szCs w:val="17"/>
                <w:color w:val="auto"/>
              </w:rPr>
              <w:t>EXTENSION OF INTEREST ONLY PERIOD</w:t>
            </w:r>
          </w:p>
        </w:tc>
        <w:tc>
          <w:tcPr>
            <w:tcW w:w="24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11"/>
        </w:trPr>
        <w:tc>
          <w:tcPr>
            <w:tcW w:w="260" w:type="dxa"/>
            <w:vAlign w:val="bottom"/>
          </w:tcPr>
          <w:p>
            <w:pPr>
              <w:spacing w:after="0"/>
              <w:rPr>
                <w:sz w:val="20"/>
                <w:szCs w:val="20"/>
                <w:color w:val="auto"/>
              </w:rPr>
            </w:pPr>
            <w:r>
              <w:rPr>
                <w:rFonts w:ascii="Arial" w:cs="Arial" w:eastAsia="Arial" w:hAnsi="Arial"/>
                <w:sz w:val="17"/>
                <w:szCs w:val="17"/>
                <w:color w:val="auto"/>
              </w:rPr>
              <w:t>8</w:t>
            </w:r>
          </w:p>
        </w:tc>
        <w:tc>
          <w:tcPr>
            <w:tcW w:w="7780" w:type="dxa"/>
            <w:vAlign w:val="bottom"/>
          </w:tcPr>
          <w:p>
            <w:pPr>
              <w:ind w:left="100"/>
              <w:spacing w:after="0"/>
              <w:rPr>
                <w:sz w:val="20"/>
                <w:szCs w:val="20"/>
                <w:color w:val="auto"/>
              </w:rPr>
            </w:pPr>
            <w:r>
              <w:rPr>
                <w:rFonts w:ascii="Arial" w:cs="Arial" w:eastAsia="Arial" w:hAnsi="Arial"/>
                <w:sz w:val="17"/>
                <w:szCs w:val="17"/>
                <w:color w:val="auto"/>
              </w:rPr>
              <w:t>CONTINUITY AND FURTHER ASSURANCE</w:t>
            </w:r>
          </w:p>
        </w:tc>
        <w:tc>
          <w:tcPr>
            <w:tcW w:w="24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11"/>
        </w:trPr>
        <w:tc>
          <w:tcPr>
            <w:tcW w:w="260" w:type="dxa"/>
            <w:vAlign w:val="bottom"/>
          </w:tcPr>
          <w:p>
            <w:pPr>
              <w:spacing w:after="0"/>
              <w:rPr>
                <w:sz w:val="20"/>
                <w:szCs w:val="20"/>
                <w:color w:val="auto"/>
              </w:rPr>
            </w:pPr>
            <w:r>
              <w:rPr>
                <w:rFonts w:ascii="Arial" w:cs="Arial" w:eastAsia="Arial" w:hAnsi="Arial"/>
                <w:sz w:val="17"/>
                <w:szCs w:val="17"/>
                <w:color w:val="auto"/>
              </w:rPr>
              <w:t>9</w:t>
            </w:r>
          </w:p>
        </w:tc>
        <w:tc>
          <w:tcPr>
            <w:tcW w:w="7780" w:type="dxa"/>
            <w:vAlign w:val="bottom"/>
          </w:tcPr>
          <w:p>
            <w:pPr>
              <w:ind w:left="100"/>
              <w:spacing w:after="0"/>
              <w:rPr>
                <w:sz w:val="20"/>
                <w:szCs w:val="20"/>
                <w:color w:val="auto"/>
              </w:rPr>
            </w:pPr>
            <w:r>
              <w:rPr>
                <w:rFonts w:ascii="Arial" w:cs="Arial" w:eastAsia="Arial" w:hAnsi="Arial"/>
                <w:sz w:val="17"/>
                <w:szCs w:val="17"/>
                <w:color w:val="auto"/>
              </w:rPr>
              <w:t>COSTS AND EXPENSES</w:t>
            </w:r>
          </w:p>
        </w:tc>
        <w:tc>
          <w:tcPr>
            <w:tcW w:w="24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11"/>
        </w:trPr>
        <w:tc>
          <w:tcPr>
            <w:tcW w:w="260" w:type="dxa"/>
            <w:vAlign w:val="bottom"/>
          </w:tcPr>
          <w:p>
            <w:pPr>
              <w:spacing w:after="0"/>
              <w:rPr>
                <w:sz w:val="20"/>
                <w:szCs w:val="20"/>
                <w:color w:val="auto"/>
              </w:rPr>
            </w:pPr>
            <w:r>
              <w:rPr>
                <w:rFonts w:ascii="Arial" w:cs="Arial" w:eastAsia="Arial" w:hAnsi="Arial"/>
                <w:sz w:val="17"/>
                <w:szCs w:val="17"/>
                <w:color w:val="auto"/>
              </w:rPr>
              <w:t>10</w:t>
            </w:r>
          </w:p>
        </w:tc>
        <w:tc>
          <w:tcPr>
            <w:tcW w:w="7780" w:type="dxa"/>
            <w:vAlign w:val="bottom"/>
          </w:tcPr>
          <w:p>
            <w:pPr>
              <w:ind w:left="100"/>
              <w:spacing w:after="0"/>
              <w:rPr>
                <w:sz w:val="20"/>
                <w:szCs w:val="20"/>
                <w:color w:val="auto"/>
              </w:rPr>
            </w:pPr>
            <w:r>
              <w:rPr>
                <w:rFonts w:ascii="Arial" w:cs="Arial" w:eastAsia="Arial" w:hAnsi="Arial"/>
                <w:sz w:val="17"/>
                <w:szCs w:val="17"/>
                <w:color w:val="auto"/>
              </w:rPr>
              <w:t>MISCELLANEOUS</w:t>
            </w:r>
          </w:p>
        </w:tc>
        <w:tc>
          <w:tcPr>
            <w:tcW w:w="24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11"/>
        </w:trPr>
        <w:tc>
          <w:tcPr>
            <w:tcW w:w="260" w:type="dxa"/>
            <w:vAlign w:val="bottom"/>
          </w:tcPr>
          <w:p>
            <w:pPr>
              <w:spacing w:after="0"/>
              <w:rPr>
                <w:sz w:val="20"/>
                <w:szCs w:val="20"/>
                <w:color w:val="auto"/>
              </w:rPr>
            </w:pPr>
            <w:r>
              <w:rPr>
                <w:rFonts w:ascii="Arial" w:cs="Arial" w:eastAsia="Arial" w:hAnsi="Arial"/>
                <w:sz w:val="17"/>
                <w:szCs w:val="17"/>
                <w:color w:val="auto"/>
              </w:rPr>
              <w:t>11</w:t>
            </w:r>
          </w:p>
        </w:tc>
        <w:tc>
          <w:tcPr>
            <w:tcW w:w="7780" w:type="dxa"/>
            <w:vAlign w:val="bottom"/>
          </w:tcPr>
          <w:p>
            <w:pPr>
              <w:ind w:left="100"/>
              <w:spacing w:after="0"/>
              <w:rPr>
                <w:sz w:val="20"/>
                <w:szCs w:val="20"/>
                <w:color w:val="auto"/>
              </w:rPr>
            </w:pPr>
            <w:r>
              <w:rPr>
                <w:rFonts w:ascii="Arial" w:cs="Arial" w:eastAsia="Arial" w:hAnsi="Arial"/>
                <w:sz w:val="17"/>
                <w:szCs w:val="17"/>
                <w:color w:val="auto"/>
              </w:rPr>
              <w:t>GOVERNING LAW</w:t>
            </w:r>
          </w:p>
        </w:tc>
        <w:tc>
          <w:tcPr>
            <w:tcW w:w="24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11"/>
        </w:trPr>
        <w:tc>
          <w:tcPr>
            <w:tcW w:w="8040" w:type="dxa"/>
            <w:vAlign w:val="bottom"/>
            <w:gridSpan w:val="2"/>
          </w:tcPr>
          <w:p>
            <w:pPr>
              <w:spacing w:after="0"/>
              <w:rPr>
                <w:sz w:val="20"/>
                <w:szCs w:val="20"/>
                <w:color w:val="auto"/>
              </w:rPr>
            </w:pPr>
            <w:r>
              <w:rPr>
                <w:rFonts w:ascii="Arial" w:cs="Arial" w:eastAsia="Arial" w:hAnsi="Arial"/>
                <w:sz w:val="17"/>
                <w:szCs w:val="17"/>
                <w:color w:val="auto"/>
              </w:rPr>
              <w:t>SCHEDULE 1 THE GUARANTORS</w:t>
            </w:r>
          </w:p>
        </w:tc>
        <w:tc>
          <w:tcPr>
            <w:tcW w:w="24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11"/>
        </w:trPr>
        <w:tc>
          <w:tcPr>
            <w:tcW w:w="8040" w:type="dxa"/>
            <w:vAlign w:val="bottom"/>
            <w:gridSpan w:val="2"/>
          </w:tcPr>
          <w:p>
            <w:pPr>
              <w:spacing w:after="0"/>
              <w:rPr>
                <w:sz w:val="20"/>
                <w:szCs w:val="20"/>
                <w:color w:val="auto"/>
              </w:rPr>
            </w:pPr>
            <w:r>
              <w:rPr>
                <w:rFonts w:ascii="Arial" w:cs="Arial" w:eastAsia="Arial" w:hAnsi="Arial"/>
                <w:sz w:val="17"/>
                <w:szCs w:val="17"/>
                <w:color w:val="auto"/>
              </w:rPr>
              <w:t>SCHEDULE 2 CONDITIONS PRECEDENT</w:t>
            </w:r>
          </w:p>
        </w:tc>
        <w:tc>
          <w:tcPr>
            <w:tcW w:w="24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11"/>
        </w:trPr>
        <w:tc>
          <w:tcPr>
            <w:tcW w:w="8040" w:type="dxa"/>
            <w:vAlign w:val="bottom"/>
            <w:gridSpan w:val="2"/>
          </w:tcPr>
          <w:p>
            <w:pPr>
              <w:spacing w:after="0"/>
              <w:rPr>
                <w:sz w:val="20"/>
                <w:szCs w:val="20"/>
                <w:color w:val="auto"/>
              </w:rPr>
            </w:pPr>
            <w:r>
              <w:rPr>
                <w:rFonts w:ascii="Arial" w:cs="Arial" w:eastAsia="Arial" w:hAnsi="Arial"/>
                <w:sz w:val="17"/>
                <w:szCs w:val="17"/>
                <w:color w:val="auto"/>
              </w:rPr>
              <w:t>SCHEDULE 3 CLEAN UP ACTIONS</w:t>
            </w:r>
          </w:p>
        </w:tc>
        <w:tc>
          <w:tcPr>
            <w:tcW w:w="24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11"/>
        </w:trPr>
        <w:tc>
          <w:tcPr>
            <w:tcW w:w="8040" w:type="dxa"/>
            <w:vAlign w:val="bottom"/>
            <w:gridSpan w:val="2"/>
          </w:tcPr>
          <w:p>
            <w:pPr>
              <w:spacing w:after="0"/>
              <w:rPr>
                <w:sz w:val="20"/>
                <w:szCs w:val="20"/>
                <w:color w:val="auto"/>
              </w:rPr>
            </w:pPr>
            <w:r>
              <w:rPr>
                <w:rFonts w:ascii="Arial" w:cs="Arial" w:eastAsia="Arial" w:hAnsi="Arial"/>
                <w:sz w:val="17"/>
                <w:szCs w:val="17"/>
                <w:color w:val="auto"/>
              </w:rPr>
              <w:t>SCHEDULE 4 WARRANTIES</w:t>
            </w:r>
          </w:p>
        </w:tc>
        <w:tc>
          <w:tcPr>
            <w:tcW w:w="24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11"/>
        </w:trPr>
        <w:tc>
          <w:tcPr>
            <w:tcW w:w="8040" w:type="dxa"/>
            <w:vAlign w:val="bottom"/>
            <w:gridSpan w:val="2"/>
          </w:tcPr>
          <w:p>
            <w:pPr>
              <w:spacing w:after="0"/>
              <w:rPr>
                <w:sz w:val="20"/>
                <w:szCs w:val="20"/>
                <w:color w:val="auto"/>
              </w:rPr>
            </w:pPr>
            <w:r>
              <w:rPr>
                <w:rFonts w:ascii="Arial" w:cs="Arial" w:eastAsia="Arial" w:hAnsi="Arial"/>
                <w:sz w:val="17"/>
                <w:szCs w:val="17"/>
                <w:color w:val="auto"/>
              </w:rPr>
              <w:t>SCHEDULE 5 AMENDMENTS TO ORIGINAL FACILITY AGREEMENT</w:t>
            </w:r>
          </w:p>
        </w:tc>
        <w:tc>
          <w:tcPr>
            <w:tcW w:w="24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1"/>
        </w:trPr>
        <w:tc>
          <w:tcPr>
            <w:tcW w:w="8040" w:type="dxa"/>
            <w:vAlign w:val="bottom"/>
            <w:gridSpan w:val="2"/>
          </w:tcPr>
          <w:p>
            <w:pPr>
              <w:spacing w:after="0"/>
              <w:rPr>
                <w:sz w:val="20"/>
                <w:szCs w:val="20"/>
                <w:color w:val="auto"/>
              </w:rPr>
            </w:pPr>
            <w:r>
              <w:rPr>
                <w:rFonts w:ascii="Arial" w:cs="Arial" w:eastAsia="Arial" w:hAnsi="Arial"/>
                <w:sz w:val="17"/>
                <w:szCs w:val="17"/>
                <w:color w:val="auto"/>
              </w:rPr>
              <w:t>SCHEDULE 6 REPAYMENT SCHEDULE</w:t>
            </w:r>
          </w:p>
        </w:tc>
        <w:tc>
          <w:tcPr>
            <w:tcW w:w="24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1"/>
        </w:trPr>
        <w:tc>
          <w:tcPr>
            <w:tcW w:w="8040" w:type="dxa"/>
            <w:vAlign w:val="bottom"/>
            <w:gridSpan w:val="2"/>
          </w:tcPr>
          <w:p>
            <w:pPr>
              <w:spacing w:after="0"/>
              <w:rPr>
                <w:sz w:val="20"/>
                <w:szCs w:val="20"/>
                <w:color w:val="auto"/>
              </w:rPr>
            </w:pPr>
            <w:r>
              <w:rPr>
                <w:rFonts w:ascii="Arial" w:cs="Arial" w:eastAsia="Arial" w:hAnsi="Arial"/>
                <w:sz w:val="17"/>
                <w:szCs w:val="17"/>
                <w:color w:val="auto"/>
              </w:rPr>
              <w:t>SCHEDULE 7 NET CASH CALCULATION</w:t>
            </w:r>
          </w:p>
        </w:tc>
        <w:tc>
          <w:tcPr>
            <w:tcW w:w="2460" w:type="dxa"/>
            <w:vAlign w:val="bottom"/>
          </w:tcPr>
          <w:p>
            <w:pPr>
              <w:jc w:val="right"/>
              <w:spacing w:after="0"/>
              <w:rPr>
                <w:sz w:val="20"/>
                <w:szCs w:val="20"/>
                <w:color w:val="auto"/>
              </w:rPr>
            </w:pPr>
            <w:r>
              <w:rPr>
                <w:rFonts w:ascii="Arial" w:cs="Arial" w:eastAsia="Arial" w:hAnsi="Arial"/>
                <w:sz w:val="17"/>
                <w:szCs w:val="17"/>
                <w:color w:val="auto"/>
              </w:rPr>
              <w:t>29</w:t>
            </w:r>
          </w:p>
        </w:tc>
      </w:tr>
    </w:tbl>
    <w:p>
      <w:pPr>
        <w:jc w:val="right"/>
        <w:spacing w:after="0"/>
        <w:rPr>
          <w:sz w:val="20"/>
          <w:szCs w:val="20"/>
          <w:color w:val="auto"/>
        </w:rPr>
        <w:sectPr>
          <w:pgSz w:w="11900" w:h="16838" w:orient="portrait"/>
          <w:cols w:equalWidth="0" w:num="1">
            <w:col w:w="10500"/>
          </w:cols>
          <w:pgMar w:left="680" w:top="264" w:right="719" w:bottom="1440" w:gutter="0" w:footer="0" w:header="0"/>
        </w:sect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bookmarkStart w:id="236" w:name="page237"/>
    <w:bookmarkEnd w:id="236"/>
    <w:p>
      <w:pPr>
        <w:ind w:left="9"/>
        <w:spacing w:after="0"/>
        <w:tabs>
          <w:tab w:leader="none" w:pos="1709"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 xml:space="preserve">THIS DEED </w:t>
      </w:r>
      <w:r>
        <w:rPr>
          <w:rFonts w:ascii="Arial" w:cs="Arial" w:eastAsia="Arial" w:hAnsi="Arial"/>
          <w:sz w:val="17"/>
          <w:szCs w:val="17"/>
          <w:color w:val="auto"/>
        </w:rPr>
        <w:t>is dated</w:t>
      </w:r>
      <w:r>
        <w:rPr>
          <w:sz w:val="20"/>
          <w:szCs w:val="20"/>
          <w:color w:val="auto"/>
        </w:rPr>
        <w:tab/>
      </w:r>
      <w:r>
        <w:rPr>
          <w:rFonts w:ascii="Arial" w:cs="Arial" w:eastAsia="Arial" w:hAnsi="Arial"/>
          <w:sz w:val="15"/>
          <w:szCs w:val="15"/>
          <w:color w:val="auto"/>
        </w:rPr>
        <w:t>April 2019 and made between:</w:t>
      </w:r>
    </w:p>
    <w:p>
      <w:pPr>
        <w:spacing w:after="0" w:line="128" w:lineRule="exact"/>
        <w:rPr>
          <w:sz w:val="20"/>
          <w:szCs w:val="20"/>
          <w:color w:val="auto"/>
        </w:rPr>
      </w:pPr>
    </w:p>
    <w:p>
      <w:pPr>
        <w:ind w:left="509" w:hanging="509"/>
        <w:spacing w:after="0"/>
        <w:tabs>
          <w:tab w:leader="none" w:pos="509" w:val="left"/>
        </w:tabs>
        <w:numPr>
          <w:ilvl w:val="0"/>
          <w:numId w:val="179"/>
        </w:numPr>
        <w:rPr>
          <w:rFonts w:ascii="Arial" w:cs="Arial" w:eastAsia="Arial" w:hAnsi="Arial"/>
          <w:sz w:val="17"/>
          <w:szCs w:val="17"/>
          <w:color w:val="auto"/>
        </w:rPr>
      </w:pPr>
      <w:r>
        <w:rPr>
          <w:rFonts w:ascii="Arial" w:cs="Arial" w:eastAsia="Arial" w:hAnsi="Arial"/>
          <w:sz w:val="17"/>
          <w:szCs w:val="17"/>
          <w:b w:val="1"/>
          <w:bCs w:val="1"/>
          <w:color w:val="auto"/>
        </w:rPr>
        <w:t xml:space="preserve">MEREO BIOPHARMA GROUP PLC </w:t>
      </w:r>
      <w:r>
        <w:rPr>
          <w:rFonts w:ascii="Arial" w:cs="Arial" w:eastAsia="Arial" w:hAnsi="Arial"/>
          <w:sz w:val="17"/>
          <w:szCs w:val="17"/>
          <w:color w:val="auto"/>
        </w:rPr>
        <w:t>(the</w:t>
      </w:r>
      <w:r>
        <w:rPr>
          <w:rFonts w:ascii="Arial" w:cs="Arial" w:eastAsia="Arial" w:hAnsi="Arial"/>
          <w:sz w:val="17"/>
          <w:szCs w:val="17"/>
          <w:b w:val="1"/>
          <w:bCs w:val="1"/>
          <w:color w:val="auto"/>
        </w:rPr>
        <w:t xml:space="preserve"> Borrower</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509" w:hanging="509"/>
        <w:spacing w:after="0"/>
        <w:tabs>
          <w:tab w:leader="none" w:pos="509" w:val="left"/>
        </w:tabs>
        <w:numPr>
          <w:ilvl w:val="0"/>
          <w:numId w:val="179"/>
        </w:numPr>
        <w:rPr>
          <w:rFonts w:ascii="Arial" w:cs="Arial" w:eastAsia="Arial" w:hAnsi="Arial"/>
          <w:sz w:val="15"/>
          <w:szCs w:val="15"/>
          <w:color w:val="auto"/>
        </w:rPr>
      </w:pPr>
      <w:r>
        <w:rPr>
          <w:rFonts w:ascii="Arial" w:cs="Arial" w:eastAsia="Arial" w:hAnsi="Arial"/>
          <w:sz w:val="15"/>
          <w:szCs w:val="15"/>
          <w:b w:val="1"/>
          <w:bCs w:val="1"/>
          <w:color w:val="auto"/>
        </w:rPr>
        <w:t xml:space="preserve">THE SUBSIDIARIES </w:t>
      </w:r>
      <w:r>
        <w:rPr>
          <w:rFonts w:ascii="Arial" w:cs="Arial" w:eastAsia="Arial" w:hAnsi="Arial"/>
          <w:sz w:val="15"/>
          <w:szCs w:val="15"/>
          <w:color w:val="auto"/>
        </w:rPr>
        <w:t>of the Borrower listed in Schedule 1 as guarantors (the</w:t>
      </w:r>
      <w:r>
        <w:rPr>
          <w:rFonts w:ascii="Arial" w:cs="Arial" w:eastAsia="Arial" w:hAnsi="Arial"/>
          <w:sz w:val="15"/>
          <w:szCs w:val="15"/>
          <w:b w:val="1"/>
          <w:bCs w:val="1"/>
          <w:color w:val="auto"/>
        </w:rPr>
        <w:t xml:space="preserve"> Guarantors </w:t>
      </w:r>
      <w:r>
        <w:rPr>
          <w:rFonts w:ascii="Arial" w:cs="Arial" w:eastAsia="Arial" w:hAnsi="Arial"/>
          <w:sz w:val="15"/>
          <w:szCs w:val="15"/>
          <w:color w:val="auto"/>
        </w:rPr>
        <w:t>and together with the Borrower, the</w:t>
      </w:r>
      <w:r>
        <w:rPr>
          <w:rFonts w:ascii="Arial" w:cs="Arial" w:eastAsia="Arial" w:hAnsi="Arial"/>
          <w:sz w:val="15"/>
          <w:szCs w:val="15"/>
          <w:b w:val="1"/>
          <w:bCs w:val="1"/>
          <w:color w:val="auto"/>
        </w:rPr>
        <w:t xml:space="preserve"> Obligors</w:t>
      </w:r>
      <w:r>
        <w:rPr>
          <w:rFonts w:ascii="Arial" w:cs="Arial" w:eastAsia="Arial" w:hAnsi="Arial"/>
          <w:sz w:val="15"/>
          <w:szCs w:val="15"/>
          <w:color w:val="auto"/>
        </w:rPr>
        <w:t>); and</w:t>
      </w:r>
    </w:p>
    <w:p>
      <w:pPr>
        <w:spacing w:after="0" w:line="151" w:lineRule="exact"/>
        <w:rPr>
          <w:rFonts w:ascii="Arial" w:cs="Arial" w:eastAsia="Arial" w:hAnsi="Arial"/>
          <w:sz w:val="15"/>
          <w:szCs w:val="15"/>
          <w:color w:val="auto"/>
        </w:rPr>
      </w:pPr>
    </w:p>
    <w:p>
      <w:pPr>
        <w:ind w:left="509" w:hanging="509"/>
        <w:spacing w:after="0" w:line="263" w:lineRule="auto"/>
        <w:tabs>
          <w:tab w:leader="none" w:pos="509" w:val="left"/>
        </w:tabs>
        <w:numPr>
          <w:ilvl w:val="0"/>
          <w:numId w:val="179"/>
        </w:numPr>
        <w:rPr>
          <w:rFonts w:ascii="Arial" w:cs="Arial" w:eastAsia="Arial" w:hAnsi="Arial"/>
          <w:sz w:val="17"/>
          <w:szCs w:val="17"/>
          <w:color w:val="auto"/>
        </w:rPr>
      </w:pPr>
      <w:r>
        <w:rPr>
          <w:rFonts w:ascii="Arial" w:cs="Arial" w:eastAsia="Arial" w:hAnsi="Arial"/>
          <w:sz w:val="17"/>
          <w:szCs w:val="17"/>
          <w:b w:val="1"/>
          <w:bCs w:val="1"/>
          <w:color w:val="auto"/>
        </w:rPr>
        <w:t xml:space="preserve">SILICON VALLEY BANK </w:t>
      </w:r>
      <w:r>
        <w:rPr>
          <w:rFonts w:ascii="Arial" w:cs="Arial" w:eastAsia="Arial" w:hAnsi="Arial"/>
          <w:sz w:val="17"/>
          <w:szCs w:val="17"/>
          <w:color w:val="auto"/>
        </w:rPr>
        <w:t>(</w:t>
      </w:r>
      <w:r>
        <w:rPr>
          <w:rFonts w:ascii="Arial" w:cs="Arial" w:eastAsia="Arial" w:hAnsi="Arial"/>
          <w:sz w:val="17"/>
          <w:szCs w:val="17"/>
          <w:b w:val="1"/>
          <w:bCs w:val="1"/>
          <w:color w:val="auto"/>
        </w:rPr>
        <w:t>SVB</w:t>
      </w:r>
      <w:r>
        <w:rPr>
          <w:rFonts w:ascii="Arial" w:cs="Arial" w:eastAsia="Arial" w:hAnsi="Arial"/>
          <w:sz w:val="17"/>
          <w:szCs w:val="17"/>
          <w:color w:val="auto"/>
        </w:rPr>
        <w:t>) a California corporation, with its principal place of business at 3003 Tasman Drive, Santa Clara, California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95054 US and registered in England &amp; Wales under numbers BR014561 and FC029579 acting through its UK branch at Alphabeta 14-18 Finsbury Square, London, EC2A 1BR and </w:t>
      </w:r>
      <w:r>
        <w:rPr>
          <w:rFonts w:ascii="Arial" w:cs="Arial" w:eastAsia="Arial" w:hAnsi="Arial"/>
          <w:sz w:val="17"/>
          <w:szCs w:val="17"/>
          <w:b w:val="1"/>
          <w:bCs w:val="1"/>
          <w:color w:val="auto"/>
        </w:rPr>
        <w:t>KREOS CAPITAL V (UK) LIMITED</w:t>
      </w:r>
      <w:r>
        <w:rPr>
          <w:rFonts w:ascii="Arial" w:cs="Arial" w:eastAsia="Arial" w:hAnsi="Arial"/>
          <w:sz w:val="17"/>
          <w:szCs w:val="17"/>
          <w:color w:val="auto"/>
        </w:rPr>
        <w:t xml:space="preserve"> (</w:t>
      </w:r>
      <w:r>
        <w:rPr>
          <w:rFonts w:ascii="Arial" w:cs="Arial" w:eastAsia="Arial" w:hAnsi="Arial"/>
          <w:sz w:val="17"/>
          <w:szCs w:val="17"/>
          <w:b w:val="1"/>
          <w:bCs w:val="1"/>
          <w:color w:val="auto"/>
        </w:rPr>
        <w:t>Kreos</w:t>
      </w:r>
      <w:r>
        <w:rPr>
          <w:rFonts w:ascii="Arial" w:cs="Arial" w:eastAsia="Arial" w:hAnsi="Arial"/>
          <w:sz w:val="17"/>
          <w:szCs w:val="17"/>
          <w:color w:val="auto"/>
        </w:rPr>
        <w:t xml:space="preserve">) a limited liability company incorporated under the laws of England &amp; Wales with company number 09728300 and its registered office at 25 Old Burlington Street London W1S 3AN (each a </w:t>
      </w:r>
      <w:r>
        <w:rPr>
          <w:rFonts w:ascii="Arial" w:cs="Arial" w:eastAsia="Arial" w:hAnsi="Arial"/>
          <w:sz w:val="17"/>
          <w:szCs w:val="17"/>
          <w:b w:val="1"/>
          <w:bCs w:val="1"/>
          <w:color w:val="auto"/>
        </w:rPr>
        <w:t xml:space="preserve">Lender </w:t>
      </w:r>
      <w:r>
        <w:rPr>
          <w:rFonts w:ascii="Arial" w:cs="Arial" w:eastAsia="Arial" w:hAnsi="Arial"/>
          <w:sz w:val="17"/>
          <w:szCs w:val="17"/>
          <w:color w:val="auto"/>
        </w:rPr>
        <w:t>and a</w:t>
      </w:r>
      <w:r>
        <w:rPr>
          <w:rFonts w:ascii="Arial" w:cs="Arial" w:eastAsia="Arial" w:hAnsi="Arial"/>
          <w:sz w:val="17"/>
          <w:szCs w:val="17"/>
          <w:b w:val="1"/>
          <w:bCs w:val="1"/>
          <w:color w:val="auto"/>
        </w:rPr>
        <w:t xml:space="preserve"> Warrantholder </w:t>
      </w:r>
      <w:r>
        <w:rPr>
          <w:rFonts w:ascii="Arial" w:cs="Arial" w:eastAsia="Arial" w:hAnsi="Arial"/>
          <w:sz w:val="17"/>
          <w:szCs w:val="17"/>
          <w:color w:val="auto"/>
        </w:rPr>
        <w:t>and together the</w:t>
      </w:r>
      <w:r>
        <w:rPr>
          <w:rFonts w:ascii="Arial" w:cs="Arial" w:eastAsia="Arial" w:hAnsi="Arial"/>
          <w:sz w:val="17"/>
          <w:szCs w:val="17"/>
          <w:b w:val="1"/>
          <w:bCs w:val="1"/>
          <w:color w:val="auto"/>
        </w:rPr>
        <w:t xml:space="preserve"> Lenders </w:t>
      </w:r>
      <w:r>
        <w:rPr>
          <w:rFonts w:ascii="Arial" w:cs="Arial" w:eastAsia="Arial" w:hAnsi="Arial"/>
          <w:sz w:val="17"/>
          <w:szCs w:val="17"/>
          <w:color w:val="auto"/>
        </w:rPr>
        <w:t>and the</w:t>
      </w:r>
      <w:r>
        <w:rPr>
          <w:rFonts w:ascii="Arial" w:cs="Arial" w:eastAsia="Arial" w:hAnsi="Arial"/>
          <w:sz w:val="17"/>
          <w:szCs w:val="17"/>
          <w:b w:val="1"/>
          <w:bCs w:val="1"/>
          <w:color w:val="auto"/>
        </w:rPr>
        <w:t xml:space="preserve"> Warrantholders</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509" w:right="220" w:hanging="509"/>
        <w:spacing w:after="0" w:line="324" w:lineRule="auto"/>
        <w:tabs>
          <w:tab w:leader="none" w:pos="509" w:val="left"/>
        </w:tabs>
        <w:numPr>
          <w:ilvl w:val="0"/>
          <w:numId w:val="179"/>
        </w:numPr>
        <w:rPr>
          <w:rFonts w:ascii="Arial" w:cs="Arial" w:eastAsia="Arial" w:hAnsi="Arial"/>
          <w:sz w:val="16"/>
          <w:szCs w:val="16"/>
          <w:color w:val="auto"/>
        </w:rPr>
      </w:pPr>
      <w:r>
        <w:rPr>
          <w:rFonts w:ascii="Arial" w:cs="Arial" w:eastAsia="Arial" w:hAnsi="Arial"/>
          <w:sz w:val="16"/>
          <w:szCs w:val="16"/>
          <w:b w:val="1"/>
          <w:bCs w:val="1"/>
          <w:color w:val="auto"/>
        </w:rPr>
        <w:t xml:space="preserve">KREOS CAPITAL V (UK) LIMITED </w:t>
      </w:r>
      <w:r>
        <w:rPr>
          <w:rFonts w:ascii="Arial" w:cs="Arial" w:eastAsia="Arial" w:hAnsi="Arial"/>
          <w:sz w:val="16"/>
          <w:szCs w:val="16"/>
          <w:color w:val="auto"/>
        </w:rPr>
        <w:t>a limited liability company incorporated under the laws of England &amp; Wales with company number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09728300 and its registered office at 25 Old Burlington Street London W1S 3AN (in its capacity as agent) (the </w:t>
      </w:r>
      <w:r>
        <w:rPr>
          <w:rFonts w:ascii="Arial" w:cs="Arial" w:eastAsia="Arial" w:hAnsi="Arial"/>
          <w:sz w:val="16"/>
          <w:szCs w:val="16"/>
          <w:b w:val="1"/>
          <w:bCs w:val="1"/>
          <w:color w:val="auto"/>
        </w:rPr>
        <w:t>Agent</w:t>
      </w:r>
      <w:r>
        <w:rPr>
          <w:rFonts w:ascii="Arial" w:cs="Arial" w:eastAsia="Arial" w:hAnsi="Arial"/>
          <w:sz w:val="16"/>
          <w:szCs w:val="16"/>
          <w:color w:val="auto"/>
        </w:rPr>
        <w:t>); and</w:t>
      </w:r>
    </w:p>
    <w:p>
      <w:pPr>
        <w:spacing w:after="0" w:line="34" w:lineRule="exact"/>
        <w:rPr>
          <w:rFonts w:ascii="Arial" w:cs="Arial" w:eastAsia="Arial" w:hAnsi="Arial"/>
          <w:sz w:val="16"/>
          <w:szCs w:val="16"/>
          <w:color w:val="auto"/>
        </w:rPr>
      </w:pPr>
    </w:p>
    <w:p>
      <w:pPr>
        <w:ind w:left="509" w:right="220" w:hanging="509"/>
        <w:spacing w:after="0" w:line="324" w:lineRule="auto"/>
        <w:tabs>
          <w:tab w:leader="none" w:pos="509" w:val="left"/>
        </w:tabs>
        <w:numPr>
          <w:ilvl w:val="0"/>
          <w:numId w:val="179"/>
        </w:numPr>
        <w:rPr>
          <w:rFonts w:ascii="Arial" w:cs="Arial" w:eastAsia="Arial" w:hAnsi="Arial"/>
          <w:sz w:val="16"/>
          <w:szCs w:val="16"/>
          <w:color w:val="auto"/>
        </w:rPr>
      </w:pPr>
      <w:r>
        <w:rPr>
          <w:rFonts w:ascii="Arial" w:cs="Arial" w:eastAsia="Arial" w:hAnsi="Arial"/>
          <w:sz w:val="16"/>
          <w:szCs w:val="16"/>
          <w:b w:val="1"/>
          <w:bCs w:val="1"/>
          <w:color w:val="auto"/>
        </w:rPr>
        <w:t xml:space="preserve">KREOS CAPITAL V (UK) LIMITED </w:t>
      </w:r>
      <w:r>
        <w:rPr>
          <w:rFonts w:ascii="Arial" w:cs="Arial" w:eastAsia="Arial" w:hAnsi="Arial"/>
          <w:sz w:val="16"/>
          <w:szCs w:val="16"/>
          <w:color w:val="auto"/>
        </w:rPr>
        <w:t>a limited liability company incorporated under the laws of England &amp; Wales with company number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09728300 and its registered office at 25 Old Burlington Street London W1S 3AN (in its capacity as security agent) (the </w:t>
      </w:r>
      <w:r>
        <w:rPr>
          <w:rFonts w:ascii="Arial" w:cs="Arial" w:eastAsia="Arial" w:hAnsi="Arial"/>
          <w:sz w:val="16"/>
          <w:szCs w:val="16"/>
          <w:b w:val="1"/>
          <w:bCs w:val="1"/>
          <w:color w:val="auto"/>
        </w:rPr>
        <w:t>Security Agent</w:t>
      </w:r>
      <w:r>
        <w:rPr>
          <w:rFonts w:ascii="Arial" w:cs="Arial" w:eastAsia="Arial" w:hAnsi="Arial"/>
          <w:sz w:val="16"/>
          <w:szCs w:val="16"/>
          <w:color w:val="auto"/>
        </w:rPr>
        <w:t>).</w:t>
      </w:r>
    </w:p>
    <w:p>
      <w:pPr>
        <w:spacing w:after="0" w:line="125"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 xml:space="preserve">IT IS AGREED </w:t>
      </w:r>
      <w:r>
        <w:rPr>
          <w:rFonts w:ascii="Arial" w:cs="Arial" w:eastAsia="Arial" w:hAnsi="Arial"/>
          <w:sz w:val="17"/>
          <w:szCs w:val="17"/>
          <w:color w:val="auto"/>
        </w:rPr>
        <w:t>as follows:</w:t>
      </w:r>
    </w:p>
    <w:p>
      <w:pPr>
        <w:spacing w:after="0" w:line="361" w:lineRule="exact"/>
        <w:rPr>
          <w:sz w:val="20"/>
          <w:szCs w:val="20"/>
          <w:color w:val="auto"/>
        </w:rPr>
      </w:pPr>
    </w:p>
    <w:p>
      <w:pPr>
        <w:ind w:left="509" w:hanging="509"/>
        <w:spacing w:after="0"/>
        <w:tabs>
          <w:tab w:leader="none" w:pos="509" w:val="left"/>
        </w:tabs>
        <w:numPr>
          <w:ilvl w:val="0"/>
          <w:numId w:val="180"/>
        </w:numPr>
        <w:rPr>
          <w:rFonts w:ascii="Arial" w:cs="Arial" w:eastAsia="Arial" w:hAnsi="Arial"/>
          <w:sz w:val="17"/>
          <w:szCs w:val="17"/>
          <w:color w:val="auto"/>
        </w:rPr>
      </w:pPr>
      <w:r>
        <w:rPr>
          <w:rFonts w:ascii="Arial" w:cs="Arial" w:eastAsia="Arial" w:hAnsi="Arial"/>
          <w:sz w:val="17"/>
          <w:szCs w:val="17"/>
          <w:b w:val="1"/>
          <w:bCs w:val="1"/>
          <w:color w:val="auto"/>
        </w:rPr>
        <w:t>DEFINITIONS AND INTERPRETATION</w:t>
      </w:r>
    </w:p>
    <w:p>
      <w:pPr>
        <w:spacing w:after="0" w:line="128" w:lineRule="exact"/>
        <w:rPr>
          <w:sz w:val="20"/>
          <w:szCs w:val="20"/>
          <w:color w:val="auto"/>
        </w:rPr>
      </w:pPr>
    </w:p>
    <w:tbl>
      <w:tblPr>
        <w:tblLayout w:type="fixed"/>
        <w:tblInd w:w="9" w:type="dxa"/>
        <w:tblCellMar>
          <w:top w:w="0" w:type="dxa"/>
          <w:left w:w="0" w:type="dxa"/>
          <w:bottom w:w="0" w:type="dxa"/>
          <w:right w:w="0" w:type="dxa"/>
        </w:tblCellMar>
      </w:tblPr>
      <w:tr>
        <w:trPr>
          <w:trHeight w:val="226"/>
        </w:trPr>
        <w:tc>
          <w:tcPr>
            <w:tcW w:w="360" w:type="dxa"/>
            <w:vAlign w:val="bottom"/>
          </w:tcPr>
          <w:p>
            <w:pPr>
              <w:jc w:val="right"/>
              <w:ind w:right="74"/>
              <w:spacing w:after="0"/>
              <w:rPr>
                <w:sz w:val="20"/>
                <w:szCs w:val="20"/>
                <w:color w:val="auto"/>
              </w:rPr>
            </w:pPr>
            <w:r>
              <w:rPr>
                <w:rFonts w:ascii="Arial" w:cs="Arial" w:eastAsia="Arial" w:hAnsi="Arial"/>
                <w:sz w:val="17"/>
                <w:szCs w:val="17"/>
                <w:color w:val="auto"/>
                <w:w w:val="75"/>
              </w:rPr>
              <w:t>1.1</w:t>
            </w:r>
          </w:p>
        </w:tc>
        <w:tc>
          <w:tcPr>
            <w:tcW w:w="2620" w:type="dxa"/>
            <w:vAlign w:val="bottom"/>
          </w:tcPr>
          <w:p>
            <w:pPr>
              <w:ind w:left="140"/>
              <w:spacing w:after="0"/>
              <w:rPr>
                <w:sz w:val="20"/>
                <w:szCs w:val="20"/>
                <w:color w:val="auto"/>
              </w:rPr>
            </w:pPr>
            <w:r>
              <w:rPr>
                <w:rFonts w:ascii="Arial" w:cs="Arial" w:eastAsia="Arial" w:hAnsi="Arial"/>
                <w:sz w:val="17"/>
                <w:szCs w:val="17"/>
                <w:b w:val="1"/>
                <w:bCs w:val="1"/>
                <w:color w:val="auto"/>
              </w:rPr>
              <w:t>Definitions</w:t>
            </w:r>
          </w:p>
        </w:tc>
        <w:tc>
          <w:tcPr>
            <w:tcW w:w="7020" w:type="dxa"/>
            <w:vAlign w:val="bottom"/>
          </w:tcPr>
          <w:p>
            <w:pPr>
              <w:spacing w:after="0"/>
              <w:rPr>
                <w:sz w:val="19"/>
                <w:szCs w:val="19"/>
                <w:color w:val="auto"/>
              </w:rPr>
            </w:pPr>
          </w:p>
        </w:tc>
      </w:tr>
      <w:tr>
        <w:trPr>
          <w:trHeight w:val="311"/>
        </w:trPr>
        <w:tc>
          <w:tcPr>
            <w:tcW w:w="360" w:type="dxa"/>
            <w:vAlign w:val="bottom"/>
          </w:tcPr>
          <w:p>
            <w:pPr>
              <w:spacing w:after="0"/>
              <w:rPr>
                <w:sz w:val="24"/>
                <w:szCs w:val="24"/>
                <w:color w:val="auto"/>
              </w:rPr>
            </w:pPr>
          </w:p>
        </w:tc>
        <w:tc>
          <w:tcPr>
            <w:tcW w:w="2620" w:type="dxa"/>
            <w:vAlign w:val="bottom"/>
          </w:tcPr>
          <w:p>
            <w:pPr>
              <w:ind w:left="160"/>
              <w:spacing w:after="0"/>
              <w:rPr>
                <w:sz w:val="20"/>
                <w:szCs w:val="20"/>
                <w:color w:val="auto"/>
              </w:rPr>
            </w:pPr>
            <w:r>
              <w:rPr>
                <w:rFonts w:ascii="Arial" w:cs="Arial" w:eastAsia="Arial" w:hAnsi="Arial"/>
                <w:sz w:val="17"/>
                <w:szCs w:val="17"/>
                <w:color w:val="auto"/>
              </w:rPr>
              <w:t>In this Deed:</w:t>
            </w:r>
          </w:p>
        </w:tc>
        <w:tc>
          <w:tcPr>
            <w:tcW w:w="7020" w:type="dxa"/>
            <w:vAlign w:val="bottom"/>
          </w:tcPr>
          <w:p>
            <w:pPr>
              <w:spacing w:after="0"/>
              <w:rPr>
                <w:sz w:val="24"/>
                <w:szCs w:val="24"/>
                <w:color w:val="auto"/>
              </w:rPr>
            </w:pPr>
          </w:p>
        </w:tc>
      </w:tr>
      <w:tr>
        <w:trPr>
          <w:trHeight w:val="440"/>
        </w:trPr>
        <w:tc>
          <w:tcPr>
            <w:tcW w:w="360" w:type="dxa"/>
            <w:vAlign w:val="bottom"/>
          </w:tcPr>
          <w:p>
            <w:pPr>
              <w:spacing w:after="0"/>
              <w:rPr>
                <w:sz w:val="24"/>
                <w:szCs w:val="24"/>
                <w:color w:val="auto"/>
              </w:rPr>
            </w:pPr>
          </w:p>
        </w:tc>
        <w:tc>
          <w:tcPr>
            <w:tcW w:w="2620" w:type="dxa"/>
            <w:vAlign w:val="bottom"/>
          </w:tcPr>
          <w:p>
            <w:pPr>
              <w:ind w:left="160"/>
              <w:spacing w:after="0"/>
              <w:rPr>
                <w:sz w:val="20"/>
                <w:szCs w:val="20"/>
                <w:color w:val="auto"/>
              </w:rPr>
            </w:pPr>
            <w:r>
              <w:rPr>
                <w:rFonts w:ascii="Arial" w:cs="Arial" w:eastAsia="Arial" w:hAnsi="Arial"/>
                <w:sz w:val="17"/>
                <w:szCs w:val="17"/>
                <w:b w:val="1"/>
                <w:bCs w:val="1"/>
                <w:color w:val="auto"/>
              </w:rPr>
              <w:t>Amended Facility Agreement</w:t>
            </w:r>
          </w:p>
        </w:tc>
        <w:tc>
          <w:tcPr>
            <w:tcW w:w="7020" w:type="dxa"/>
            <w:vAlign w:val="bottom"/>
          </w:tcPr>
          <w:p>
            <w:pPr>
              <w:ind w:left="300"/>
              <w:spacing w:after="0"/>
              <w:rPr>
                <w:sz w:val="20"/>
                <w:szCs w:val="20"/>
                <w:color w:val="auto"/>
              </w:rPr>
            </w:pPr>
            <w:r>
              <w:rPr>
                <w:rFonts w:ascii="Arial" w:cs="Arial" w:eastAsia="Arial" w:hAnsi="Arial"/>
                <w:sz w:val="17"/>
                <w:szCs w:val="17"/>
                <w:color w:val="auto"/>
              </w:rPr>
              <w:t>the Original Facility Agreement, as amended by this Deed;</w:t>
            </w:r>
          </w:p>
        </w:tc>
      </w:tr>
      <w:tr>
        <w:trPr>
          <w:trHeight w:val="311"/>
        </w:trPr>
        <w:tc>
          <w:tcPr>
            <w:tcW w:w="360" w:type="dxa"/>
            <w:vAlign w:val="bottom"/>
          </w:tcPr>
          <w:p>
            <w:pPr>
              <w:spacing w:after="0"/>
              <w:rPr>
                <w:sz w:val="24"/>
                <w:szCs w:val="24"/>
                <w:color w:val="auto"/>
              </w:rPr>
            </w:pPr>
          </w:p>
        </w:tc>
        <w:tc>
          <w:tcPr>
            <w:tcW w:w="2620" w:type="dxa"/>
            <w:vAlign w:val="bottom"/>
          </w:tcPr>
          <w:p>
            <w:pPr>
              <w:ind w:left="160"/>
              <w:spacing w:after="0"/>
              <w:rPr>
                <w:sz w:val="20"/>
                <w:szCs w:val="20"/>
                <w:color w:val="auto"/>
              </w:rPr>
            </w:pPr>
            <w:r>
              <w:rPr>
                <w:rFonts w:ascii="Arial" w:cs="Arial" w:eastAsia="Arial" w:hAnsi="Arial"/>
                <w:sz w:val="17"/>
                <w:szCs w:val="17"/>
                <w:b w:val="1"/>
                <w:bCs w:val="1"/>
                <w:color w:val="auto"/>
              </w:rPr>
              <w:t>Clean Up Actions</w:t>
            </w:r>
          </w:p>
        </w:tc>
        <w:tc>
          <w:tcPr>
            <w:tcW w:w="7020" w:type="dxa"/>
            <w:vAlign w:val="bottom"/>
          </w:tcPr>
          <w:p>
            <w:pPr>
              <w:ind w:left="300"/>
              <w:spacing w:after="0"/>
              <w:rPr>
                <w:sz w:val="20"/>
                <w:szCs w:val="20"/>
                <w:color w:val="auto"/>
              </w:rPr>
            </w:pPr>
            <w:r>
              <w:rPr>
                <w:rFonts w:ascii="Arial" w:cs="Arial" w:eastAsia="Arial" w:hAnsi="Arial"/>
                <w:sz w:val="17"/>
                <w:szCs w:val="17"/>
                <w:color w:val="auto"/>
              </w:rPr>
              <w:t>those actions specified in Schedule 3 of this Deed;</w:t>
            </w:r>
          </w:p>
        </w:tc>
      </w:tr>
      <w:tr>
        <w:trPr>
          <w:trHeight w:val="298"/>
        </w:trPr>
        <w:tc>
          <w:tcPr>
            <w:tcW w:w="360" w:type="dxa"/>
            <w:vAlign w:val="bottom"/>
          </w:tcPr>
          <w:p>
            <w:pPr>
              <w:spacing w:after="0"/>
              <w:rPr>
                <w:sz w:val="24"/>
                <w:szCs w:val="24"/>
                <w:color w:val="auto"/>
              </w:rPr>
            </w:pPr>
          </w:p>
        </w:tc>
        <w:tc>
          <w:tcPr>
            <w:tcW w:w="2620" w:type="dxa"/>
            <w:vAlign w:val="bottom"/>
          </w:tcPr>
          <w:p>
            <w:pPr>
              <w:ind w:left="160"/>
              <w:spacing w:after="0"/>
              <w:rPr>
                <w:sz w:val="20"/>
                <w:szCs w:val="20"/>
                <w:color w:val="auto"/>
              </w:rPr>
            </w:pPr>
            <w:r>
              <w:rPr>
                <w:rFonts w:ascii="Arial" w:cs="Arial" w:eastAsia="Arial" w:hAnsi="Arial"/>
                <w:sz w:val="17"/>
                <w:szCs w:val="17"/>
                <w:b w:val="1"/>
                <w:bCs w:val="1"/>
                <w:color w:val="auto"/>
              </w:rPr>
              <w:t>Clean Up Period</w:t>
            </w:r>
          </w:p>
        </w:tc>
        <w:tc>
          <w:tcPr>
            <w:tcW w:w="7020" w:type="dxa"/>
            <w:vAlign w:val="bottom"/>
          </w:tcPr>
          <w:p>
            <w:pPr>
              <w:ind w:left="300"/>
              <w:spacing w:after="0"/>
              <w:rPr>
                <w:sz w:val="20"/>
                <w:szCs w:val="20"/>
                <w:color w:val="auto"/>
              </w:rPr>
            </w:pPr>
            <w:r>
              <w:rPr>
                <w:rFonts w:ascii="Arial" w:cs="Arial" w:eastAsia="Arial" w:hAnsi="Arial"/>
                <w:sz w:val="17"/>
                <w:szCs w:val="17"/>
                <w:color w:val="auto"/>
                <w:w w:val="94"/>
              </w:rPr>
              <w:t>the period from the Effective Date up to the date 90 days after the Effective Date, provided that</w:t>
            </w:r>
          </w:p>
        </w:tc>
      </w:tr>
      <w:tr>
        <w:trPr>
          <w:trHeight w:val="207"/>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Arial" w:cs="Arial" w:eastAsia="Arial" w:hAnsi="Arial"/>
                <w:sz w:val="17"/>
                <w:szCs w:val="17"/>
                <w:color w:val="auto"/>
                <w:w w:val="91"/>
              </w:rPr>
              <w:t>(i) in respect of any breach of a representation or any undertaking, covenant or obligation under a</w:t>
            </w:r>
          </w:p>
        </w:tc>
      </w:tr>
      <w:tr>
        <w:trPr>
          <w:trHeight w:val="220"/>
        </w:trPr>
        <w:tc>
          <w:tcPr>
            <w:tcW w:w="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020" w:type="dxa"/>
            <w:vAlign w:val="bottom"/>
          </w:tcPr>
          <w:p>
            <w:pPr>
              <w:ind w:left="300"/>
              <w:spacing w:after="0"/>
              <w:rPr>
                <w:sz w:val="20"/>
                <w:szCs w:val="20"/>
                <w:color w:val="auto"/>
              </w:rPr>
            </w:pPr>
            <w:r>
              <w:rPr>
                <w:rFonts w:ascii="Arial" w:cs="Arial" w:eastAsia="Arial" w:hAnsi="Arial"/>
                <w:sz w:val="17"/>
                <w:szCs w:val="17"/>
                <w:color w:val="auto"/>
                <w:w w:val="91"/>
              </w:rPr>
              <w:t>Loan Document that relates to the banking arrangements, practices or accounts of any OncoMed</w:t>
            </w:r>
          </w:p>
        </w:tc>
      </w:tr>
    </w:tbl>
    <w:p>
      <w:pPr>
        <w:ind w:left="3289" w:right="1100"/>
        <w:spacing w:after="0" w:line="268" w:lineRule="auto"/>
        <w:rPr>
          <w:sz w:val="20"/>
          <w:szCs w:val="20"/>
          <w:color w:val="auto"/>
        </w:rPr>
      </w:pPr>
      <w:r>
        <w:rPr>
          <w:rFonts w:ascii="Arial" w:cs="Arial" w:eastAsia="Arial" w:hAnsi="Arial"/>
          <w:sz w:val="17"/>
          <w:szCs w:val="17"/>
          <w:color w:val="auto"/>
        </w:rPr>
        <w:t>Companies, the period shall last until 30 September 2019, (ii) in respect of the Deeds of Accession, the period shall last until 6 June 2019 and (iii) if, prior to the</w:t>
      </w:r>
    </w:p>
    <w:p>
      <w:pPr>
        <w:spacing w:after="0" w:line="108" w:lineRule="exact"/>
        <w:rPr>
          <w:sz w:val="20"/>
          <w:szCs w:val="20"/>
          <w:color w:val="auto"/>
        </w:rPr>
      </w:pPr>
    </w:p>
    <w:p>
      <w:pPr>
        <w:jc w:val="center"/>
        <w:ind w:right="-128"/>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449"/>
          </w:cols>
          <w:pgMar w:left="671" w:top="264" w:right="779" w:bottom="1440" w:gutter="0" w:footer="0" w:header="0"/>
        </w:sectPr>
      </w:pPr>
    </w:p>
    <w:bookmarkStart w:id="237" w:name="page238"/>
    <w:bookmarkEnd w:id="237"/>
    <w:p>
      <w:pPr>
        <w:ind w:left="276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expiry of the aforementioned 90 day period, the Borrower provides written notice to the Agent of any matters relating to the OncoMed Companies that reasonably require a longer period of time in which to ensure sufficient action is taken by the Obligors to prevent such matters causing an Event of Default, the Lenders may in their discretion acting as they reasonably think fit grant the Obligors an additional extension to such cure period of 60 days commencing from the date 90 days after the Effective Date;</w:t>
      </w:r>
    </w:p>
    <w:p>
      <w:pPr>
        <w:sectPr>
          <w:pgSz w:w="11900" w:h="16838" w:orient="portrait"/>
          <w:cols w:equalWidth="0" w:num="1">
            <w:col w:w="9480"/>
          </w:cols>
          <w:pgMar w:left="1200" w:top="270" w:right="121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IP Rights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has the meaning given to it in the OncoMed Merger Agreement.</w:t>
      </w:r>
    </w:p>
    <w:p>
      <w:pPr>
        <w:spacing w:after="0" w:line="132" w:lineRule="exact"/>
        <w:rPr>
          <w:sz w:val="20"/>
          <w:szCs w:val="20"/>
          <w:color w:val="auto"/>
        </w:rPr>
      </w:pPr>
    </w:p>
    <w:p>
      <w:pPr>
        <w:sectPr>
          <w:pgSz w:w="11900" w:h="16838" w:orient="portrait"/>
          <w:cols w:equalWidth="0" w:num="2">
            <w:col w:w="2040" w:space="720"/>
            <w:col w:w="6720"/>
          </w:cols>
          <w:pgMar w:left="1200" w:top="270"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Company Material Adverse Effect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given to it in the OncoMed Merger Agreement.</w:t>
      </w:r>
    </w:p>
    <w:p>
      <w:pPr>
        <w:spacing w:after="0" w:line="132" w:lineRule="exact"/>
        <w:rPr>
          <w:sz w:val="20"/>
          <w:szCs w:val="20"/>
          <w:color w:val="auto"/>
        </w:rPr>
      </w:pPr>
    </w:p>
    <w:p>
      <w:pPr>
        <w:sectPr>
          <w:pgSz w:w="11900" w:h="16838" w:orient="portrait"/>
          <w:cols w:equalWidth="0" w:num="2">
            <w:col w:w="2540" w:space="220"/>
            <w:col w:w="6720"/>
          </w:cols>
          <w:pgMar w:left="1200" w:top="270" w:right="121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Deeds of Accession</w:t>
      </w:r>
    </w:p>
    <w:p>
      <w:pPr>
        <w:spacing w:after="0" w:line="20" w:lineRule="exact"/>
        <w:rPr>
          <w:sz w:val="20"/>
          <w:szCs w:val="20"/>
          <w:color w:val="auto"/>
        </w:rPr>
      </w:pPr>
      <w:r>
        <w:rPr>
          <w:sz w:val="20"/>
          <w:szCs w:val="20"/>
          <w:color w:val="auto"/>
        </w:rPr>
        <w:br w:type="column"/>
      </w:r>
    </w:p>
    <w:p>
      <w:pPr>
        <w:ind w:right="160"/>
        <w:spacing w:after="0" w:line="284" w:lineRule="auto"/>
        <w:rPr>
          <w:sz w:val="20"/>
          <w:szCs w:val="20"/>
          <w:color w:val="auto"/>
        </w:rPr>
      </w:pPr>
      <w:r>
        <w:rPr>
          <w:rFonts w:ascii="Arial" w:cs="Arial" w:eastAsia="Arial" w:hAnsi="Arial"/>
          <w:sz w:val="17"/>
          <w:szCs w:val="17"/>
          <w:color w:val="auto"/>
        </w:rPr>
        <w:t>the deeds of accession in a form to be agreed between the Lenders and the Borrower relating to the OncoMed Companies and NAVI Sub;</w:t>
      </w:r>
    </w:p>
    <w:p>
      <w:pPr>
        <w:spacing w:after="0" w:line="49" w:lineRule="exact"/>
        <w:rPr>
          <w:sz w:val="20"/>
          <w:szCs w:val="20"/>
          <w:color w:val="auto"/>
        </w:rPr>
      </w:pPr>
    </w:p>
    <w:p>
      <w:pPr>
        <w:sectPr>
          <w:pgSz w:w="11900" w:h="16838" w:orient="portrait"/>
          <w:cols w:equalWidth="0" w:num="2">
            <w:col w:w="2040" w:space="720"/>
            <w:col w:w="6720"/>
          </w:cols>
          <w:pgMar w:left="1200" w:top="270"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Effective Date</w:t>
      </w:r>
    </w:p>
    <w:p>
      <w:pPr>
        <w:spacing w:after="0" w:line="20" w:lineRule="exact"/>
        <w:rPr>
          <w:sz w:val="20"/>
          <w:szCs w:val="20"/>
          <w:color w:val="auto"/>
        </w:rPr>
      </w:pPr>
      <w:r>
        <w:rPr>
          <w:sz w:val="20"/>
          <w:szCs w:val="20"/>
          <w:color w:val="auto"/>
        </w:rPr>
        <w:br w:type="column"/>
      </w:r>
    </w:p>
    <w:p>
      <w:pPr>
        <w:ind w:right="60"/>
        <w:spacing w:after="0" w:line="354" w:lineRule="auto"/>
        <w:rPr>
          <w:sz w:val="20"/>
          <w:szCs w:val="20"/>
          <w:color w:val="auto"/>
        </w:rPr>
      </w:pPr>
      <w:r>
        <w:rPr>
          <w:rFonts w:ascii="Arial" w:cs="Arial" w:eastAsia="Arial" w:hAnsi="Arial"/>
          <w:sz w:val="15"/>
          <w:szCs w:val="15"/>
          <w:color w:val="auto"/>
        </w:rPr>
        <w:t>the date on which the Agent has received each of the documents and other evidence listed in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 in a form and substance reasonably satisfactory to the Agent;</w:t>
      </w:r>
    </w:p>
    <w:p>
      <w:pPr>
        <w:spacing w:after="0" w:line="3" w:lineRule="exact"/>
        <w:rPr>
          <w:sz w:val="20"/>
          <w:szCs w:val="20"/>
          <w:color w:val="auto"/>
        </w:rPr>
      </w:pPr>
    </w:p>
    <w:p>
      <w:pPr>
        <w:sectPr>
          <w:pgSz w:w="11900" w:h="16838" w:orient="portrait"/>
          <w:cols w:equalWidth="0" w:num="2">
            <w:col w:w="2040" w:space="720"/>
            <w:col w:w="6720"/>
          </w:cols>
          <w:pgMar w:left="1200" w:top="270"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Guarantee Obligations</w:t>
      </w:r>
    </w:p>
    <w:p>
      <w:pPr>
        <w:spacing w:after="0" w:line="20" w:lineRule="exact"/>
        <w:rPr>
          <w:sz w:val="20"/>
          <w:szCs w:val="20"/>
          <w:color w:val="auto"/>
        </w:rPr>
      </w:pPr>
      <w:r>
        <w:rPr>
          <w:sz w:val="20"/>
          <w:szCs w:val="20"/>
          <w:color w:val="auto"/>
        </w:rPr>
        <w:br w:type="column"/>
      </w:r>
    </w:p>
    <w:p>
      <w:pPr>
        <w:ind w:right="560"/>
        <w:spacing w:after="0" w:line="284" w:lineRule="auto"/>
        <w:rPr>
          <w:sz w:val="20"/>
          <w:szCs w:val="20"/>
          <w:color w:val="auto"/>
        </w:rPr>
      </w:pPr>
      <w:r>
        <w:rPr>
          <w:rFonts w:ascii="Arial" w:cs="Arial" w:eastAsia="Arial" w:hAnsi="Arial"/>
          <w:sz w:val="17"/>
          <w:szCs w:val="17"/>
          <w:color w:val="auto"/>
        </w:rPr>
        <w:t>the guarantee and indemnity obligations of a Guarantor contained in the Original Facility Agreement;</w:t>
      </w:r>
    </w:p>
    <w:p>
      <w:pPr>
        <w:spacing w:after="0" w:line="49" w:lineRule="exact"/>
        <w:rPr>
          <w:sz w:val="20"/>
          <w:szCs w:val="20"/>
          <w:color w:val="auto"/>
        </w:rPr>
      </w:pPr>
    </w:p>
    <w:p>
      <w:pPr>
        <w:sectPr>
          <w:pgSz w:w="11900" w:h="16838" w:orient="portrait"/>
          <w:cols w:equalWidth="0" w:num="2">
            <w:col w:w="2040" w:space="720"/>
            <w:col w:w="6720"/>
          </w:cols>
          <w:pgMar w:left="1200" w:top="270"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Intervening Events of Default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any Event of Default which is not an OncoMed Event of Default;</w:t>
      </w:r>
    </w:p>
    <w:p>
      <w:pPr>
        <w:spacing w:after="0" w:line="132" w:lineRule="exact"/>
        <w:rPr>
          <w:sz w:val="20"/>
          <w:szCs w:val="20"/>
          <w:color w:val="auto"/>
        </w:rPr>
      </w:pPr>
    </w:p>
    <w:p>
      <w:pPr>
        <w:sectPr>
          <w:pgSz w:w="11900" w:h="16838" w:orient="portrait"/>
          <w:cols w:equalWidth="0" w:num="2">
            <w:col w:w="2180" w:space="580"/>
            <w:col w:w="6720"/>
          </w:cols>
          <w:pgMar w:left="1200" w:top="270"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Legal Proceeding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given to it in the OncoMed Merger Agreement;</w:t>
      </w:r>
    </w:p>
    <w:p>
      <w:pPr>
        <w:spacing w:after="0" w:line="132" w:lineRule="exact"/>
        <w:rPr>
          <w:sz w:val="20"/>
          <w:szCs w:val="20"/>
          <w:color w:val="auto"/>
        </w:rPr>
      </w:pPr>
    </w:p>
    <w:p>
      <w:pPr>
        <w:sectPr>
          <w:pgSz w:w="11900" w:h="16838" w:orient="portrait"/>
          <w:cols w:equalWidth="0" w:num="2">
            <w:col w:w="2040" w:space="720"/>
            <w:col w:w="6720"/>
          </w:cols>
          <w:pgMar w:left="1200" w:top="270"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Mereo US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Mereo US Holdings Inc., a Delaware corporation;</w:t>
      </w:r>
    </w:p>
    <w:p>
      <w:pPr>
        <w:spacing w:after="0" w:line="132" w:lineRule="exact"/>
        <w:rPr>
          <w:sz w:val="20"/>
          <w:szCs w:val="20"/>
          <w:color w:val="auto"/>
        </w:rPr>
      </w:pPr>
    </w:p>
    <w:p>
      <w:pPr>
        <w:sectPr>
          <w:pgSz w:w="11900" w:h="16838" w:orient="portrait"/>
          <w:cols w:equalWidth="0" w:num="2">
            <w:col w:w="2040" w:space="720"/>
            <w:col w:w="6720"/>
          </w:cols>
          <w:pgMar w:left="1200" w:top="270" w:right="12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NAVI Sub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NAVI Subsidiary, Inc. a Delaware corporation;</w:t>
      </w:r>
    </w:p>
    <w:p>
      <w:pPr>
        <w:spacing w:after="0" w:line="177" w:lineRule="exact"/>
        <w:rPr>
          <w:sz w:val="20"/>
          <w:szCs w:val="20"/>
          <w:color w:val="auto"/>
        </w:rPr>
      </w:pPr>
    </w:p>
    <w:p>
      <w:pPr>
        <w:sectPr>
          <w:pgSz w:w="11900" w:h="16838" w:orient="portrait"/>
          <w:cols w:equalWidth="0" w:num="2">
            <w:col w:w="2040" w:space="720"/>
            <w:col w:w="6720"/>
          </w:cols>
          <w:pgMar w:left="1200" w:top="270" w:right="121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480"/>
          </w:cols>
          <w:pgMar w:left="1200" w:top="270" w:right="1219" w:bottom="1440" w:gutter="0" w:footer="0" w:header="0"/>
          <w:type w:val="continuous"/>
        </w:sectPr>
      </w:pPr>
    </w:p>
    <w:bookmarkStart w:id="238" w:name="page239"/>
    <w:bookmarkEnd w:id="238"/>
    <w:p>
      <w:pPr>
        <w:spacing w:after="0"/>
        <w:rPr>
          <w:sz w:val="20"/>
          <w:szCs w:val="20"/>
          <w:color w:val="auto"/>
        </w:rPr>
      </w:pPr>
      <w:r>
        <w:rPr>
          <w:rFonts w:ascii="Arial" w:cs="Arial" w:eastAsia="Arial" w:hAnsi="Arial"/>
          <w:sz w:val="15"/>
          <w:szCs w:val="15"/>
          <w:b w:val="1"/>
          <w:bCs w:val="1"/>
          <w:color w:val="auto"/>
        </w:rPr>
        <w:t>Net Cash</w:t>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Arial" w:cs="Arial" w:eastAsia="Arial" w:hAnsi="Arial"/>
          <w:sz w:val="15"/>
          <w:szCs w:val="15"/>
          <w:color w:val="auto"/>
        </w:rPr>
        <w:t>has the meaning given to it in the OncoMed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-191135</wp:posOffset>
            </wp:positionV>
            <wp:extent cx="729424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2040" w:space="720"/>
            <w:col w:w="6720"/>
          </w:cols>
          <w:pgMar w:left="1200" w:top="263" w:right="1219" w:bottom="1440" w:gutter="0" w:footer="0" w:header="0"/>
        </w:sectPr>
      </w:pPr>
    </w:p>
    <w:p>
      <w:pPr>
        <w:spacing w:after="0"/>
        <w:rPr>
          <w:sz w:val="20"/>
          <w:szCs w:val="20"/>
          <w:color w:val="auto"/>
        </w:rPr>
      </w:pPr>
      <w:r>
        <w:rPr>
          <w:rFonts w:ascii="Arial" w:cs="Arial" w:eastAsia="Arial" w:hAnsi="Arial"/>
          <w:sz w:val="15"/>
          <w:szCs w:val="15"/>
          <w:b w:val="1"/>
          <w:bCs w:val="1"/>
          <w:color w:val="auto"/>
        </w:rPr>
        <w:t>Net Cash Calculation</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a statement of Net Cash of OncoMed Target prepared on the basis set out in the OncoMed Merger Agreement showing a balance of not less than US$35 million, an example of which is set out in Schedule 7;</w:t>
      </w:r>
    </w:p>
    <w:p>
      <w:pPr>
        <w:spacing w:after="0" w:line="62" w:lineRule="exact"/>
        <w:rPr>
          <w:sz w:val="20"/>
          <w:szCs w:val="20"/>
          <w:color w:val="auto"/>
        </w:rPr>
      </w:pPr>
    </w:p>
    <w:p>
      <w:pPr>
        <w:sectPr>
          <w:pgSz w:w="11900" w:h="16838" w:orient="portrait"/>
          <w:cols w:equalWidth="0" w:num="2">
            <w:col w:w="2040" w:space="720"/>
            <w:col w:w="6720"/>
          </w:cols>
          <w:pgMar w:left="1200" w:top="263"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OncoMed Acquisition</w:t>
      </w:r>
    </w:p>
    <w:p>
      <w:pPr>
        <w:spacing w:after="0" w:line="20" w:lineRule="exact"/>
        <w:rPr>
          <w:sz w:val="20"/>
          <w:szCs w:val="20"/>
          <w:color w:val="auto"/>
        </w:rPr>
      </w:pPr>
      <w:r>
        <w:rPr>
          <w:sz w:val="20"/>
          <w:szCs w:val="20"/>
          <w:color w:val="auto"/>
        </w:rPr>
        <w:br w:type="column"/>
      </w:r>
    </w:p>
    <w:p>
      <w:pPr>
        <w:ind w:right="340"/>
        <w:spacing w:after="0" w:line="284" w:lineRule="auto"/>
        <w:rPr>
          <w:sz w:val="20"/>
          <w:szCs w:val="20"/>
          <w:color w:val="auto"/>
        </w:rPr>
      </w:pPr>
      <w:r>
        <w:rPr>
          <w:rFonts w:ascii="Arial" w:cs="Arial" w:eastAsia="Arial" w:hAnsi="Arial"/>
          <w:sz w:val="17"/>
          <w:szCs w:val="17"/>
          <w:color w:val="auto"/>
        </w:rPr>
        <w:t>the completion of the acquisition of OncoMed Target by Mereo US Holdings pursuant to the OncoMed Merger Agreement;</w:t>
      </w:r>
    </w:p>
    <w:p>
      <w:pPr>
        <w:spacing w:after="0" w:line="49" w:lineRule="exact"/>
        <w:rPr>
          <w:sz w:val="20"/>
          <w:szCs w:val="20"/>
          <w:color w:val="auto"/>
        </w:rPr>
      </w:pPr>
    </w:p>
    <w:p>
      <w:pPr>
        <w:sectPr>
          <w:pgSz w:w="11900" w:h="16838" w:orient="portrait"/>
          <w:cols w:equalWidth="0" w:num="2">
            <w:col w:w="2040" w:space="720"/>
            <w:col w:w="6720"/>
          </w:cols>
          <w:pgMar w:left="1200" w:top="263"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OncoMed Acquisition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date on which Closing (as defined in the OncoMed Merger Agreement) occurs;</w:t>
      </w:r>
    </w:p>
    <w:p>
      <w:pPr>
        <w:spacing w:after="0" w:line="132" w:lineRule="exact"/>
        <w:rPr>
          <w:sz w:val="20"/>
          <w:szCs w:val="20"/>
          <w:color w:val="auto"/>
        </w:rPr>
      </w:pPr>
    </w:p>
    <w:p>
      <w:pPr>
        <w:sectPr>
          <w:pgSz w:w="11900" w:h="16838" w:orient="portrait"/>
          <w:cols w:equalWidth="0" w:num="2">
            <w:col w:w="2040" w:space="720"/>
            <w:col w:w="6720"/>
          </w:cols>
          <w:pgMar w:left="1200" w:top="263"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OncoMed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assets of the OncoMed Companies, other than the OncoMed Restricted Assets;</w:t>
      </w:r>
    </w:p>
    <w:p>
      <w:pPr>
        <w:spacing w:after="0" w:line="132" w:lineRule="exact"/>
        <w:rPr>
          <w:sz w:val="20"/>
          <w:szCs w:val="20"/>
          <w:color w:val="auto"/>
        </w:rPr>
      </w:pPr>
    </w:p>
    <w:p>
      <w:pPr>
        <w:sectPr>
          <w:pgSz w:w="11900" w:h="16838" w:orient="portrait"/>
          <w:cols w:equalWidth="0" w:num="2">
            <w:col w:w="2040" w:space="720"/>
            <w:col w:w="6720"/>
          </w:cols>
          <w:pgMar w:left="1200" w:top="263"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OncoMed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together Mereo US Holdings and OncoMed Target together with subsidiaries from time to time;</w:t>
      </w:r>
    </w:p>
    <w:p>
      <w:pPr>
        <w:spacing w:after="0" w:line="132" w:lineRule="exact"/>
        <w:rPr>
          <w:sz w:val="20"/>
          <w:szCs w:val="20"/>
          <w:color w:val="auto"/>
        </w:rPr>
      </w:pPr>
    </w:p>
    <w:p>
      <w:pPr>
        <w:sectPr>
          <w:pgSz w:w="11900" w:h="16838" w:orient="portrait"/>
          <w:cols w:equalWidth="0" w:num="2">
            <w:col w:w="2040" w:space="720"/>
            <w:col w:w="6720"/>
          </w:cols>
          <w:pgMar w:left="1200" w:top="263"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OncoMed Events of Default</w:t>
      </w:r>
    </w:p>
    <w:p>
      <w:pPr>
        <w:spacing w:after="0" w:line="20" w:lineRule="exact"/>
        <w:rPr>
          <w:sz w:val="20"/>
          <w:szCs w:val="20"/>
          <w:color w:val="auto"/>
        </w:rPr>
      </w:pPr>
      <w:r>
        <w:rPr>
          <w:sz w:val="20"/>
          <w:szCs w:val="20"/>
          <w:color w:val="auto"/>
        </w:rPr>
        <w:br w:type="column"/>
      </w:r>
    </w:p>
    <w:p>
      <w:pPr>
        <w:ind w:right="120"/>
        <w:spacing w:after="0" w:line="279" w:lineRule="auto"/>
        <w:rPr>
          <w:sz w:val="20"/>
          <w:szCs w:val="20"/>
          <w:color w:val="auto"/>
        </w:rPr>
      </w:pPr>
      <w:r>
        <w:rPr>
          <w:rFonts w:ascii="Arial" w:cs="Arial" w:eastAsia="Arial" w:hAnsi="Arial"/>
          <w:sz w:val="16"/>
          <w:szCs w:val="16"/>
          <w:color w:val="auto"/>
        </w:rPr>
        <w:t>any breach, of a representation or any undertaking, covenant or obligation under a Loan Document or any Event of Default which occurs during the Clean-Up Period which is only an Event of Default, a breach of representation or warranty or a breach of covenant, obligation or undertaking (as the case may be) by reason of circumstances relating solely to the OncoMed Companies (or any of them) other than a breach which in the reasonable opinion of the Lenders might have a material adverse effect on the business of the Group;</w:t>
      </w:r>
    </w:p>
    <w:p>
      <w:pPr>
        <w:spacing w:after="0" w:line="57" w:lineRule="exact"/>
        <w:rPr>
          <w:sz w:val="20"/>
          <w:szCs w:val="20"/>
          <w:color w:val="auto"/>
        </w:rPr>
      </w:pPr>
    </w:p>
    <w:p>
      <w:pPr>
        <w:sectPr>
          <w:pgSz w:w="11900" w:h="16838" w:orient="portrait"/>
          <w:cols w:equalWidth="0" w:num="2">
            <w:col w:w="2040" w:space="720"/>
            <w:col w:w="6720"/>
          </w:cols>
          <w:pgMar w:left="1200" w:top="263"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OncoMed Merger Agreement</w:t>
      </w:r>
    </w:p>
    <w:p>
      <w:pPr>
        <w:spacing w:after="0" w:line="20" w:lineRule="exact"/>
        <w:rPr>
          <w:sz w:val="20"/>
          <w:szCs w:val="20"/>
          <w:color w:val="auto"/>
        </w:rPr>
      </w:pPr>
      <w:r>
        <w:rPr>
          <w:sz w:val="20"/>
          <w:szCs w:val="20"/>
          <w:color w:val="auto"/>
        </w:rPr>
        <w:br w:type="column"/>
      </w:r>
    </w:p>
    <w:p>
      <w:pPr>
        <w:ind w:right="580"/>
        <w:spacing w:after="0" w:line="354" w:lineRule="auto"/>
        <w:rPr>
          <w:sz w:val="20"/>
          <w:szCs w:val="20"/>
          <w:color w:val="auto"/>
        </w:rPr>
      </w:pPr>
      <w:r>
        <w:rPr>
          <w:rFonts w:ascii="Arial" w:cs="Arial" w:eastAsia="Arial" w:hAnsi="Arial"/>
          <w:sz w:val="15"/>
          <w:szCs w:val="15"/>
          <w:color w:val="auto"/>
        </w:rPr>
        <w:t>the Agreement and Plan of Merger and Reorganisation between the Borrower, Mereo US Holdings, Mereo Mergerco One Inc., and OncoMed Target dated 5 December 2018;</w:t>
      </w:r>
    </w:p>
    <w:p>
      <w:pPr>
        <w:spacing w:after="0" w:line="3" w:lineRule="exact"/>
        <w:rPr>
          <w:sz w:val="20"/>
          <w:szCs w:val="20"/>
          <w:color w:val="auto"/>
        </w:rPr>
      </w:pPr>
    </w:p>
    <w:p>
      <w:pPr>
        <w:sectPr>
          <w:pgSz w:w="11900" w:h="16838" w:orient="portrait"/>
          <w:cols w:equalWidth="0" w:num="2">
            <w:col w:w="2180" w:space="580"/>
            <w:col w:w="6720"/>
          </w:cols>
          <w:pgMar w:left="1200" w:top="263"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OncoMed Target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OncoMed Pharmaceuticals, Inc., a Delaware corporation;</w:t>
      </w:r>
    </w:p>
    <w:p>
      <w:pPr>
        <w:spacing w:after="0" w:line="132" w:lineRule="exact"/>
        <w:rPr>
          <w:sz w:val="20"/>
          <w:szCs w:val="20"/>
          <w:color w:val="auto"/>
        </w:rPr>
      </w:pPr>
    </w:p>
    <w:p>
      <w:pPr>
        <w:sectPr>
          <w:pgSz w:w="11900" w:h="16838" w:orient="portrait"/>
          <w:cols w:equalWidth="0" w:num="2">
            <w:col w:w="2040" w:space="720"/>
            <w:col w:w="6720"/>
          </w:cols>
          <w:pgMar w:left="1200" w:top="263" w:right="121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Original Facility Agreement</w:t>
      </w:r>
    </w:p>
    <w:p>
      <w:pPr>
        <w:spacing w:after="0" w:line="20" w:lineRule="exact"/>
        <w:rPr>
          <w:sz w:val="20"/>
          <w:szCs w:val="20"/>
          <w:color w:val="auto"/>
        </w:rPr>
      </w:pPr>
      <w:r>
        <w:rPr>
          <w:sz w:val="20"/>
          <w:szCs w:val="20"/>
          <w:color w:val="auto"/>
        </w:rPr>
        <w:br w:type="column"/>
      </w:r>
    </w:p>
    <w:p>
      <w:pPr>
        <w:ind w:right="640"/>
        <w:spacing w:after="0" w:line="354" w:lineRule="auto"/>
        <w:rPr>
          <w:sz w:val="20"/>
          <w:szCs w:val="20"/>
          <w:color w:val="auto"/>
        </w:rPr>
      </w:pPr>
      <w:r>
        <w:rPr>
          <w:rFonts w:ascii="Arial" w:cs="Arial" w:eastAsia="Arial" w:hAnsi="Arial"/>
          <w:sz w:val="15"/>
          <w:szCs w:val="15"/>
          <w:color w:val="auto"/>
        </w:rPr>
        <w:t>the £20,455,000 loan agreement dated 28 September 2018 between, amongst others, the Borrower, the Guarantors, the Agent and the Lenders (each as defined therein);</w:t>
      </w:r>
    </w:p>
    <w:p>
      <w:pPr>
        <w:spacing w:after="0" w:line="48" w:lineRule="exact"/>
        <w:rPr>
          <w:sz w:val="20"/>
          <w:szCs w:val="20"/>
          <w:color w:val="auto"/>
        </w:rPr>
      </w:pPr>
    </w:p>
    <w:p>
      <w:pPr>
        <w:sectPr>
          <w:pgSz w:w="11900" w:h="16838" w:orient="portrait"/>
          <w:cols w:equalWidth="0" w:num="2">
            <w:col w:w="2080" w:space="680"/>
            <w:col w:w="6720"/>
          </w:cols>
          <w:pgMar w:left="1200" w:top="263" w:right="121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480"/>
          </w:cols>
          <w:pgMar w:left="1200" w:top="263" w:right="1219" w:bottom="1440" w:gutter="0" w:footer="0" w:header="0"/>
          <w:type w:val="continuous"/>
        </w:sectPr>
      </w:pPr>
    </w:p>
    <w:bookmarkStart w:id="239" w:name="page240"/>
    <w:bookmarkEnd w:id="239"/>
    <w:p>
      <w:pPr>
        <w:ind w:left="529"/>
        <w:spacing w:after="0"/>
        <w:rPr>
          <w:sz w:val="20"/>
          <w:szCs w:val="20"/>
          <w:color w:val="auto"/>
        </w:rPr>
      </w:pPr>
      <w:r>
        <w:rPr>
          <w:rFonts w:ascii="Arial" w:cs="Arial" w:eastAsia="Arial" w:hAnsi="Arial"/>
          <w:sz w:val="15"/>
          <w:szCs w:val="15"/>
          <w:b w:val="1"/>
          <w:bCs w:val="1"/>
          <w:color w:val="auto"/>
        </w:rPr>
        <w:t>Proposed Completion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23 April 2019 or such other date as agreed between the Borrower and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-191135</wp:posOffset>
            </wp:positionV>
            <wp:extent cx="729424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2569" w:space="720"/>
            <w:col w:w="7240"/>
          </w:cols>
          <w:pgMar w:left="671" w:top="263" w:right="699" w:bottom="1440" w:gutter="0" w:footer="0" w:header="0"/>
        </w:sectPr>
      </w:pPr>
    </w:p>
    <w:p>
      <w:pPr>
        <w:ind w:left="529"/>
        <w:spacing w:after="0"/>
        <w:rPr>
          <w:sz w:val="20"/>
          <w:szCs w:val="20"/>
          <w:color w:val="auto"/>
        </w:rPr>
      </w:pPr>
      <w:r>
        <w:rPr>
          <w:rFonts w:ascii="Arial" w:cs="Arial" w:eastAsia="Arial" w:hAnsi="Arial"/>
          <w:sz w:val="16"/>
          <w:szCs w:val="16"/>
          <w:b w:val="1"/>
          <w:bCs w:val="1"/>
          <w:color w:val="auto"/>
        </w:rPr>
        <w:t>Warrantholder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has the meaning given to it in the Warrant Instrument;</w:t>
      </w:r>
    </w:p>
    <w:p>
      <w:pPr>
        <w:spacing w:after="0" w:line="132" w:lineRule="exact"/>
        <w:rPr>
          <w:sz w:val="20"/>
          <w:szCs w:val="20"/>
          <w:color w:val="auto"/>
        </w:rPr>
      </w:pPr>
    </w:p>
    <w:p>
      <w:pPr>
        <w:sectPr>
          <w:pgSz w:w="11900" w:h="16838" w:orient="portrait"/>
          <w:cols w:equalWidth="0" w:num="2">
            <w:col w:w="2569" w:space="720"/>
            <w:col w:w="7240"/>
          </w:cols>
          <w:pgMar w:left="671" w:top="263" w:right="699" w:bottom="1440" w:gutter="0" w:footer="0" w:header="0"/>
          <w:type w:val="continuous"/>
        </w:sectPr>
      </w:pPr>
    </w:p>
    <w:p>
      <w:pPr>
        <w:ind w:left="529"/>
        <w:spacing w:after="0"/>
        <w:rPr>
          <w:sz w:val="20"/>
          <w:szCs w:val="20"/>
          <w:color w:val="auto"/>
        </w:rPr>
      </w:pPr>
      <w:r>
        <w:rPr>
          <w:rFonts w:ascii="Arial" w:cs="Arial" w:eastAsia="Arial" w:hAnsi="Arial"/>
          <w:sz w:val="16"/>
          <w:szCs w:val="16"/>
          <w:b w:val="1"/>
          <w:bCs w:val="1"/>
          <w:color w:val="auto"/>
        </w:rPr>
        <w:t>Warrant Instrument</w:t>
      </w:r>
    </w:p>
    <w:p>
      <w:pPr>
        <w:spacing w:after="0" w:line="20" w:lineRule="exact"/>
        <w:rPr>
          <w:sz w:val="20"/>
          <w:szCs w:val="20"/>
          <w:color w:val="auto"/>
        </w:rPr>
      </w:pPr>
      <w:r>
        <w:rPr>
          <w:sz w:val="20"/>
          <w:szCs w:val="20"/>
          <w:color w:val="auto"/>
        </w:rPr>
        <w:br w:type="column"/>
      </w:r>
    </w:p>
    <w:p>
      <w:pPr>
        <w:ind w:right="880"/>
        <w:spacing w:after="0" w:line="316" w:lineRule="auto"/>
        <w:rPr>
          <w:sz w:val="20"/>
          <w:szCs w:val="20"/>
          <w:color w:val="auto"/>
        </w:rPr>
      </w:pPr>
      <w:r>
        <w:rPr>
          <w:rFonts w:ascii="Arial" w:cs="Arial" w:eastAsia="Arial" w:hAnsi="Arial"/>
          <w:sz w:val="16"/>
          <w:szCs w:val="16"/>
          <w:color w:val="auto"/>
        </w:rPr>
        <w:t>the Warrant Instrument relating to the issue of warrants entitling the holders to subscribe for Warrant Shares in the capital of Mereo BioPharma Group PLC dated 1 October 2018;</w:t>
      </w:r>
    </w:p>
    <w:p>
      <w:pPr>
        <w:spacing w:after="0" w:line="27" w:lineRule="exact"/>
        <w:rPr>
          <w:sz w:val="20"/>
          <w:szCs w:val="20"/>
          <w:color w:val="auto"/>
        </w:rPr>
      </w:pPr>
    </w:p>
    <w:p>
      <w:pPr>
        <w:sectPr>
          <w:pgSz w:w="11900" w:h="16838" w:orient="portrait"/>
          <w:cols w:equalWidth="0" w:num="2">
            <w:col w:w="2569" w:space="720"/>
            <w:col w:w="7240"/>
          </w:cols>
          <w:pgMar w:left="671" w:top="263" w:right="699" w:bottom="1440" w:gutter="0" w:footer="0" w:header="0"/>
          <w:type w:val="continuous"/>
        </w:sectPr>
      </w:pPr>
    </w:p>
    <w:p>
      <w:pPr>
        <w:ind w:left="529"/>
        <w:spacing w:after="0"/>
        <w:rPr>
          <w:sz w:val="20"/>
          <w:szCs w:val="20"/>
          <w:color w:val="auto"/>
        </w:rPr>
      </w:pPr>
      <w:r>
        <w:rPr>
          <w:rFonts w:ascii="Arial" w:cs="Arial" w:eastAsia="Arial" w:hAnsi="Arial"/>
          <w:sz w:val="16"/>
          <w:szCs w:val="16"/>
          <w:b w:val="1"/>
          <w:bCs w:val="1"/>
          <w:color w:val="auto"/>
        </w:rPr>
        <w:t>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representations and warranties set out in Schedule 4;</w:t>
      </w:r>
    </w:p>
    <w:p>
      <w:pPr>
        <w:spacing w:after="0" w:line="132" w:lineRule="exact"/>
        <w:rPr>
          <w:sz w:val="20"/>
          <w:szCs w:val="20"/>
          <w:color w:val="auto"/>
        </w:rPr>
      </w:pPr>
    </w:p>
    <w:p>
      <w:pPr>
        <w:sectPr>
          <w:pgSz w:w="11900" w:h="16838" w:orient="portrait"/>
          <w:cols w:equalWidth="0" w:num="2">
            <w:col w:w="2569" w:space="720"/>
            <w:col w:w="7240"/>
          </w:cols>
          <w:pgMar w:left="671" w:top="263" w:right="699" w:bottom="1440" w:gutter="0" w:footer="0" w:header="0"/>
          <w:type w:val="continuous"/>
        </w:sectPr>
      </w:pPr>
    </w:p>
    <w:p>
      <w:pPr>
        <w:ind w:left="529"/>
        <w:spacing w:after="0"/>
        <w:rPr>
          <w:sz w:val="20"/>
          <w:szCs w:val="20"/>
          <w:color w:val="auto"/>
        </w:rPr>
      </w:pPr>
      <w:r>
        <w:rPr>
          <w:rFonts w:ascii="Arial" w:cs="Arial" w:eastAsia="Arial" w:hAnsi="Arial"/>
          <w:sz w:val="16"/>
          <w:szCs w:val="16"/>
          <w:b w:val="1"/>
          <w:bCs w:val="1"/>
          <w:color w:val="auto"/>
        </w:rPr>
        <w:t>Warrantors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Obligors, excluding the OncoMed Companies.</w:t>
      </w:r>
    </w:p>
    <w:p>
      <w:pPr>
        <w:spacing w:after="0" w:line="205" w:lineRule="exact"/>
        <w:rPr>
          <w:sz w:val="20"/>
          <w:szCs w:val="20"/>
          <w:color w:val="auto"/>
        </w:rPr>
      </w:pPr>
    </w:p>
    <w:p>
      <w:pPr>
        <w:sectPr>
          <w:pgSz w:w="11900" w:h="16838" w:orient="portrait"/>
          <w:cols w:equalWidth="0" w:num="2">
            <w:col w:w="2569" w:space="720"/>
            <w:col w:w="7240"/>
          </w:cols>
          <w:pgMar w:left="671" w:top="263" w:right="699" w:bottom="1440" w:gutter="0" w:footer="0" w:header="0"/>
          <w:type w:val="continuous"/>
        </w:sectPr>
      </w:pPr>
    </w:p>
    <w:p>
      <w:pPr>
        <w:spacing w:after="0" w:line="173"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b w:val="1"/>
          <w:bCs w:val="1"/>
          <w:color w:val="auto"/>
        </w:rPr>
        <w:t>Incorporation of defined terms</w:t>
      </w:r>
    </w:p>
    <w:p>
      <w:pPr>
        <w:spacing w:after="0" w:line="134" w:lineRule="exact"/>
        <w:rPr>
          <w:sz w:val="20"/>
          <w:szCs w:val="20"/>
          <w:color w:val="auto"/>
        </w:rPr>
      </w:pPr>
    </w:p>
    <w:p>
      <w:pPr>
        <w:ind w:left="509"/>
        <w:spacing w:after="0"/>
        <w:tabs>
          <w:tab w:leader="none" w:pos="1229"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Unless a contrary indication appears, a term defined in the Original Facility Agreement has the same meaning in this Deed.</w:t>
      </w:r>
    </w:p>
    <w:p>
      <w:pPr>
        <w:spacing w:after="0" w:line="128" w:lineRule="exact"/>
        <w:rPr>
          <w:sz w:val="20"/>
          <w:szCs w:val="20"/>
          <w:color w:val="auto"/>
        </w:rPr>
      </w:pPr>
    </w:p>
    <w:p>
      <w:pPr>
        <w:ind w:left="509"/>
        <w:spacing w:after="0"/>
        <w:tabs>
          <w:tab w:leader="none" w:pos="1229"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color w:val="auto"/>
        </w:rPr>
        <w:t>The principles of construction set out in the Original Facility Agreement shall have effect as if set out in this Deed.</w:t>
      </w:r>
    </w:p>
    <w:p>
      <w:pPr>
        <w:spacing w:after="0" w:line="355"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b w:val="1"/>
          <w:bCs w:val="1"/>
          <w:color w:val="auto"/>
        </w:rPr>
        <w:t>Clauses</w:t>
      </w:r>
    </w:p>
    <w:p>
      <w:pPr>
        <w:spacing w:after="0" w:line="121" w:lineRule="exact"/>
        <w:rPr>
          <w:sz w:val="20"/>
          <w:szCs w:val="20"/>
          <w:color w:val="auto"/>
        </w:rPr>
      </w:pPr>
    </w:p>
    <w:p>
      <w:pPr>
        <w:ind w:left="529"/>
        <w:spacing w:after="0" w:line="284" w:lineRule="auto"/>
        <w:rPr>
          <w:sz w:val="20"/>
          <w:szCs w:val="20"/>
          <w:color w:val="auto"/>
        </w:rPr>
      </w:pPr>
      <w:r>
        <w:rPr>
          <w:rFonts w:ascii="Arial" w:cs="Arial" w:eastAsia="Arial" w:hAnsi="Arial"/>
          <w:sz w:val="17"/>
          <w:szCs w:val="17"/>
          <w:color w:val="auto"/>
        </w:rPr>
        <w:t>In this Deed any reference to a “Clause” or a “Schedule” is, unless the context otherwise requires, a reference to a Clause in or a Schedule to this Deed.</w:t>
      </w:r>
    </w:p>
    <w:p>
      <w:pPr>
        <w:spacing w:after="0" w:line="295"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6"/>
          <w:szCs w:val="16"/>
          <w:b w:val="1"/>
          <w:bCs w:val="1"/>
          <w:color w:val="auto"/>
        </w:rPr>
        <w:t>Third party rights</w:t>
      </w:r>
    </w:p>
    <w:p>
      <w:pPr>
        <w:spacing w:after="0" w:line="121" w:lineRule="exact"/>
        <w:rPr>
          <w:sz w:val="20"/>
          <w:szCs w:val="20"/>
          <w:color w:val="auto"/>
        </w:rPr>
      </w:pPr>
    </w:p>
    <w:p>
      <w:pPr>
        <w:ind w:left="529" w:right="160"/>
        <w:spacing w:after="0" w:line="284" w:lineRule="auto"/>
        <w:rPr>
          <w:sz w:val="20"/>
          <w:szCs w:val="20"/>
          <w:color w:val="auto"/>
        </w:rPr>
      </w:pPr>
      <w:r>
        <w:rPr>
          <w:rFonts w:ascii="Arial" w:cs="Arial" w:eastAsia="Arial" w:hAnsi="Arial"/>
          <w:sz w:val="17"/>
          <w:szCs w:val="17"/>
          <w:color w:val="auto"/>
        </w:rPr>
        <w:t>A Person who is not a party to this Deed has no rights under the Contracts (Rights of Third Parties) Act 1999 to enforce or enjoy the benefit of any term of this Deed.</w:t>
      </w:r>
    </w:p>
    <w:p>
      <w:pPr>
        <w:spacing w:after="0" w:line="295"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b w:val="1"/>
          <w:bCs w:val="1"/>
          <w:color w:val="auto"/>
        </w:rPr>
        <w:t>Loan Document</w:t>
      </w:r>
    </w:p>
    <w:p>
      <w:pPr>
        <w:spacing w:after="0" w:line="121" w:lineRule="exact"/>
        <w:rPr>
          <w:sz w:val="20"/>
          <w:szCs w:val="20"/>
          <w:color w:val="auto"/>
        </w:rPr>
      </w:pPr>
    </w:p>
    <w:p>
      <w:pPr>
        <w:ind w:left="529"/>
        <w:spacing w:after="0"/>
        <w:rPr>
          <w:sz w:val="20"/>
          <w:szCs w:val="20"/>
          <w:color w:val="auto"/>
        </w:rPr>
      </w:pPr>
      <w:r>
        <w:rPr>
          <w:rFonts w:ascii="Arial" w:cs="Arial" w:eastAsia="Arial" w:hAnsi="Arial"/>
          <w:sz w:val="17"/>
          <w:szCs w:val="17"/>
          <w:color w:val="auto"/>
        </w:rPr>
        <w:t>This Deed is a Loan Document.</w:t>
      </w:r>
    </w:p>
    <w:p>
      <w:pPr>
        <w:spacing w:after="0" w:line="355" w:lineRule="exact"/>
        <w:rPr>
          <w:sz w:val="20"/>
          <w:szCs w:val="20"/>
          <w:color w:val="auto"/>
        </w:rPr>
      </w:pPr>
    </w:p>
    <w:p>
      <w:pPr>
        <w:ind w:left="509" w:hanging="509"/>
        <w:spacing w:after="0"/>
        <w:tabs>
          <w:tab w:leader="none" w:pos="509" w:val="left"/>
        </w:tabs>
        <w:numPr>
          <w:ilvl w:val="0"/>
          <w:numId w:val="181"/>
        </w:numPr>
        <w:rPr>
          <w:rFonts w:ascii="Arial" w:cs="Arial" w:eastAsia="Arial" w:hAnsi="Arial"/>
          <w:sz w:val="17"/>
          <w:szCs w:val="17"/>
          <w:color w:val="auto"/>
        </w:rPr>
      </w:pPr>
      <w:r>
        <w:rPr>
          <w:rFonts w:ascii="Arial" w:cs="Arial" w:eastAsia="Arial" w:hAnsi="Arial"/>
          <w:sz w:val="17"/>
          <w:szCs w:val="17"/>
          <w:b w:val="1"/>
          <w:bCs w:val="1"/>
          <w:color w:val="auto"/>
        </w:rPr>
        <w:t>CONSENT</w:t>
      </w:r>
    </w:p>
    <w:p>
      <w:pPr>
        <w:spacing w:after="0" w:line="134" w:lineRule="exact"/>
        <w:rPr>
          <w:sz w:val="20"/>
          <w:szCs w:val="20"/>
          <w:color w:val="auto"/>
        </w:rPr>
      </w:pPr>
    </w:p>
    <w:p>
      <w:pPr>
        <w:ind w:left="509" w:right="240" w:hanging="517"/>
        <w:spacing w:after="0" w:line="284" w:lineRule="auto"/>
        <w:tabs>
          <w:tab w:leader="none" w:pos="489"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For all purposes pursuant to the Loan Documents (including in particular but not limited to clauses 9.3, 9.7 and 10.2.1 of the Original Facility Agreement), the Finance Parties hereby consent to the OncoMed Acquisition on the terms set out in this Deed.</w:t>
      </w:r>
    </w:p>
    <w:p>
      <w:pPr>
        <w:spacing w:after="0" w:line="68"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This Deed takes effect from the Effective Date.</w:t>
      </w:r>
    </w:p>
    <w:p>
      <w:pPr>
        <w:spacing w:after="0" w:line="154"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29"/>
          </w:cols>
          <w:pgMar w:left="671" w:top="263" w:right="699" w:bottom="1440" w:gutter="0" w:footer="0" w:header="0"/>
          <w:type w:val="continuous"/>
        </w:sectPr>
      </w:pPr>
    </w:p>
    <w:bookmarkStart w:id="240" w:name="page241"/>
    <w:bookmarkEnd w:id="240"/>
    <w:p>
      <w:pPr>
        <w:ind w:left="509" w:hanging="509"/>
        <w:spacing w:after="0"/>
        <w:tabs>
          <w:tab w:leader="none" w:pos="509" w:val="left"/>
        </w:tabs>
        <w:numPr>
          <w:ilvl w:val="0"/>
          <w:numId w:val="18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CONDITIONS PRECEDENT TO CONSENT</w:t>
      </w:r>
    </w:p>
    <w:p>
      <w:pPr>
        <w:spacing w:after="0" w:line="121" w:lineRule="exact"/>
        <w:rPr>
          <w:rFonts w:ascii="Arial" w:cs="Arial" w:eastAsia="Arial" w:hAnsi="Arial"/>
          <w:sz w:val="17"/>
          <w:szCs w:val="17"/>
          <w:color w:val="auto"/>
        </w:rPr>
      </w:pPr>
    </w:p>
    <w:p>
      <w:pPr>
        <w:ind w:left="529" w:right="400"/>
        <w:spacing w:after="0" w:line="284" w:lineRule="auto"/>
        <w:rPr>
          <w:rFonts w:ascii="Arial" w:cs="Arial" w:eastAsia="Arial" w:hAnsi="Arial"/>
          <w:sz w:val="17"/>
          <w:szCs w:val="17"/>
          <w:color w:val="auto"/>
        </w:rPr>
      </w:pPr>
      <w:r>
        <w:rPr>
          <w:rFonts w:ascii="Arial" w:cs="Arial" w:eastAsia="Arial" w:hAnsi="Arial"/>
          <w:sz w:val="17"/>
          <w:szCs w:val="17"/>
          <w:color w:val="auto"/>
        </w:rPr>
        <w:t>This Deed is conditional upon fulfilment or delivery of the actions and documents set out in Schedule 2 to the reasonable satisfaction of the Agent on or before the Proposed Completion Date.</w:t>
      </w:r>
    </w:p>
    <w:p>
      <w:pPr>
        <w:spacing w:after="0" w:line="295" w:lineRule="exact"/>
        <w:rPr>
          <w:sz w:val="20"/>
          <w:szCs w:val="20"/>
          <w:color w:val="auto"/>
        </w:rPr>
      </w:pPr>
    </w:p>
    <w:p>
      <w:pPr>
        <w:ind w:left="509" w:hanging="509"/>
        <w:spacing w:after="0"/>
        <w:tabs>
          <w:tab w:leader="none" w:pos="509" w:val="left"/>
        </w:tabs>
        <w:numPr>
          <w:ilvl w:val="0"/>
          <w:numId w:val="183"/>
        </w:numPr>
        <w:rPr>
          <w:rFonts w:ascii="Arial" w:cs="Arial" w:eastAsia="Arial" w:hAnsi="Arial"/>
          <w:sz w:val="17"/>
          <w:szCs w:val="17"/>
          <w:color w:val="auto"/>
        </w:rPr>
      </w:pPr>
      <w:r>
        <w:rPr>
          <w:rFonts w:ascii="Arial" w:cs="Arial" w:eastAsia="Arial" w:hAnsi="Arial"/>
          <w:sz w:val="17"/>
          <w:szCs w:val="17"/>
          <w:b w:val="1"/>
          <w:bCs w:val="1"/>
          <w:color w:val="auto"/>
        </w:rPr>
        <w:t>CLEAN UP ACTIONS</w:t>
      </w:r>
    </w:p>
    <w:p>
      <w:pPr>
        <w:spacing w:after="0" w:line="134" w:lineRule="exact"/>
        <w:rPr>
          <w:sz w:val="20"/>
          <w:szCs w:val="20"/>
          <w:color w:val="auto"/>
        </w:rPr>
      </w:pPr>
    </w:p>
    <w:p>
      <w:pPr>
        <w:ind w:left="509" w:right="20" w:hanging="517"/>
        <w:spacing w:after="0" w:line="284" w:lineRule="auto"/>
        <w:tabs>
          <w:tab w:leader="none" w:pos="489"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As soon as reasonably practicable after the Effective Date, and in any event before the expiry of the Clean Up Period, the Borrower and Obligors shall procure that the OncoMed Companies shall, carry out and fulfil the Clean Up Actions.</w:t>
      </w:r>
    </w:p>
    <w:p>
      <w:pPr>
        <w:spacing w:after="0" w:line="68" w:lineRule="exact"/>
        <w:rPr>
          <w:sz w:val="20"/>
          <w:szCs w:val="20"/>
          <w:color w:val="auto"/>
        </w:rPr>
      </w:pPr>
    </w:p>
    <w:p>
      <w:pPr>
        <w:ind w:left="509" w:right="40" w:hanging="517"/>
        <w:spacing w:after="0" w:line="354" w:lineRule="auto"/>
        <w:tabs>
          <w:tab w:leader="none" w:pos="489"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The Clean Up Actions shall comprise the preparation and delivery to the Agent, on terms that it shall approve (acting reasonably), of such documents as shall provide to the Lenders security over the OncoMed Assets in accordance with clause 8.2 of the Amended Facility Agreement.</w:t>
      </w:r>
    </w:p>
    <w:p>
      <w:pPr>
        <w:spacing w:after="0" w:line="22" w:lineRule="exact"/>
        <w:rPr>
          <w:sz w:val="20"/>
          <w:szCs w:val="20"/>
          <w:color w:val="auto"/>
        </w:rPr>
      </w:pPr>
    </w:p>
    <w:p>
      <w:pPr>
        <w:ind w:left="509" w:right="360" w:hanging="517"/>
        <w:spacing w:after="0" w:line="284" w:lineRule="auto"/>
        <w:tabs>
          <w:tab w:leader="none" w:pos="489"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Without limiting the foregoing, the Clean Up Actions shall include delivery to the Agent of those documents listed in Schedule 3 (</w:t>
      </w:r>
      <w:r>
        <w:rPr>
          <w:rFonts w:ascii="Arial" w:cs="Arial" w:eastAsia="Arial" w:hAnsi="Arial"/>
          <w:sz w:val="17"/>
          <w:szCs w:val="17"/>
          <w:i w:val="1"/>
          <w:iCs w:val="1"/>
          <w:color w:val="auto"/>
        </w:rPr>
        <w:t>Clean Up</w:t>
      </w:r>
      <w:r>
        <w:rPr>
          <w:rFonts w:ascii="Arial" w:cs="Arial" w:eastAsia="Arial" w:hAnsi="Arial"/>
          <w:sz w:val="17"/>
          <w:szCs w:val="17"/>
          <w:color w:val="auto"/>
        </w:rPr>
        <w:t xml:space="preserve"> </w:t>
      </w:r>
      <w:r>
        <w:rPr>
          <w:rFonts w:ascii="Arial" w:cs="Arial" w:eastAsia="Arial" w:hAnsi="Arial"/>
          <w:sz w:val="17"/>
          <w:szCs w:val="17"/>
          <w:i w:val="1"/>
          <w:iCs w:val="1"/>
          <w:color w:val="auto"/>
        </w:rPr>
        <w:t>Actions</w:t>
      </w:r>
      <w:r>
        <w:rPr>
          <w:rFonts w:ascii="Arial" w:cs="Arial" w:eastAsia="Arial" w:hAnsi="Arial"/>
          <w:sz w:val="17"/>
          <w:szCs w:val="17"/>
          <w:color w:val="auto"/>
        </w:rPr>
        <w:t>).</w:t>
      </w:r>
    </w:p>
    <w:p>
      <w:pPr>
        <w:spacing w:after="0" w:line="68" w:lineRule="exact"/>
        <w:rPr>
          <w:sz w:val="20"/>
          <w:szCs w:val="20"/>
          <w:color w:val="auto"/>
        </w:rPr>
      </w:pPr>
    </w:p>
    <w:p>
      <w:pPr>
        <w:jc w:val="both"/>
        <w:ind w:left="509" w:right="140" w:hanging="517"/>
        <w:spacing w:after="0" w:line="269" w:lineRule="auto"/>
        <w:tabs>
          <w:tab w:leader="none" w:pos="489"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Subject to Clause 4.6 below, so long as the Borrower and Obligors use and continue to use their respective reasonable endeavours to fulfil and deliver the Clean Up Actions before the end of the Clean Up Period, the Finance Parties shall take no action to enforce their rights arising from the OncoMed Events of Default.</w:t>
      </w:r>
    </w:p>
    <w:p>
      <w:pPr>
        <w:spacing w:after="0" w:line="81" w:lineRule="exact"/>
        <w:rPr>
          <w:sz w:val="20"/>
          <w:szCs w:val="20"/>
          <w:color w:val="auto"/>
        </w:rPr>
      </w:pPr>
    </w:p>
    <w:p>
      <w:pPr>
        <w:ind w:left="509" w:right="120" w:hanging="517"/>
        <w:spacing w:after="0" w:line="284" w:lineRule="auto"/>
        <w:tabs>
          <w:tab w:leader="none" w:pos="489"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7"/>
          <w:szCs w:val="17"/>
          <w:color w:val="auto"/>
        </w:rPr>
        <w:t>Without prejudice to this Clause 4, the Borrower shall notify the Agent forthwith of any circumstances existing which mean that any NAVI Sub or the OncoMed Companies cannot make the representation set out in clause 5.2.1 of the Original Facility Agreement.</w:t>
      </w:r>
    </w:p>
    <w:p>
      <w:pPr>
        <w:spacing w:after="0" w:line="68" w:lineRule="exact"/>
        <w:rPr>
          <w:sz w:val="20"/>
          <w:szCs w:val="20"/>
          <w:color w:val="auto"/>
        </w:rPr>
      </w:pPr>
    </w:p>
    <w:p>
      <w:pPr>
        <w:ind w:left="509" w:right="420" w:hanging="517"/>
        <w:spacing w:after="0" w:line="284" w:lineRule="auto"/>
        <w:tabs>
          <w:tab w:leader="none" w:pos="489"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color w:val="auto"/>
        </w:rPr>
        <w:t>Nothing in this Deed shall affect or restrict the rights of the Finance Parties arising from any Intervening Event of Default or any OncoMed Event of Default continuing after expiry of the Clean Up Period.</w:t>
      </w:r>
    </w:p>
    <w:p>
      <w:pPr>
        <w:spacing w:after="0" w:line="295" w:lineRule="exact"/>
        <w:rPr>
          <w:sz w:val="20"/>
          <w:szCs w:val="20"/>
          <w:color w:val="auto"/>
        </w:rPr>
      </w:pPr>
    </w:p>
    <w:p>
      <w:pPr>
        <w:ind w:left="509" w:hanging="509"/>
        <w:spacing w:after="0"/>
        <w:tabs>
          <w:tab w:leader="none" w:pos="509" w:val="left"/>
        </w:tabs>
        <w:numPr>
          <w:ilvl w:val="0"/>
          <w:numId w:val="184"/>
        </w:numPr>
        <w:rPr>
          <w:rFonts w:ascii="Arial" w:cs="Arial" w:eastAsia="Arial" w:hAnsi="Arial"/>
          <w:sz w:val="17"/>
          <w:szCs w:val="17"/>
          <w:color w:val="auto"/>
        </w:rPr>
      </w:pPr>
      <w:r>
        <w:rPr>
          <w:rFonts w:ascii="Arial" w:cs="Arial" w:eastAsia="Arial" w:hAnsi="Arial"/>
          <w:sz w:val="17"/>
          <w:szCs w:val="17"/>
          <w:b w:val="1"/>
          <w:bCs w:val="1"/>
          <w:color w:val="auto"/>
        </w:rPr>
        <w:t>REPRESENTATIONS</w:t>
      </w:r>
    </w:p>
    <w:p>
      <w:pPr>
        <w:spacing w:after="0" w:line="134"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For the purpose of the Consent, the Warrantors represent and warrant to the Lenders in the terms set out in Schedule 4 (</w:t>
      </w:r>
      <w:r>
        <w:rPr>
          <w:rFonts w:ascii="Arial" w:cs="Arial" w:eastAsia="Arial" w:hAnsi="Arial"/>
          <w:sz w:val="15"/>
          <w:szCs w:val="15"/>
          <w:i w:val="1"/>
          <w:iCs w:val="1"/>
          <w:color w:val="auto"/>
        </w:rPr>
        <w:t>Warranties</w:t>
      </w:r>
      <w:r>
        <w:rPr>
          <w:rFonts w:ascii="Arial" w:cs="Arial" w:eastAsia="Arial" w:hAnsi="Arial"/>
          <w:sz w:val="15"/>
          <w:szCs w:val="15"/>
          <w:color w:val="auto"/>
        </w:rPr>
        <w:t>).</w:t>
      </w:r>
    </w:p>
    <w:p>
      <w:pPr>
        <w:spacing w:after="0" w:line="128"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color w:val="auto"/>
        </w:rPr>
        <w:t>The Warranties are deemed to be made by each Warrantor (by reference to the facts and circumstances then existing) subject to clause 6.2</w:t>
      </w:r>
    </w:p>
    <w:p>
      <w:pPr>
        <w:spacing w:after="0" w:line="24" w:lineRule="exact"/>
        <w:rPr>
          <w:sz w:val="20"/>
          <w:szCs w:val="20"/>
          <w:color w:val="auto"/>
        </w:rPr>
      </w:pPr>
    </w:p>
    <w:p>
      <w:pPr>
        <w:ind w:left="50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Waiver</w:t>
      </w:r>
      <w:r>
        <w:rPr>
          <w:rFonts w:ascii="Arial" w:cs="Arial" w:eastAsia="Arial" w:hAnsi="Arial"/>
          <w:sz w:val="15"/>
          <w:szCs w:val="15"/>
          <w:color w:val="auto"/>
        </w:rPr>
        <w:t>) on the Effective Date, and references to “this Deed” in the Warranties should be construed as references to this Deed and to the Original</w:t>
      </w:r>
    </w:p>
    <w:p>
      <w:pPr>
        <w:spacing w:after="0" w:line="35" w:lineRule="exact"/>
        <w:rPr>
          <w:sz w:val="20"/>
          <w:szCs w:val="20"/>
          <w:color w:val="auto"/>
        </w:rPr>
      </w:pPr>
    </w:p>
    <w:p>
      <w:pPr>
        <w:ind w:left="509"/>
        <w:spacing w:after="0"/>
        <w:rPr>
          <w:sz w:val="20"/>
          <w:szCs w:val="20"/>
          <w:color w:val="auto"/>
        </w:rPr>
      </w:pPr>
      <w:r>
        <w:rPr>
          <w:rFonts w:ascii="Arial" w:cs="Arial" w:eastAsia="Arial" w:hAnsi="Arial"/>
          <w:sz w:val="17"/>
          <w:szCs w:val="17"/>
          <w:color w:val="auto"/>
        </w:rPr>
        <w:t>Facility Agreement and on the Effective Date, to the Amended Facility Agreement.</w:t>
      </w:r>
    </w:p>
    <w:p>
      <w:pPr>
        <w:spacing w:after="0" w:line="142"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49"/>
          </w:cols>
          <w:pgMar w:left="671" w:top="264" w:right="679" w:bottom="1440" w:gutter="0" w:footer="0" w:header="0"/>
        </w:sectPr>
      </w:pPr>
    </w:p>
    <w:bookmarkStart w:id="241" w:name="page242"/>
    <w:bookmarkEnd w:id="241"/>
    <w:p>
      <w:pPr>
        <w:ind w:left="509" w:hanging="509"/>
        <w:spacing w:after="0"/>
        <w:tabs>
          <w:tab w:leader="none" w:pos="509" w:val="left"/>
        </w:tabs>
        <w:numPr>
          <w:ilvl w:val="0"/>
          <w:numId w:val="18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AMENDMENT, WAIVER AND DELIVERY OF WARRANTS</w:t>
      </w:r>
    </w:p>
    <w:p>
      <w:pPr>
        <w:spacing w:after="0" w:line="128"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5"/>
          <w:szCs w:val="15"/>
          <w:b w:val="1"/>
          <w:bCs w:val="1"/>
          <w:color w:val="auto"/>
        </w:rPr>
        <w:t>Amendment</w:t>
      </w:r>
    </w:p>
    <w:p>
      <w:pPr>
        <w:spacing w:after="0" w:line="134" w:lineRule="exact"/>
        <w:rPr>
          <w:sz w:val="20"/>
          <w:szCs w:val="20"/>
          <w:color w:val="auto"/>
        </w:rPr>
      </w:pPr>
    </w:p>
    <w:p>
      <w:pPr>
        <w:ind w:left="1249" w:right="460" w:hanging="737"/>
        <w:spacing w:after="0" w:line="284" w:lineRule="auto"/>
        <w:tabs>
          <w:tab w:leader="none" w:pos="1229"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7"/>
          <w:szCs w:val="17"/>
          <w:color w:val="auto"/>
        </w:rPr>
        <w:t>With effect from the Effective Date, the Original Facility Agreement shall be amended as set out in Schedule 5 (</w:t>
      </w:r>
      <w:r>
        <w:rPr>
          <w:rFonts w:ascii="Arial" w:cs="Arial" w:eastAsia="Arial" w:hAnsi="Arial"/>
          <w:sz w:val="17"/>
          <w:szCs w:val="17"/>
          <w:i w:val="1"/>
          <w:iCs w:val="1"/>
          <w:color w:val="auto"/>
        </w:rPr>
        <w:t>Amendments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Original Facility Agreement</w:t>
      </w:r>
      <w:r>
        <w:rPr>
          <w:rFonts w:ascii="Arial" w:cs="Arial" w:eastAsia="Arial" w:hAnsi="Arial"/>
          <w:sz w:val="17"/>
          <w:szCs w:val="17"/>
          <w:color w:val="auto"/>
        </w:rPr>
        <w:t>).</w:t>
      </w:r>
    </w:p>
    <w:p>
      <w:pPr>
        <w:spacing w:after="0" w:line="68" w:lineRule="exact"/>
        <w:rPr>
          <w:sz w:val="20"/>
          <w:szCs w:val="20"/>
          <w:color w:val="auto"/>
        </w:rPr>
      </w:pPr>
    </w:p>
    <w:p>
      <w:pPr>
        <w:ind w:left="1249" w:right="220" w:hanging="737"/>
        <w:spacing w:after="0" w:line="284" w:lineRule="auto"/>
        <w:tabs>
          <w:tab w:leader="none" w:pos="1229"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7"/>
          <w:szCs w:val="17"/>
          <w:color w:val="auto"/>
        </w:rPr>
        <w:t>The OncoMed Companies shall be Guarantors and Obligors for all purposes of the Original Facility Agreement and this Deed with effect from the date of the Deeds of Accession.</w:t>
      </w:r>
    </w:p>
    <w:p>
      <w:pPr>
        <w:spacing w:after="0" w:line="295"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b w:val="1"/>
          <w:bCs w:val="1"/>
          <w:color w:val="auto"/>
        </w:rPr>
        <w:t>Waiver</w:t>
      </w:r>
    </w:p>
    <w:p>
      <w:pPr>
        <w:spacing w:after="0" w:line="121" w:lineRule="exact"/>
        <w:rPr>
          <w:sz w:val="20"/>
          <w:szCs w:val="20"/>
          <w:color w:val="auto"/>
        </w:rPr>
      </w:pPr>
    </w:p>
    <w:p>
      <w:pPr>
        <w:ind w:left="529" w:right="240"/>
        <w:spacing w:after="0" w:line="261" w:lineRule="auto"/>
        <w:rPr>
          <w:sz w:val="20"/>
          <w:szCs w:val="20"/>
          <w:color w:val="auto"/>
        </w:rPr>
      </w:pPr>
      <w:r>
        <w:rPr>
          <w:rFonts w:ascii="Arial" w:cs="Arial" w:eastAsia="Arial" w:hAnsi="Arial"/>
          <w:sz w:val="17"/>
          <w:szCs w:val="17"/>
          <w:color w:val="auto"/>
        </w:rPr>
        <w:t xml:space="preserve">The issue of warrants for the right to subscribe for 41,286 shares in the capital of the Borrower at a price of £0.003 per share to the Alpha-1 Foundation, as announced by the Borrower on 26 November 2018 (the </w:t>
      </w:r>
      <w:r>
        <w:rPr>
          <w:rFonts w:ascii="Arial" w:cs="Arial" w:eastAsia="Arial" w:hAnsi="Arial"/>
          <w:sz w:val="17"/>
          <w:szCs w:val="17"/>
          <w:b w:val="1"/>
          <w:bCs w:val="1"/>
          <w:color w:val="auto"/>
        </w:rPr>
        <w:t>Alpha-1 Warrant Issue</w:t>
      </w:r>
      <w:r>
        <w:rPr>
          <w:rFonts w:ascii="Arial" w:cs="Arial" w:eastAsia="Arial" w:hAnsi="Arial"/>
          <w:sz w:val="17"/>
          <w:szCs w:val="17"/>
          <w:color w:val="auto"/>
        </w:rPr>
        <w:t>) constitutes an Adjustment (as defined in the Warrant Instrument). The Lenders and Warrantholders hereby waive any default or Event of Default (if any) that is or may be continuing as a result of the Borrower not having satisfied the provisions of clause 11 (</w:t>
      </w:r>
      <w:r>
        <w:rPr>
          <w:rFonts w:ascii="Arial" w:cs="Arial" w:eastAsia="Arial" w:hAnsi="Arial"/>
          <w:sz w:val="17"/>
          <w:szCs w:val="17"/>
          <w:i w:val="1"/>
          <w:iCs w:val="1"/>
          <w:color w:val="auto"/>
        </w:rPr>
        <w:t>Adjustment of Warrant</w:t>
      </w:r>
      <w:r>
        <w:rPr>
          <w:rFonts w:ascii="Arial" w:cs="Arial" w:eastAsia="Arial" w:hAnsi="Arial"/>
          <w:sz w:val="17"/>
          <w:szCs w:val="17"/>
          <w:color w:val="auto"/>
        </w:rPr>
        <w:t>) of the Warrant Instrument within the time specified therein.</w:t>
      </w:r>
    </w:p>
    <w:p>
      <w:pPr>
        <w:spacing w:after="0" w:line="317"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6"/>
          <w:szCs w:val="16"/>
          <w:b w:val="1"/>
          <w:bCs w:val="1"/>
          <w:color w:val="auto"/>
        </w:rPr>
        <w:t>Delivery of Warrants</w:t>
      </w:r>
    </w:p>
    <w:p>
      <w:pPr>
        <w:spacing w:after="0" w:line="121" w:lineRule="exact"/>
        <w:rPr>
          <w:sz w:val="20"/>
          <w:szCs w:val="20"/>
          <w:color w:val="auto"/>
        </w:rPr>
      </w:pPr>
    </w:p>
    <w:p>
      <w:pPr>
        <w:ind w:left="529"/>
        <w:spacing w:after="0"/>
        <w:rPr>
          <w:sz w:val="20"/>
          <w:szCs w:val="20"/>
          <w:color w:val="auto"/>
        </w:rPr>
      </w:pPr>
      <w:r>
        <w:rPr>
          <w:rFonts w:ascii="Arial" w:cs="Arial" w:eastAsia="Arial" w:hAnsi="Arial"/>
          <w:sz w:val="17"/>
          <w:szCs w:val="17"/>
          <w:color w:val="auto"/>
        </w:rPr>
        <w:t>No later than 10 days after the OncoMed Acquisition Date, the Borrower shall:</w:t>
      </w:r>
    </w:p>
    <w:p>
      <w:pPr>
        <w:spacing w:after="0" w:line="128" w:lineRule="exact"/>
        <w:rPr>
          <w:sz w:val="20"/>
          <w:szCs w:val="20"/>
          <w:color w:val="auto"/>
        </w:rPr>
      </w:pPr>
    </w:p>
    <w:p>
      <w:pPr>
        <w:ind w:left="1249" w:right="220" w:hanging="737"/>
        <w:spacing w:after="0" w:line="284" w:lineRule="auto"/>
        <w:tabs>
          <w:tab w:leader="none" w:pos="1229" w:val="left"/>
        </w:tabs>
        <w:rPr>
          <w:sz w:val="20"/>
          <w:szCs w:val="20"/>
          <w:color w:val="auto"/>
        </w:rPr>
      </w:pPr>
      <w:r>
        <w:rPr>
          <w:rFonts w:ascii="Arial" w:cs="Arial" w:eastAsia="Arial" w:hAnsi="Arial"/>
          <w:sz w:val="17"/>
          <w:szCs w:val="17"/>
          <w:color w:val="auto"/>
        </w:rPr>
        <w:t>6.3.1</w:t>
      </w:r>
      <w:r>
        <w:rPr>
          <w:sz w:val="20"/>
          <w:szCs w:val="20"/>
          <w:color w:val="auto"/>
        </w:rPr>
        <w:tab/>
      </w:r>
      <w:r>
        <w:rPr>
          <w:rFonts w:ascii="Arial" w:cs="Arial" w:eastAsia="Arial" w:hAnsi="Arial"/>
          <w:sz w:val="17"/>
          <w:szCs w:val="17"/>
          <w:color w:val="auto"/>
        </w:rPr>
        <w:t>provide each Warrantholder with a notice of adjustment pursuant to clause 11.1 of the Warrant Instrument in respect of the Alpha-1 Warrant Issue; and</w:t>
      </w:r>
    </w:p>
    <w:p>
      <w:pPr>
        <w:spacing w:after="0" w:line="68" w:lineRule="exact"/>
        <w:rPr>
          <w:sz w:val="20"/>
          <w:szCs w:val="20"/>
          <w:color w:val="auto"/>
        </w:rPr>
      </w:pPr>
    </w:p>
    <w:p>
      <w:pPr>
        <w:ind w:left="509"/>
        <w:spacing w:after="0"/>
        <w:tabs>
          <w:tab w:leader="none" w:pos="1229" w:val="left"/>
        </w:tabs>
        <w:rPr>
          <w:sz w:val="20"/>
          <w:szCs w:val="20"/>
          <w:color w:val="auto"/>
        </w:rPr>
      </w:pPr>
      <w:r>
        <w:rPr>
          <w:rFonts w:ascii="Arial" w:cs="Arial" w:eastAsia="Arial" w:hAnsi="Arial"/>
          <w:sz w:val="17"/>
          <w:szCs w:val="17"/>
          <w:color w:val="auto"/>
        </w:rPr>
        <w:t>6.3.2</w:t>
      </w:r>
      <w:r>
        <w:rPr>
          <w:sz w:val="20"/>
          <w:szCs w:val="20"/>
          <w:color w:val="auto"/>
        </w:rPr>
        <w:tab/>
      </w:r>
      <w:r>
        <w:rPr>
          <w:rFonts w:ascii="Arial" w:cs="Arial" w:eastAsia="Arial" w:hAnsi="Arial"/>
          <w:sz w:val="15"/>
          <w:szCs w:val="15"/>
          <w:color w:val="auto"/>
        </w:rPr>
        <w:t>issue Replacement Warrant Certificates (as defined in the Warrant Instrument).</w:t>
      </w:r>
    </w:p>
    <w:p>
      <w:pPr>
        <w:spacing w:after="0" w:line="355" w:lineRule="exact"/>
        <w:rPr>
          <w:sz w:val="20"/>
          <w:szCs w:val="20"/>
          <w:color w:val="auto"/>
        </w:rPr>
      </w:pPr>
    </w:p>
    <w:p>
      <w:pPr>
        <w:ind w:left="509" w:hanging="509"/>
        <w:spacing w:after="0"/>
        <w:tabs>
          <w:tab w:leader="none" w:pos="509" w:val="left"/>
        </w:tabs>
        <w:numPr>
          <w:ilvl w:val="0"/>
          <w:numId w:val="186"/>
        </w:numPr>
        <w:rPr>
          <w:rFonts w:ascii="Arial" w:cs="Arial" w:eastAsia="Arial" w:hAnsi="Arial"/>
          <w:sz w:val="17"/>
          <w:szCs w:val="17"/>
          <w:color w:val="auto"/>
        </w:rPr>
      </w:pPr>
      <w:r>
        <w:rPr>
          <w:rFonts w:ascii="Arial" w:cs="Arial" w:eastAsia="Arial" w:hAnsi="Arial"/>
          <w:sz w:val="17"/>
          <w:szCs w:val="17"/>
          <w:b w:val="1"/>
          <w:bCs w:val="1"/>
          <w:color w:val="auto"/>
        </w:rPr>
        <w:t>EXTENSION OF INTEREST ONLY PERIOD</w:t>
      </w:r>
    </w:p>
    <w:p>
      <w:pPr>
        <w:spacing w:after="0" w:line="121" w:lineRule="exact"/>
        <w:rPr>
          <w:rFonts w:ascii="Arial" w:cs="Arial" w:eastAsia="Arial" w:hAnsi="Arial"/>
          <w:sz w:val="17"/>
          <w:szCs w:val="17"/>
          <w:color w:val="auto"/>
        </w:rPr>
      </w:pPr>
    </w:p>
    <w:p>
      <w:pPr>
        <w:ind w:left="529" w:right="300"/>
        <w:spacing w:after="0" w:line="269" w:lineRule="auto"/>
        <w:rPr>
          <w:rFonts w:ascii="Arial" w:cs="Arial" w:eastAsia="Arial" w:hAnsi="Arial"/>
          <w:sz w:val="17"/>
          <w:szCs w:val="17"/>
          <w:color w:val="auto"/>
        </w:rPr>
      </w:pPr>
      <w:r>
        <w:rPr>
          <w:rFonts w:ascii="Arial" w:cs="Arial" w:eastAsia="Arial" w:hAnsi="Arial"/>
          <w:sz w:val="17"/>
          <w:szCs w:val="17"/>
          <w:color w:val="auto"/>
        </w:rPr>
        <w:t>With effect from the Effective Date and delivery to the Agent of the Net Cash Calculation, the Finance Parties confirm that the conditions of clause 2.3.2 of the Original Facility Agreement shall be met and the Repayment Schedule shall be as set out in Schedule 6 (</w:t>
      </w:r>
      <w:r>
        <w:rPr>
          <w:rFonts w:ascii="Arial" w:cs="Arial" w:eastAsia="Arial" w:hAnsi="Arial"/>
          <w:sz w:val="17"/>
          <w:szCs w:val="17"/>
          <w:i w:val="1"/>
          <w:iCs w:val="1"/>
          <w:color w:val="auto"/>
        </w:rPr>
        <w:t>Repayment</w:t>
      </w:r>
      <w:r>
        <w:rPr>
          <w:rFonts w:ascii="Arial" w:cs="Arial" w:eastAsia="Arial" w:hAnsi="Arial"/>
          <w:sz w:val="17"/>
          <w:szCs w:val="17"/>
          <w:color w:val="auto"/>
        </w:rPr>
        <w:t xml:space="preserve"> </w:t>
      </w:r>
      <w:r>
        <w:rPr>
          <w:rFonts w:ascii="Arial" w:cs="Arial" w:eastAsia="Arial" w:hAnsi="Arial"/>
          <w:sz w:val="17"/>
          <w:szCs w:val="17"/>
          <w:i w:val="1"/>
          <w:iCs w:val="1"/>
          <w:color w:val="auto"/>
        </w:rPr>
        <w:t>Schedule</w:t>
      </w:r>
      <w:r>
        <w:rPr>
          <w:rFonts w:ascii="Arial" w:cs="Arial" w:eastAsia="Arial" w:hAnsi="Arial"/>
          <w:sz w:val="17"/>
          <w:szCs w:val="17"/>
          <w:color w:val="auto"/>
        </w:rPr>
        <w:t>).</w:t>
      </w:r>
    </w:p>
    <w:p>
      <w:pPr>
        <w:spacing w:after="0" w:line="308" w:lineRule="exact"/>
        <w:rPr>
          <w:sz w:val="20"/>
          <w:szCs w:val="20"/>
          <w:color w:val="auto"/>
        </w:rPr>
      </w:pPr>
    </w:p>
    <w:p>
      <w:pPr>
        <w:ind w:left="509" w:hanging="509"/>
        <w:spacing w:after="0"/>
        <w:tabs>
          <w:tab w:leader="none" w:pos="509" w:val="left"/>
        </w:tabs>
        <w:numPr>
          <w:ilvl w:val="0"/>
          <w:numId w:val="187"/>
        </w:numPr>
        <w:rPr>
          <w:rFonts w:ascii="Arial" w:cs="Arial" w:eastAsia="Arial" w:hAnsi="Arial"/>
          <w:sz w:val="17"/>
          <w:szCs w:val="17"/>
          <w:color w:val="auto"/>
        </w:rPr>
      </w:pPr>
      <w:r>
        <w:rPr>
          <w:rFonts w:ascii="Arial" w:cs="Arial" w:eastAsia="Arial" w:hAnsi="Arial"/>
          <w:sz w:val="17"/>
          <w:szCs w:val="17"/>
          <w:b w:val="1"/>
          <w:bCs w:val="1"/>
          <w:color w:val="auto"/>
        </w:rPr>
        <w:t>CONTINUITY AND FURTHER ASSURANCE</w:t>
      </w:r>
    </w:p>
    <w:p>
      <w:pPr>
        <w:spacing w:after="0" w:line="128"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b w:val="1"/>
          <w:bCs w:val="1"/>
          <w:color w:val="auto"/>
        </w:rPr>
        <w:t>Continuing obligations</w:t>
      </w:r>
    </w:p>
    <w:p>
      <w:pPr>
        <w:spacing w:after="0" w:line="121" w:lineRule="exact"/>
        <w:rPr>
          <w:sz w:val="20"/>
          <w:szCs w:val="20"/>
          <w:color w:val="auto"/>
        </w:rPr>
      </w:pPr>
    </w:p>
    <w:p>
      <w:pPr>
        <w:ind w:left="529"/>
        <w:spacing w:after="0" w:line="284" w:lineRule="auto"/>
        <w:rPr>
          <w:sz w:val="20"/>
          <w:szCs w:val="20"/>
          <w:color w:val="auto"/>
        </w:rPr>
      </w:pPr>
      <w:r>
        <w:rPr>
          <w:rFonts w:ascii="Arial" w:cs="Arial" w:eastAsia="Arial" w:hAnsi="Arial"/>
          <w:sz w:val="17"/>
          <w:szCs w:val="17"/>
          <w:color w:val="auto"/>
        </w:rPr>
        <w:t>The provisions of the Original Facility Agreement and the other Loan Documents shall, save as amended by this Deed, continue in full force and effect.</w:t>
      </w:r>
    </w:p>
    <w:p>
      <w:pPr>
        <w:spacing w:after="0" w:line="295"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b w:val="1"/>
          <w:bCs w:val="1"/>
          <w:color w:val="auto"/>
        </w:rPr>
        <w:t>Confirmation of Guarantee Obligations</w:t>
      </w:r>
    </w:p>
    <w:p>
      <w:pPr>
        <w:spacing w:after="0" w:line="121" w:lineRule="exact"/>
        <w:rPr>
          <w:sz w:val="20"/>
          <w:szCs w:val="20"/>
          <w:color w:val="auto"/>
        </w:rPr>
      </w:pPr>
    </w:p>
    <w:p>
      <w:pPr>
        <w:ind w:left="529" w:right="200"/>
        <w:spacing w:after="0" w:line="284" w:lineRule="auto"/>
        <w:rPr>
          <w:sz w:val="20"/>
          <w:szCs w:val="20"/>
          <w:color w:val="auto"/>
        </w:rPr>
      </w:pPr>
      <w:r>
        <w:rPr>
          <w:rFonts w:ascii="Arial" w:cs="Arial" w:eastAsia="Arial" w:hAnsi="Arial"/>
          <w:sz w:val="17"/>
          <w:szCs w:val="17"/>
          <w:color w:val="auto"/>
        </w:rPr>
        <w:t>For the avoidance of doubt, each Guarantor confirms for the benefit of the Finance Parties that all Guarantee Obligations owed by it under the Amended Facility Agreement shall (a) remain in full force and effect notwithstanding the amendments</w:t>
      </w:r>
    </w:p>
    <w:p>
      <w:pPr>
        <w:spacing w:after="0" w:line="94"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29"/>
          </w:cols>
          <w:pgMar w:left="671" w:top="263" w:right="699" w:bottom="1440" w:gutter="0" w:footer="0" w:header="0"/>
        </w:sectPr>
      </w:pPr>
    </w:p>
    <w:bookmarkStart w:id="242" w:name="page243"/>
    <w:bookmarkEnd w:id="242"/>
    <w:p>
      <w:pPr>
        <w:ind w:left="529"/>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referred to in Clause 6 (</w:t>
      </w:r>
      <w:r>
        <w:rPr>
          <w:rFonts w:ascii="Arial" w:cs="Arial" w:eastAsia="Arial" w:hAnsi="Arial"/>
          <w:sz w:val="17"/>
          <w:szCs w:val="17"/>
          <w:i w:val="1"/>
          <w:iCs w:val="1"/>
          <w:color w:val="auto"/>
        </w:rPr>
        <w:t>Amendment</w:t>
      </w:r>
      <w:r>
        <w:rPr>
          <w:rFonts w:ascii="Arial" w:cs="Arial" w:eastAsia="Arial" w:hAnsi="Arial"/>
          <w:sz w:val="17"/>
          <w:szCs w:val="17"/>
          <w:color w:val="auto"/>
        </w:rPr>
        <w:t>) and (b) extend to any new obligations assumed by any Obligor under the Loan Documents as a result of this Deed (including, but not limited to, under the Amended Facility Agreement).</w:t>
      </w:r>
    </w:p>
    <w:p>
      <w:pPr>
        <w:spacing w:after="0" w:line="295"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5"/>
          <w:szCs w:val="15"/>
          <w:b w:val="1"/>
          <w:bCs w:val="1"/>
          <w:color w:val="auto"/>
        </w:rPr>
        <w:t>Further assurance</w:t>
      </w:r>
    </w:p>
    <w:p>
      <w:pPr>
        <w:spacing w:after="0" w:line="121" w:lineRule="exact"/>
        <w:rPr>
          <w:sz w:val="20"/>
          <w:szCs w:val="20"/>
          <w:color w:val="auto"/>
        </w:rPr>
      </w:pPr>
    </w:p>
    <w:p>
      <w:pPr>
        <w:ind w:left="529" w:right="60"/>
        <w:spacing w:after="0" w:line="284" w:lineRule="auto"/>
        <w:rPr>
          <w:sz w:val="20"/>
          <w:szCs w:val="20"/>
          <w:color w:val="auto"/>
        </w:rPr>
      </w:pPr>
      <w:r>
        <w:rPr>
          <w:rFonts w:ascii="Arial" w:cs="Arial" w:eastAsia="Arial" w:hAnsi="Arial"/>
          <w:sz w:val="17"/>
          <w:szCs w:val="17"/>
          <w:color w:val="auto"/>
        </w:rPr>
        <w:t>Each Obligor, shall, at the request of the Agent and at such Obligor’s own expense, do all such acts and things necessary or reasonably desirable to give effect to the amendments effected or to be effected pursuant to this Deed.</w:t>
      </w:r>
    </w:p>
    <w:p>
      <w:pPr>
        <w:spacing w:after="0" w:line="295"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b w:val="1"/>
          <w:bCs w:val="1"/>
          <w:color w:val="auto"/>
        </w:rPr>
        <w:t>Confirmation of security</w:t>
      </w:r>
    </w:p>
    <w:p>
      <w:pPr>
        <w:spacing w:after="0" w:line="121" w:lineRule="exact"/>
        <w:rPr>
          <w:sz w:val="20"/>
          <w:szCs w:val="20"/>
          <w:color w:val="auto"/>
        </w:rPr>
      </w:pPr>
    </w:p>
    <w:p>
      <w:pPr>
        <w:ind w:left="529"/>
        <w:spacing w:after="0"/>
        <w:rPr>
          <w:sz w:val="20"/>
          <w:szCs w:val="20"/>
          <w:color w:val="auto"/>
        </w:rPr>
      </w:pPr>
      <w:r>
        <w:rPr>
          <w:rFonts w:ascii="Arial" w:cs="Arial" w:eastAsia="Arial" w:hAnsi="Arial"/>
          <w:sz w:val="17"/>
          <w:szCs w:val="17"/>
          <w:color w:val="auto"/>
        </w:rPr>
        <w:t>On the Effective Date, each Obligor confirms that:</w:t>
      </w:r>
    </w:p>
    <w:p>
      <w:pPr>
        <w:spacing w:after="0" w:line="128" w:lineRule="exact"/>
        <w:rPr>
          <w:sz w:val="20"/>
          <w:szCs w:val="20"/>
          <w:color w:val="auto"/>
        </w:rPr>
      </w:pPr>
    </w:p>
    <w:p>
      <w:pPr>
        <w:ind w:left="1249" w:right="600" w:hanging="737"/>
        <w:spacing w:after="0" w:line="354" w:lineRule="auto"/>
        <w:tabs>
          <w:tab w:leader="none" w:pos="1229" w:val="left"/>
        </w:tabs>
        <w:rPr>
          <w:sz w:val="20"/>
          <w:szCs w:val="20"/>
          <w:color w:val="auto"/>
        </w:rPr>
      </w:pPr>
      <w:r>
        <w:rPr>
          <w:rFonts w:ascii="Arial" w:cs="Arial" w:eastAsia="Arial" w:hAnsi="Arial"/>
          <w:sz w:val="17"/>
          <w:szCs w:val="17"/>
          <w:color w:val="auto"/>
        </w:rPr>
        <w:t>8.4.1</w:t>
      </w:r>
      <w:r>
        <w:rPr>
          <w:sz w:val="20"/>
          <w:szCs w:val="20"/>
          <w:color w:val="auto"/>
        </w:rPr>
        <w:tab/>
      </w:r>
      <w:r>
        <w:rPr>
          <w:rFonts w:ascii="Arial" w:cs="Arial" w:eastAsia="Arial" w:hAnsi="Arial"/>
          <w:sz w:val="15"/>
          <w:szCs w:val="15"/>
          <w:color w:val="auto"/>
        </w:rPr>
        <w:t>any security created by it under the Security Documents extends to the obligations of the Obligors under the Loan Documents (including the Loan Agreement as amended by this Deed) subject to any limitations set out in the Security Documents;</w:t>
      </w:r>
    </w:p>
    <w:p>
      <w:pPr>
        <w:spacing w:after="0" w:line="22" w:lineRule="exact"/>
        <w:rPr>
          <w:sz w:val="20"/>
          <w:szCs w:val="20"/>
          <w:color w:val="auto"/>
        </w:rPr>
      </w:pPr>
    </w:p>
    <w:p>
      <w:pPr>
        <w:ind w:left="1249" w:hanging="737"/>
        <w:spacing w:after="0" w:line="284" w:lineRule="auto"/>
        <w:tabs>
          <w:tab w:leader="none" w:pos="1229" w:val="left"/>
        </w:tabs>
        <w:rPr>
          <w:sz w:val="20"/>
          <w:szCs w:val="20"/>
          <w:color w:val="auto"/>
        </w:rPr>
      </w:pPr>
      <w:r>
        <w:rPr>
          <w:rFonts w:ascii="Arial" w:cs="Arial" w:eastAsia="Arial" w:hAnsi="Arial"/>
          <w:sz w:val="17"/>
          <w:szCs w:val="17"/>
          <w:color w:val="auto"/>
        </w:rPr>
        <w:t>8.4.2</w:t>
      </w:r>
      <w:r>
        <w:rPr>
          <w:sz w:val="20"/>
          <w:szCs w:val="20"/>
          <w:color w:val="auto"/>
        </w:rPr>
        <w:tab/>
      </w:r>
      <w:r>
        <w:rPr>
          <w:rFonts w:ascii="Arial" w:cs="Arial" w:eastAsia="Arial" w:hAnsi="Arial"/>
          <w:sz w:val="17"/>
          <w:szCs w:val="17"/>
          <w:color w:val="auto"/>
        </w:rPr>
        <w:t>the obligations of the Obligors arising under the Loan Agreement as amended by this Deed are included in the Secured Obligations (as defined in the Security Documents) subject to any limitations set out in the Security Documents; and</w:t>
      </w:r>
    </w:p>
    <w:p>
      <w:pPr>
        <w:spacing w:after="0" w:line="68" w:lineRule="exact"/>
        <w:rPr>
          <w:sz w:val="20"/>
          <w:szCs w:val="20"/>
          <w:color w:val="auto"/>
        </w:rPr>
      </w:pPr>
    </w:p>
    <w:p>
      <w:pPr>
        <w:ind w:left="509"/>
        <w:spacing w:after="0"/>
        <w:tabs>
          <w:tab w:leader="none" w:pos="1229" w:val="left"/>
        </w:tabs>
        <w:rPr>
          <w:sz w:val="20"/>
          <w:szCs w:val="20"/>
          <w:color w:val="auto"/>
        </w:rPr>
      </w:pPr>
      <w:r>
        <w:rPr>
          <w:rFonts w:ascii="Arial" w:cs="Arial" w:eastAsia="Arial" w:hAnsi="Arial"/>
          <w:sz w:val="17"/>
          <w:szCs w:val="17"/>
          <w:color w:val="auto"/>
        </w:rPr>
        <w:t>8.4.3</w:t>
      </w:r>
      <w:r>
        <w:rPr>
          <w:sz w:val="20"/>
          <w:szCs w:val="20"/>
          <w:color w:val="auto"/>
        </w:rPr>
        <w:tab/>
      </w:r>
      <w:r>
        <w:rPr>
          <w:rFonts w:ascii="Arial" w:cs="Arial" w:eastAsia="Arial" w:hAnsi="Arial"/>
          <w:sz w:val="15"/>
          <w:szCs w:val="15"/>
          <w:color w:val="auto"/>
        </w:rPr>
        <w:t>the security created under the Security Documents continue in full force and effect on the terms of the respective Security Documents.</w:t>
      </w:r>
    </w:p>
    <w:p>
      <w:pPr>
        <w:spacing w:after="0" w:line="355"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5"/>
          <w:szCs w:val="15"/>
          <w:b w:val="1"/>
          <w:bCs w:val="1"/>
          <w:color w:val="auto"/>
        </w:rPr>
        <w:t>No New Security Interest</w:t>
      </w:r>
    </w:p>
    <w:p>
      <w:pPr>
        <w:spacing w:after="0" w:line="121" w:lineRule="exact"/>
        <w:rPr>
          <w:sz w:val="20"/>
          <w:szCs w:val="20"/>
          <w:color w:val="auto"/>
        </w:rPr>
      </w:pPr>
    </w:p>
    <w:p>
      <w:pPr>
        <w:ind w:left="529"/>
        <w:spacing w:after="0"/>
        <w:rPr>
          <w:sz w:val="20"/>
          <w:szCs w:val="20"/>
          <w:color w:val="auto"/>
        </w:rPr>
      </w:pPr>
      <w:r>
        <w:rPr>
          <w:rFonts w:ascii="Arial" w:cs="Arial" w:eastAsia="Arial" w:hAnsi="Arial"/>
          <w:sz w:val="17"/>
          <w:szCs w:val="17"/>
          <w:color w:val="auto"/>
        </w:rPr>
        <w:t>No part of this Deed is intended to or will create registrable security.</w:t>
      </w:r>
    </w:p>
    <w:p>
      <w:pPr>
        <w:spacing w:after="0" w:line="355" w:lineRule="exact"/>
        <w:rPr>
          <w:sz w:val="20"/>
          <w:szCs w:val="20"/>
          <w:color w:val="auto"/>
        </w:rPr>
      </w:pPr>
    </w:p>
    <w:p>
      <w:pPr>
        <w:ind w:left="509" w:hanging="509"/>
        <w:spacing w:after="0"/>
        <w:tabs>
          <w:tab w:leader="none" w:pos="509" w:val="left"/>
        </w:tabs>
        <w:numPr>
          <w:ilvl w:val="0"/>
          <w:numId w:val="188"/>
        </w:numPr>
        <w:rPr>
          <w:rFonts w:ascii="Arial" w:cs="Arial" w:eastAsia="Arial" w:hAnsi="Arial"/>
          <w:sz w:val="17"/>
          <w:szCs w:val="17"/>
          <w:color w:val="auto"/>
        </w:rPr>
      </w:pPr>
      <w:r>
        <w:rPr>
          <w:rFonts w:ascii="Arial" w:cs="Arial" w:eastAsia="Arial" w:hAnsi="Arial"/>
          <w:sz w:val="17"/>
          <w:szCs w:val="17"/>
          <w:b w:val="1"/>
          <w:bCs w:val="1"/>
          <w:color w:val="auto"/>
        </w:rPr>
        <w:t>COSTS AND EXPENSES</w:t>
      </w:r>
    </w:p>
    <w:p>
      <w:pPr>
        <w:spacing w:after="0" w:line="121" w:lineRule="exact"/>
        <w:rPr>
          <w:rFonts w:ascii="Arial" w:cs="Arial" w:eastAsia="Arial" w:hAnsi="Arial"/>
          <w:sz w:val="17"/>
          <w:szCs w:val="17"/>
          <w:color w:val="auto"/>
        </w:rPr>
      </w:pPr>
    </w:p>
    <w:p>
      <w:pPr>
        <w:ind w:left="529"/>
        <w:spacing w:after="0" w:line="269" w:lineRule="auto"/>
        <w:rPr>
          <w:rFonts w:ascii="Arial" w:cs="Arial" w:eastAsia="Arial" w:hAnsi="Arial"/>
          <w:sz w:val="17"/>
          <w:szCs w:val="17"/>
          <w:color w:val="auto"/>
        </w:rPr>
      </w:pPr>
      <w:r>
        <w:rPr>
          <w:rFonts w:ascii="Arial" w:cs="Arial" w:eastAsia="Arial" w:hAnsi="Arial"/>
          <w:sz w:val="17"/>
          <w:szCs w:val="17"/>
          <w:color w:val="auto"/>
        </w:rPr>
        <w:t>The Borrower shall promptly on demand pay the Agent the amount of all costs and expenses (including but not limited to legal fees) reasonably incurred by the Agent in connection with the negotiation, preparation, printing and execution of this Deed and any other documents referred to in this Deed.</w:t>
      </w:r>
    </w:p>
    <w:p>
      <w:pPr>
        <w:spacing w:after="0" w:line="308" w:lineRule="exact"/>
        <w:rPr>
          <w:sz w:val="20"/>
          <w:szCs w:val="20"/>
          <w:color w:val="auto"/>
        </w:rPr>
      </w:pPr>
    </w:p>
    <w:p>
      <w:pPr>
        <w:ind w:left="509" w:hanging="509"/>
        <w:spacing w:after="0"/>
        <w:tabs>
          <w:tab w:leader="none" w:pos="509" w:val="left"/>
        </w:tabs>
        <w:numPr>
          <w:ilvl w:val="0"/>
          <w:numId w:val="189"/>
        </w:numPr>
        <w:rPr>
          <w:rFonts w:ascii="Arial" w:cs="Arial" w:eastAsia="Arial" w:hAnsi="Arial"/>
          <w:sz w:val="17"/>
          <w:szCs w:val="17"/>
          <w:color w:val="auto"/>
        </w:rPr>
      </w:pPr>
      <w:r>
        <w:rPr>
          <w:rFonts w:ascii="Arial" w:cs="Arial" w:eastAsia="Arial" w:hAnsi="Arial"/>
          <w:sz w:val="17"/>
          <w:szCs w:val="17"/>
          <w:b w:val="1"/>
          <w:bCs w:val="1"/>
          <w:color w:val="auto"/>
        </w:rPr>
        <w:t>MISCELLANEOUS</w:t>
      </w:r>
    </w:p>
    <w:p>
      <w:pPr>
        <w:spacing w:after="0" w:line="128"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b w:val="1"/>
          <w:bCs w:val="1"/>
          <w:color w:val="auto"/>
        </w:rPr>
        <w:t>Reservation of rights</w:t>
      </w:r>
    </w:p>
    <w:p>
      <w:pPr>
        <w:spacing w:after="0" w:line="134" w:lineRule="exact"/>
        <w:rPr>
          <w:sz w:val="20"/>
          <w:szCs w:val="20"/>
          <w:color w:val="auto"/>
        </w:rPr>
      </w:pPr>
    </w:p>
    <w:p>
      <w:pPr>
        <w:ind w:left="1249" w:right="260" w:hanging="737"/>
        <w:spacing w:after="0" w:line="284" w:lineRule="auto"/>
        <w:tabs>
          <w:tab w:leader="none" w:pos="1229"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7"/>
          <w:szCs w:val="17"/>
          <w:color w:val="auto"/>
        </w:rPr>
        <w:t>Except as expressly waived or amended by this Agreement, the Loan Documents and the Warrant Instrument continue in full force and effect.</w:t>
      </w:r>
    </w:p>
    <w:p>
      <w:pPr>
        <w:spacing w:after="0" w:line="68" w:lineRule="exact"/>
        <w:rPr>
          <w:sz w:val="20"/>
          <w:szCs w:val="20"/>
          <w:color w:val="auto"/>
        </w:rPr>
      </w:pPr>
    </w:p>
    <w:p>
      <w:pPr>
        <w:ind w:left="1249" w:right="80" w:hanging="737"/>
        <w:spacing w:after="0" w:line="284" w:lineRule="auto"/>
        <w:tabs>
          <w:tab w:leader="none" w:pos="1229"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color w:val="auto"/>
        </w:rPr>
        <w:t>This Deed does not constitute a waiver of any right or remedy other than in relation to the specific waivers expressly given under this Deed.</w:t>
      </w:r>
    </w:p>
    <w:p>
      <w:pPr>
        <w:spacing w:after="0" w:line="295"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b w:val="1"/>
          <w:bCs w:val="1"/>
          <w:color w:val="auto"/>
        </w:rPr>
        <w:t>Incorporation of terms</w:t>
      </w:r>
    </w:p>
    <w:p>
      <w:pPr>
        <w:spacing w:after="0" w:line="121" w:lineRule="exact"/>
        <w:rPr>
          <w:sz w:val="20"/>
          <w:szCs w:val="20"/>
          <w:color w:val="auto"/>
        </w:rPr>
      </w:pPr>
    </w:p>
    <w:p>
      <w:pPr>
        <w:ind w:left="529"/>
        <w:spacing w:after="0" w:line="269" w:lineRule="auto"/>
        <w:rPr>
          <w:sz w:val="20"/>
          <w:szCs w:val="20"/>
          <w:color w:val="auto"/>
        </w:rPr>
      </w:pPr>
      <w:r>
        <w:rPr>
          <w:rFonts w:ascii="Arial" w:cs="Arial" w:eastAsia="Arial" w:hAnsi="Arial"/>
          <w:sz w:val="17"/>
          <w:szCs w:val="17"/>
          <w:color w:val="auto"/>
        </w:rPr>
        <w:t>The provisions of clause 13 (</w:t>
      </w:r>
      <w:r>
        <w:rPr>
          <w:rFonts w:ascii="Arial" w:cs="Arial" w:eastAsia="Arial" w:hAnsi="Arial"/>
          <w:sz w:val="17"/>
          <w:szCs w:val="17"/>
          <w:i w:val="1"/>
          <w:iCs w:val="1"/>
          <w:color w:val="auto"/>
        </w:rPr>
        <w:t>Notices</w:t>
      </w:r>
      <w:r>
        <w:rPr>
          <w:rFonts w:ascii="Arial" w:cs="Arial" w:eastAsia="Arial" w:hAnsi="Arial"/>
          <w:sz w:val="17"/>
          <w:szCs w:val="17"/>
          <w:color w:val="auto"/>
        </w:rPr>
        <w:t>), and clause 15.2, clause 15.3 and clause 16.5 (</w:t>
      </w:r>
      <w:r>
        <w:rPr>
          <w:rFonts w:ascii="Arial" w:cs="Arial" w:eastAsia="Arial" w:hAnsi="Arial"/>
          <w:sz w:val="17"/>
          <w:szCs w:val="17"/>
          <w:i w:val="1"/>
          <w:iCs w:val="1"/>
          <w:color w:val="auto"/>
        </w:rPr>
        <w:t>Severability of Provision</w:t>
      </w:r>
      <w:r>
        <w:rPr>
          <w:rFonts w:ascii="Arial" w:cs="Arial" w:eastAsia="Arial" w:hAnsi="Arial"/>
          <w:sz w:val="17"/>
          <w:szCs w:val="17"/>
          <w:color w:val="auto"/>
        </w:rPr>
        <w:t>) of the Original Facility Agreement shall be incorporated into this Deed as if set out in full in this Deed and as if references in those clauses to “this Agreement” or “the Loan Documents” are references to this Deed.</w:t>
      </w:r>
    </w:p>
    <w:p>
      <w:pPr>
        <w:spacing w:after="0" w:line="107"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49"/>
          </w:cols>
          <w:pgMar w:left="671" w:top="269" w:right="679" w:bottom="1440" w:gutter="0" w:footer="0" w:header="0"/>
        </w:sectPr>
      </w:pPr>
    </w:p>
    <w:bookmarkStart w:id="243" w:name="page244"/>
    <w:bookmarkEnd w:id="243"/>
    <w:p>
      <w:pPr>
        <w:ind w:left="9"/>
        <w:spacing w:after="0"/>
        <w:tabs>
          <w:tab w:leader="none" w:pos="489"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10.3</w:t>
      </w:r>
      <w:r>
        <w:rPr>
          <w:sz w:val="20"/>
          <w:szCs w:val="20"/>
          <w:color w:val="auto"/>
        </w:rPr>
        <w:tab/>
      </w:r>
      <w:r>
        <w:rPr>
          <w:rFonts w:ascii="Arial" w:cs="Arial" w:eastAsia="Arial" w:hAnsi="Arial"/>
          <w:sz w:val="15"/>
          <w:szCs w:val="15"/>
          <w:b w:val="1"/>
          <w:bCs w:val="1"/>
          <w:color w:val="auto"/>
        </w:rPr>
        <w:t>Counterparts</w:t>
      </w:r>
    </w:p>
    <w:p>
      <w:pPr>
        <w:spacing w:after="0" w:line="121" w:lineRule="exact"/>
        <w:rPr>
          <w:sz w:val="20"/>
          <w:szCs w:val="20"/>
          <w:color w:val="auto"/>
        </w:rPr>
      </w:pPr>
    </w:p>
    <w:p>
      <w:pPr>
        <w:ind w:left="529"/>
        <w:spacing w:after="0" w:line="284" w:lineRule="auto"/>
        <w:rPr>
          <w:sz w:val="20"/>
          <w:szCs w:val="20"/>
          <w:color w:val="auto"/>
        </w:rPr>
      </w:pPr>
      <w:r>
        <w:rPr>
          <w:rFonts w:ascii="Arial" w:cs="Arial" w:eastAsia="Arial" w:hAnsi="Arial"/>
          <w:sz w:val="17"/>
          <w:szCs w:val="17"/>
          <w:color w:val="auto"/>
        </w:rPr>
        <w:t>This Deed may be executed in any number of counterparts, and this has the same effect as if the signatures on the counterparts were on a single copy of this Deed.</w:t>
      </w:r>
    </w:p>
    <w:p>
      <w:pPr>
        <w:spacing w:after="0" w:line="295"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6"/>
          <w:szCs w:val="16"/>
          <w:b w:val="1"/>
          <w:bCs w:val="1"/>
          <w:color w:val="auto"/>
        </w:rPr>
        <w:t>IP Filings</w:t>
      </w:r>
    </w:p>
    <w:p>
      <w:pPr>
        <w:spacing w:after="0" w:line="121" w:lineRule="exact"/>
        <w:rPr>
          <w:sz w:val="20"/>
          <w:szCs w:val="20"/>
          <w:color w:val="auto"/>
        </w:rPr>
      </w:pPr>
    </w:p>
    <w:p>
      <w:pPr>
        <w:ind w:left="529"/>
        <w:spacing w:after="0" w:line="269" w:lineRule="auto"/>
        <w:rPr>
          <w:sz w:val="20"/>
          <w:szCs w:val="20"/>
          <w:color w:val="auto"/>
        </w:rPr>
      </w:pPr>
      <w:r>
        <w:rPr>
          <w:rFonts w:ascii="Arial" w:cs="Arial" w:eastAsia="Arial" w:hAnsi="Arial"/>
          <w:sz w:val="17"/>
          <w:szCs w:val="17"/>
          <w:color w:val="auto"/>
        </w:rPr>
        <w:t>The Lenders and the Obligors agree that the requirements of Paragraph 1 of Schedule 3 of this Deed (Clean Up Actions) and clause 3.5.1 of the Loan Agreement shall not apply to the Oncomed Companies to the extent that doing so would preclude or adversely affect the ability of an Oncomed Company to make a Permitted Disposal or would cause a breach of the Celgene Option.</w:t>
      </w:r>
    </w:p>
    <w:p>
      <w:pPr>
        <w:spacing w:after="0" w:line="308"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6"/>
          <w:szCs w:val="16"/>
          <w:b w:val="1"/>
          <w:bCs w:val="1"/>
          <w:color w:val="auto"/>
        </w:rPr>
        <w:t>Notification Letter</w:t>
      </w:r>
    </w:p>
    <w:p>
      <w:pPr>
        <w:spacing w:after="0" w:line="121" w:lineRule="exact"/>
        <w:rPr>
          <w:sz w:val="20"/>
          <w:szCs w:val="20"/>
          <w:color w:val="auto"/>
        </w:rPr>
      </w:pPr>
    </w:p>
    <w:p>
      <w:pPr>
        <w:ind w:left="529" w:right="120"/>
        <w:spacing w:after="0" w:line="284" w:lineRule="auto"/>
        <w:rPr>
          <w:sz w:val="20"/>
          <w:szCs w:val="20"/>
          <w:color w:val="auto"/>
        </w:rPr>
      </w:pPr>
      <w:r>
        <w:rPr>
          <w:rFonts w:ascii="Arial" w:cs="Arial" w:eastAsia="Arial" w:hAnsi="Arial"/>
          <w:sz w:val="17"/>
          <w:szCs w:val="17"/>
          <w:color w:val="auto"/>
        </w:rPr>
        <w:t>Without prejudice to any accrued rights or claims, this Deed replaces and supersedes the notification letter between the parties of 4 December 2018.</w:t>
      </w:r>
    </w:p>
    <w:p>
      <w:pPr>
        <w:spacing w:after="0" w:line="295" w:lineRule="exact"/>
        <w:rPr>
          <w:sz w:val="20"/>
          <w:szCs w:val="20"/>
          <w:color w:val="auto"/>
        </w:rPr>
      </w:pPr>
    </w:p>
    <w:p>
      <w:pPr>
        <w:ind w:left="509" w:hanging="509"/>
        <w:spacing w:after="0"/>
        <w:tabs>
          <w:tab w:leader="none" w:pos="509" w:val="left"/>
        </w:tabs>
        <w:numPr>
          <w:ilvl w:val="0"/>
          <w:numId w:val="190"/>
        </w:numPr>
        <w:rPr>
          <w:rFonts w:ascii="Arial" w:cs="Arial" w:eastAsia="Arial" w:hAnsi="Arial"/>
          <w:sz w:val="17"/>
          <w:szCs w:val="17"/>
          <w:color w:val="auto"/>
        </w:rPr>
      </w:pPr>
      <w:r>
        <w:rPr>
          <w:rFonts w:ascii="Arial" w:cs="Arial" w:eastAsia="Arial" w:hAnsi="Arial"/>
          <w:sz w:val="17"/>
          <w:szCs w:val="17"/>
          <w:b w:val="1"/>
          <w:bCs w:val="1"/>
          <w:color w:val="auto"/>
        </w:rPr>
        <w:t>GOVERNING LAW</w:t>
      </w:r>
    </w:p>
    <w:p>
      <w:pPr>
        <w:spacing w:after="0" w:line="121" w:lineRule="exact"/>
        <w:rPr>
          <w:rFonts w:ascii="Arial" w:cs="Arial" w:eastAsia="Arial" w:hAnsi="Arial"/>
          <w:sz w:val="17"/>
          <w:szCs w:val="17"/>
          <w:color w:val="auto"/>
        </w:rPr>
      </w:pPr>
    </w:p>
    <w:p>
      <w:pPr>
        <w:ind w:left="529"/>
        <w:spacing w:after="0"/>
        <w:rPr>
          <w:rFonts w:ascii="Arial" w:cs="Arial" w:eastAsia="Arial" w:hAnsi="Arial"/>
          <w:sz w:val="17"/>
          <w:szCs w:val="17"/>
          <w:color w:val="auto"/>
        </w:rPr>
      </w:pPr>
      <w:r>
        <w:rPr>
          <w:rFonts w:ascii="Arial" w:cs="Arial" w:eastAsia="Arial" w:hAnsi="Arial"/>
          <w:sz w:val="17"/>
          <w:szCs w:val="17"/>
          <w:color w:val="auto"/>
        </w:rPr>
        <w:t>This Deed and any non-contractual obligations arising out of or in connection with it are governed by English law.</w:t>
      </w:r>
    </w:p>
    <w:p>
      <w:pPr>
        <w:spacing w:after="0" w:line="213"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This Deed has been entered into and delivered on the date stated at the beginning of this Deed.</w:t>
      </w:r>
    </w:p>
    <w:p>
      <w:pPr>
        <w:spacing w:after="0" w:line="160" w:lineRule="exact"/>
        <w:rPr>
          <w:sz w:val="20"/>
          <w:szCs w:val="20"/>
          <w:color w:val="auto"/>
        </w:rPr>
      </w:pPr>
    </w:p>
    <w:p>
      <w:pPr>
        <w:ind w:left="524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429"/>
          </w:cols>
          <w:pgMar w:left="671" w:top="263" w:right="79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SCHEDULE 1</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GUARANTORS</w:t>
      </w:r>
    </w:p>
    <w:p>
      <w:pPr>
        <w:spacing w:after="0" w:line="200"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color w:val="auto"/>
        </w:rPr>
        <w:t>MEREO BIOPHARMA 1 LIMITED</w:t>
      </w:r>
      <w:r>
        <w:rPr>
          <w:rFonts w:ascii="Arial" w:cs="Arial" w:eastAsia="Arial" w:hAnsi="Arial"/>
          <w:sz w:val="17"/>
          <w:szCs w:val="17"/>
          <w:color w:val="auto"/>
        </w:rPr>
        <w:t>, a limited liability company incorporated under the laws of England and Wales with company number 09646998</w:t>
      </w:r>
      <w:r>
        <w:rPr>
          <w:rFonts w:ascii="Arial" w:cs="Arial" w:eastAsia="Arial" w:hAnsi="Arial"/>
          <w:sz w:val="17"/>
          <w:szCs w:val="17"/>
          <w:b w:val="1"/>
          <w:bCs w:val="1"/>
          <w:color w:val="auto"/>
        </w:rPr>
        <w:t xml:space="preserve"> </w:t>
      </w:r>
      <w:r>
        <w:rPr>
          <w:rFonts w:ascii="Arial" w:cs="Arial" w:eastAsia="Arial" w:hAnsi="Arial"/>
          <w:sz w:val="17"/>
          <w:szCs w:val="17"/>
          <w:color w:val="auto"/>
        </w:rPr>
        <w:t>and its registered office at 4th Floor, One Cavendish Place, London, W1G 0QF, England;</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color w:val="auto"/>
        </w:rPr>
        <w:t>MEREO BIOPHARMA 2 LIMITED</w:t>
      </w:r>
      <w:r>
        <w:rPr>
          <w:rFonts w:ascii="Arial" w:cs="Arial" w:eastAsia="Arial" w:hAnsi="Arial"/>
          <w:sz w:val="17"/>
          <w:szCs w:val="17"/>
          <w:color w:val="auto"/>
        </w:rPr>
        <w:t>, a limited liability company incorporated under the laws of England and Wales with company number 09647035</w:t>
      </w:r>
      <w:r>
        <w:rPr>
          <w:rFonts w:ascii="Arial" w:cs="Arial" w:eastAsia="Arial" w:hAnsi="Arial"/>
          <w:sz w:val="17"/>
          <w:szCs w:val="17"/>
          <w:b w:val="1"/>
          <w:bCs w:val="1"/>
          <w:color w:val="auto"/>
        </w:rPr>
        <w:t xml:space="preserve"> </w:t>
      </w:r>
      <w:r>
        <w:rPr>
          <w:rFonts w:ascii="Arial" w:cs="Arial" w:eastAsia="Arial" w:hAnsi="Arial"/>
          <w:sz w:val="17"/>
          <w:szCs w:val="17"/>
          <w:color w:val="auto"/>
        </w:rPr>
        <w:t>and its registered office at 4th Floor, One Cavendish Place, London, W1G 0QF, England;</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color w:val="auto"/>
        </w:rPr>
        <w:t>MEREO BIOPHARMA 3 LIMITED</w:t>
      </w:r>
      <w:r>
        <w:rPr>
          <w:rFonts w:ascii="Arial" w:cs="Arial" w:eastAsia="Arial" w:hAnsi="Arial"/>
          <w:sz w:val="17"/>
          <w:szCs w:val="17"/>
          <w:color w:val="auto"/>
        </w:rPr>
        <w:t>, a limited liability company incorporated under the laws of England and Wales with company number 09647034</w:t>
      </w:r>
      <w:r>
        <w:rPr>
          <w:rFonts w:ascii="Arial" w:cs="Arial" w:eastAsia="Arial" w:hAnsi="Arial"/>
          <w:sz w:val="17"/>
          <w:szCs w:val="17"/>
          <w:b w:val="1"/>
          <w:bCs w:val="1"/>
          <w:color w:val="auto"/>
        </w:rPr>
        <w:t xml:space="preserve"> </w:t>
      </w:r>
      <w:r>
        <w:rPr>
          <w:rFonts w:ascii="Arial" w:cs="Arial" w:eastAsia="Arial" w:hAnsi="Arial"/>
          <w:sz w:val="17"/>
          <w:szCs w:val="17"/>
          <w:color w:val="auto"/>
        </w:rPr>
        <w:t>and its registered office at 4th Floor, One Cavendish Place, London, W1G 0QF, England;</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color w:val="auto"/>
        </w:rPr>
        <w:t>MEREO BIOPHARMA 4 LIMITED</w:t>
      </w:r>
      <w:r>
        <w:rPr>
          <w:rFonts w:ascii="Arial" w:cs="Arial" w:eastAsia="Arial" w:hAnsi="Arial"/>
          <w:sz w:val="17"/>
          <w:szCs w:val="17"/>
          <w:color w:val="auto"/>
        </w:rPr>
        <w:t>, a limited liability company incorporated under the laws of England and Wales with company number 11029583</w:t>
      </w:r>
      <w:r>
        <w:rPr>
          <w:rFonts w:ascii="Arial" w:cs="Arial" w:eastAsia="Arial" w:hAnsi="Arial"/>
          <w:sz w:val="17"/>
          <w:szCs w:val="17"/>
          <w:b w:val="1"/>
          <w:bCs w:val="1"/>
          <w:color w:val="auto"/>
        </w:rPr>
        <w:t xml:space="preserve"> </w:t>
      </w:r>
      <w:r>
        <w:rPr>
          <w:rFonts w:ascii="Arial" w:cs="Arial" w:eastAsia="Arial" w:hAnsi="Arial"/>
          <w:sz w:val="17"/>
          <w:szCs w:val="17"/>
          <w:color w:val="auto"/>
        </w:rPr>
        <w:t>and its registered office is at 4th Floor, One Cavendish Place, London, W1G 0QF, England; and</w:t>
      </w:r>
    </w:p>
    <w:p>
      <w:pPr>
        <w:spacing w:after="0" w:line="148"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b w:val="1"/>
          <w:bCs w:val="1"/>
          <w:color w:val="auto"/>
        </w:rPr>
        <w:t>MEREO BIOPHARMA IRELAND LIMITED</w:t>
      </w:r>
      <w:r>
        <w:rPr>
          <w:rFonts w:ascii="Arial" w:cs="Arial" w:eastAsia="Arial" w:hAnsi="Arial"/>
          <w:sz w:val="17"/>
          <w:szCs w:val="17"/>
          <w:color w:val="auto"/>
        </w:rPr>
        <w:t>, a limited liability company incorporated under the laws of the Republic of Ireland with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number 627891 and its registered office is at 25-28 North Wall Quay, Dublin 1, D01 H104, Ireland.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20"/>
          </w:cols>
          <w:pgMar w:left="680" w:top="264" w:right="699" w:bottom="1440" w:gutter="0" w:footer="0" w:header="0"/>
        </w:sectPr>
      </w:pPr>
    </w:p>
    <w:bookmarkStart w:id="245" w:name="page246"/>
    <w:bookmarkEnd w:id="245"/>
    <w:p>
      <w:pPr>
        <w:jc w:val="center"/>
        <w:ind w:right="-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SCHEDULE 2</w:t>
      </w:r>
    </w:p>
    <w:p>
      <w:pPr>
        <w:spacing w:after="0" w:line="30"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CONDITIONS PRECEDENT</w:t>
      </w:r>
    </w:p>
    <w:p>
      <w:pPr>
        <w:spacing w:after="0" w:line="232" w:lineRule="exact"/>
        <w:rPr>
          <w:sz w:val="20"/>
          <w:szCs w:val="20"/>
          <w:color w:val="auto"/>
        </w:rPr>
      </w:pPr>
    </w:p>
    <w:p>
      <w:pPr>
        <w:ind w:left="509" w:hanging="509"/>
        <w:spacing w:after="0" w:line="264" w:lineRule="auto"/>
        <w:tabs>
          <w:tab w:leader="none" w:pos="50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 certificate of a director of Obligors with respect to their constitutional documents and resolutions of the relevant corporate bodies (i) approving the terms of, and the transactions contemplated by, this Deed and resolving that it execute, deliver and perform this Deed, (ii) authorising a specified person or persons to execute this Deed, and (iii) authorising a specified person or persons, on its behalf, to sign and/or despatch all documents and notices to be signed and/or despatched by it under or in connection with this Deed.</w:t>
      </w:r>
    </w:p>
    <w:p>
      <w:pPr>
        <w:spacing w:after="0" w:line="85" w:lineRule="exact"/>
        <w:rPr>
          <w:sz w:val="20"/>
          <w:szCs w:val="20"/>
          <w:color w:val="auto"/>
        </w:rPr>
      </w:pPr>
    </w:p>
    <w:p>
      <w:pPr>
        <w:ind w:left="509" w:right="300" w:hanging="509"/>
        <w:spacing w:after="0" w:line="310" w:lineRule="auto"/>
        <w:tabs>
          <w:tab w:leader="none" w:pos="509"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The provision of a certified copy of the resolutions of each Obligor’s board of directors (other than in respect of the Borrower, which shall provide resolutions from its duly appointed M&amp;A Committee, which was constituted pursuant to a prior resolution of the directors of the Borrower at a board meeting of the Borrower on 19 October 2018 and whose authorities were further expanded at a board meeting of the Borrower on 4 April 2019) authorising the transactions contemplated by this Deed and the execution and delivery to the Lender of this Deed.</w:t>
      </w:r>
    </w:p>
    <w:p>
      <w:pPr>
        <w:spacing w:after="0" w:line="54" w:lineRule="exact"/>
        <w:rPr>
          <w:sz w:val="20"/>
          <w:szCs w:val="20"/>
          <w:color w:val="auto"/>
        </w:rPr>
      </w:pPr>
    </w:p>
    <w:p>
      <w:pPr>
        <w:ind w:left="509" w:right="180" w:hanging="509"/>
        <w:spacing w:after="0" w:line="269" w:lineRule="auto"/>
        <w:tabs>
          <w:tab w:leader="none" w:pos="509" w:val="left"/>
        </w:tabs>
        <w:numPr>
          <w:ilvl w:val="0"/>
          <w:numId w:val="193"/>
        </w:numPr>
        <w:rPr>
          <w:rFonts w:ascii="Arial" w:cs="Arial" w:eastAsia="Arial" w:hAnsi="Arial"/>
          <w:sz w:val="17"/>
          <w:szCs w:val="17"/>
          <w:color w:val="auto"/>
        </w:rPr>
      </w:pPr>
      <w:r>
        <w:rPr>
          <w:rFonts w:ascii="Arial" w:cs="Arial" w:eastAsia="Arial" w:hAnsi="Arial"/>
          <w:sz w:val="17"/>
          <w:szCs w:val="17"/>
          <w:color w:val="auto"/>
        </w:rPr>
        <w:t>Unless the certificate provided under paragraph above 1 specifies that the copy of such document provided under Clause 3 of the Original Facility Agreement remains up to date, certified copies of the Certificate of Incorporation and the Memorandum and Articles of Association of each Obligor.</w:t>
      </w:r>
    </w:p>
    <w:p>
      <w:pPr>
        <w:spacing w:after="0" w:line="81" w:lineRule="exact"/>
        <w:rPr>
          <w:sz w:val="20"/>
          <w:szCs w:val="20"/>
          <w:color w:val="auto"/>
        </w:rPr>
      </w:pPr>
    </w:p>
    <w:p>
      <w:pPr>
        <w:ind w:left="509" w:right="80" w:hanging="509"/>
        <w:spacing w:after="0" w:line="284" w:lineRule="auto"/>
        <w:tabs>
          <w:tab w:leader="none" w:pos="50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 copy of the certificate signed by the chief executive officer and the chief financial officer of the Borrower required to be delivered pursuant to section 8.3 of the OncoMed Merger Agreement.</w:t>
      </w:r>
    </w:p>
    <w:p>
      <w:pPr>
        <w:spacing w:after="0" w:line="68" w:lineRule="exact"/>
        <w:rPr>
          <w:sz w:val="20"/>
          <w:szCs w:val="20"/>
          <w:color w:val="auto"/>
        </w:rPr>
      </w:pPr>
    </w:p>
    <w:p>
      <w:pPr>
        <w:ind w:left="509" w:hanging="509"/>
        <w:spacing w:after="0"/>
        <w:tabs>
          <w:tab w:leader="none" w:pos="509"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Net Cash Calculation.</w:t>
      </w:r>
    </w:p>
    <w:p>
      <w:pPr>
        <w:spacing w:after="0" w:line="15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549"/>
          </w:cols>
          <w:pgMar w:left="671" w:top="264" w:right="679" w:bottom="1440" w:gutter="0" w:footer="0" w:header="0"/>
        </w:sectPr>
      </w:pPr>
    </w:p>
    <w:bookmarkStart w:id="246" w:name="page247"/>
    <w:bookmarkEnd w:id="246"/>
    <w:p>
      <w:pPr>
        <w:jc w:val="center"/>
        <w:ind w:right="-2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SCHEDULE 3</w:t>
      </w:r>
    </w:p>
    <w:p>
      <w:pPr>
        <w:spacing w:after="0" w:line="30" w:lineRule="exact"/>
        <w:rPr>
          <w:sz w:val="20"/>
          <w:szCs w:val="20"/>
          <w:color w:val="auto"/>
        </w:rPr>
      </w:pPr>
    </w:p>
    <w:p>
      <w:pPr>
        <w:jc w:val="center"/>
        <w:ind w:right="-28"/>
        <w:spacing w:after="0"/>
        <w:rPr>
          <w:sz w:val="20"/>
          <w:szCs w:val="20"/>
          <w:color w:val="auto"/>
        </w:rPr>
      </w:pPr>
      <w:r>
        <w:rPr>
          <w:rFonts w:ascii="Arial" w:cs="Arial" w:eastAsia="Arial" w:hAnsi="Arial"/>
          <w:sz w:val="17"/>
          <w:szCs w:val="17"/>
          <w:b w:val="1"/>
          <w:bCs w:val="1"/>
          <w:color w:val="auto"/>
        </w:rPr>
        <w:t>CLEAN UP ACTIONS</w:t>
      </w:r>
    </w:p>
    <w:p>
      <w:pPr>
        <w:spacing w:after="0" w:line="232" w:lineRule="exact"/>
        <w:rPr>
          <w:sz w:val="20"/>
          <w:szCs w:val="20"/>
          <w:color w:val="auto"/>
        </w:rPr>
      </w:pPr>
    </w:p>
    <w:p>
      <w:pPr>
        <w:ind w:left="509" w:hanging="509"/>
        <w:spacing w:after="0" w:line="258" w:lineRule="auto"/>
        <w:tabs>
          <w:tab w:leader="none" w:pos="509" w:val="left"/>
        </w:tabs>
        <w:numPr>
          <w:ilvl w:val="0"/>
          <w:numId w:val="196"/>
        </w:numPr>
        <w:rPr>
          <w:rFonts w:ascii="Arial" w:cs="Arial" w:eastAsia="Arial" w:hAnsi="Arial"/>
          <w:sz w:val="17"/>
          <w:szCs w:val="17"/>
          <w:color w:val="auto"/>
        </w:rPr>
      </w:pPr>
      <w:r>
        <w:rPr>
          <w:rFonts w:ascii="Arial" w:cs="Arial" w:eastAsia="Arial" w:hAnsi="Arial"/>
          <w:sz w:val="17"/>
          <w:szCs w:val="17"/>
          <w:color w:val="auto"/>
        </w:rPr>
        <w:t>Subject to clause 10.4 (IP Filings), each Obligor shall instruct its patent agents or appropriate local counsel, to prepare and deliver the documents required to register the Lenders’ security interests over the material Patents (other than any OncoMed Restricted Assets (as defined in the Amended Facility Agreement)) which exist as at the OncoMed Acquisition Date to the patent registries of UK, USA as soon as possible and in any event by no later than expiry of the Clean Up Period and thereafter use all commercially reasonable endeavours to achieve registration of the Lenders’ security interests thereon. If any objection or challenge to such registration is received or if any delay in such registration occurs or is likely to occur, the relevant Obligor shall forthwith inform the Agent thereof, and, without prejudice to the Lenders rights hereunder, agree how to deal with such objection, challenge or delay. The Agent may, after having provided not less than 10 Business Days’ notice to the Borrower of its intention to do the following, take on the registration process from the Borrower at the cost of and with the continuing assistance of the Borrower at any time.</w:t>
      </w:r>
    </w:p>
    <w:p>
      <w:pPr>
        <w:spacing w:after="0" w:line="90" w:lineRule="exact"/>
        <w:rPr>
          <w:sz w:val="20"/>
          <w:szCs w:val="20"/>
          <w:color w:val="auto"/>
        </w:rPr>
      </w:pPr>
    </w:p>
    <w:p>
      <w:pPr>
        <w:ind w:left="509" w:right="760" w:hanging="509"/>
        <w:spacing w:after="0" w:line="284" w:lineRule="auto"/>
        <w:tabs>
          <w:tab w:leader="none" w:pos="509"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 security agreement in a form approved by the Lenders over the OncoMed Assets consistent with clause 8.2 of the Amended Facility Agreement.</w:t>
      </w:r>
    </w:p>
    <w:p>
      <w:pPr>
        <w:spacing w:after="0" w:line="68" w:lineRule="exact"/>
        <w:rPr>
          <w:sz w:val="20"/>
          <w:szCs w:val="20"/>
          <w:color w:val="auto"/>
        </w:rPr>
      </w:pPr>
    </w:p>
    <w:p>
      <w:pPr>
        <w:ind w:left="509" w:hanging="509"/>
        <w:spacing w:after="0"/>
        <w:tabs>
          <w:tab w:leader="none" w:pos="50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 Perfection Certificate in respect of OncoMed Target, Mereo US Holdings and NAVI Sub.</w:t>
      </w:r>
    </w:p>
    <w:p>
      <w:pPr>
        <w:spacing w:after="0" w:line="128" w:lineRule="exact"/>
        <w:rPr>
          <w:sz w:val="20"/>
          <w:szCs w:val="20"/>
          <w:color w:val="auto"/>
        </w:rPr>
      </w:pPr>
    </w:p>
    <w:p>
      <w:pPr>
        <w:ind w:left="5209" w:right="3320" w:hanging="5209"/>
        <w:spacing w:after="0" w:line="459" w:lineRule="auto"/>
        <w:tabs>
          <w:tab w:leader="none" w:pos="52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 Deed of Accession in respect of each of OncoMed Target, Mereo US Holdings and NAVI Sub. 11</w:t>
      </w:r>
    </w:p>
    <w:p>
      <w:pPr>
        <w:sectPr>
          <w:pgSz w:w="11900" w:h="16838" w:orient="portrait"/>
          <w:cols w:equalWidth="0" w:num="1">
            <w:col w:w="10549"/>
          </w:cols>
          <w:pgMar w:left="671" w:top="264" w:right="679" w:bottom="1440" w:gutter="0" w:footer="0" w:header="0"/>
        </w:sectPr>
      </w:pPr>
    </w:p>
    <w:bookmarkStart w:id="247" w:name="page248"/>
    <w:bookmarkEnd w:id="247"/>
    <w:p>
      <w:pPr>
        <w:ind w:left="474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SCHEDULE 4</w:t>
      </w:r>
    </w:p>
    <w:p>
      <w:pPr>
        <w:spacing w:after="0" w:line="30" w:lineRule="exact"/>
        <w:rPr>
          <w:sz w:val="20"/>
          <w:szCs w:val="20"/>
          <w:color w:val="auto"/>
        </w:rPr>
      </w:pPr>
    </w:p>
    <w:p>
      <w:pPr>
        <w:ind w:left="4689"/>
        <w:spacing w:after="0"/>
        <w:rPr>
          <w:sz w:val="20"/>
          <w:szCs w:val="20"/>
          <w:color w:val="auto"/>
        </w:rPr>
      </w:pPr>
      <w:r>
        <w:rPr>
          <w:rFonts w:ascii="Arial" w:cs="Arial" w:eastAsia="Arial" w:hAnsi="Arial"/>
          <w:sz w:val="17"/>
          <w:szCs w:val="17"/>
          <w:b w:val="1"/>
          <w:bCs w:val="1"/>
          <w:color w:val="auto"/>
        </w:rPr>
        <w:t>WARRANTIES</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17"/>
          <w:szCs w:val="17"/>
          <w:color w:val="auto"/>
        </w:rPr>
        <w:t>Each Warrantor, as the case may be, represents and warrants to the Finance Parties as follows:</w:t>
      </w:r>
    </w:p>
    <w:p>
      <w:pPr>
        <w:spacing w:after="0" w:line="355" w:lineRule="exact"/>
        <w:rPr>
          <w:sz w:val="20"/>
          <w:szCs w:val="20"/>
          <w:color w:val="auto"/>
        </w:rPr>
      </w:pPr>
    </w:p>
    <w:p>
      <w:pPr>
        <w:ind w:left="509" w:hanging="509"/>
        <w:spacing w:after="0"/>
        <w:tabs>
          <w:tab w:leader="none" w:pos="509" w:val="left"/>
        </w:tabs>
        <w:numPr>
          <w:ilvl w:val="0"/>
          <w:numId w:val="200"/>
        </w:numPr>
        <w:rPr>
          <w:rFonts w:ascii="Arial" w:cs="Arial" w:eastAsia="Arial" w:hAnsi="Arial"/>
          <w:sz w:val="17"/>
          <w:szCs w:val="17"/>
          <w:color w:val="auto"/>
        </w:rPr>
      </w:pPr>
      <w:r>
        <w:rPr>
          <w:rFonts w:ascii="Arial" w:cs="Arial" w:eastAsia="Arial" w:hAnsi="Arial"/>
          <w:sz w:val="17"/>
          <w:szCs w:val="17"/>
          <w:b w:val="1"/>
          <w:bCs w:val="1"/>
          <w:color w:val="auto"/>
        </w:rPr>
        <w:t>DUE INCORPORATION AND AUTHORISATION; POWER AND AUTHORITY</w:t>
      </w:r>
    </w:p>
    <w:p>
      <w:pPr>
        <w:spacing w:after="0" w:line="134" w:lineRule="exact"/>
        <w:rPr>
          <w:sz w:val="20"/>
          <w:szCs w:val="20"/>
          <w:color w:val="auto"/>
        </w:rPr>
      </w:pPr>
    </w:p>
    <w:p>
      <w:pPr>
        <w:ind w:left="509" w:right="20" w:hanging="517"/>
        <w:spacing w:after="0" w:line="290" w:lineRule="auto"/>
        <w:tabs>
          <w:tab w:leader="none" w:pos="489"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 xml:space="preserve">The Borrower is a public company and each Guarantor is a private company with limited liability, duly incorporated and validly existing under the laws of England and Wales (save in respect of Guarantor 5, which is duly incorporated and validly existing under the laws of the Republic of Ireland) and has power to carry on its business as it is now being conducted and to own its property and other assets. In connection with this Deed, the Borrower has previously delivered to the Agent a certificate signed by it and, entitled “Perfection Certificate” (the </w:t>
      </w:r>
      <w:r>
        <w:rPr>
          <w:rFonts w:ascii="Arial" w:cs="Arial" w:eastAsia="Arial" w:hAnsi="Arial"/>
          <w:sz w:val="15"/>
          <w:szCs w:val="15"/>
          <w:b w:val="1"/>
          <w:bCs w:val="1"/>
          <w:color w:val="auto"/>
        </w:rPr>
        <w:t>Perfection</w:t>
      </w:r>
      <w:r>
        <w:rPr>
          <w:rFonts w:ascii="Arial" w:cs="Arial" w:eastAsia="Arial" w:hAnsi="Arial"/>
          <w:sz w:val="15"/>
          <w:szCs w:val="15"/>
          <w:color w:val="auto"/>
        </w:rPr>
        <w:t xml:space="preserve"> </w:t>
      </w:r>
      <w:r>
        <w:rPr>
          <w:rFonts w:ascii="Arial" w:cs="Arial" w:eastAsia="Arial" w:hAnsi="Arial"/>
          <w:sz w:val="15"/>
          <w:szCs w:val="15"/>
          <w:b w:val="1"/>
          <w:bCs w:val="1"/>
          <w:color w:val="auto"/>
        </w:rPr>
        <w:t>Certificate</w:t>
      </w:r>
      <w:r>
        <w:rPr>
          <w:rFonts w:ascii="Arial" w:cs="Arial" w:eastAsia="Arial" w:hAnsi="Arial"/>
          <w:sz w:val="15"/>
          <w:szCs w:val="15"/>
          <w:color w:val="auto"/>
        </w:rPr>
        <w:t>) relating to itself and each Guarantor. Each Obligor represents and warrants to the Finance Parties that: (a) its exact legal name is that</w:t>
      </w:r>
      <w:r>
        <w:rPr>
          <w:rFonts w:ascii="Arial" w:cs="Arial" w:eastAsia="Arial" w:hAnsi="Arial"/>
          <w:sz w:val="15"/>
          <w:szCs w:val="15"/>
          <w:b w:val="1"/>
          <w:bCs w:val="1"/>
          <w:color w:val="auto"/>
        </w:rPr>
        <w:t xml:space="preserve"> </w:t>
      </w:r>
      <w:r>
        <w:rPr>
          <w:rFonts w:ascii="Arial" w:cs="Arial" w:eastAsia="Arial" w:hAnsi="Arial"/>
          <w:sz w:val="15"/>
          <w:szCs w:val="15"/>
          <w:color w:val="auto"/>
        </w:rPr>
        <w:t>indicated on the Perfection Certificate and on the signature page hereof; and (b) it is an organisation of the type, and is incorporated in the jurisdiction, set out in the Perfection Certificate; and (c) the Perfection Certificate accurately sets out each Obligor’s registered number; and</w:t>
      </w:r>
    </w:p>
    <w:p>
      <w:pPr>
        <w:spacing w:after="0" w:line="4" w:lineRule="exact"/>
        <w:rPr>
          <w:sz w:val="20"/>
          <w:szCs w:val="20"/>
          <w:color w:val="auto"/>
        </w:rPr>
      </w:pPr>
    </w:p>
    <w:p>
      <w:pPr>
        <w:ind w:left="509" w:right="80" w:firstLine="9"/>
        <w:spacing w:after="0" w:line="285" w:lineRule="auto"/>
        <w:tabs>
          <w:tab w:leader="none" w:pos="75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Perfection Certificate accurately sets out such Obligor’s corporate seat and its registered office as well as such Obligor’s postal address if different from its registered office, and (e) all other information set out in the Perfection Certificate pertaining to such Obligor and each of its Subsidiaries including as to its assets and liabilities, the material Copyrights, Trademarks and Patents is accurate and complete.</w:t>
      </w:r>
    </w:p>
    <w:p>
      <w:pPr>
        <w:spacing w:after="0" w:line="70" w:lineRule="exact"/>
        <w:rPr>
          <w:sz w:val="20"/>
          <w:szCs w:val="20"/>
          <w:color w:val="auto"/>
        </w:rPr>
      </w:pPr>
    </w:p>
    <w:p>
      <w:pPr>
        <w:ind w:left="509" w:hanging="517"/>
        <w:spacing w:after="0" w:line="258" w:lineRule="auto"/>
        <w:tabs>
          <w:tab w:leader="none" w:pos="489"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The execution, delivery and performance of this Deed and the other Loan Documents to which any Obligor is a party are within the corporate powers of such Obligor, have been duly authorised by all necessary corporate and other action and do not and will not conflict with (i) any law or regulation applicable to it; (ii) the constitutional documents of such Obligor or any other organisational documents; (iii) any agreement or instrument binding on such Obligor or (iv) require any action by, filing, registration, or qualification with, or Governmental Approval from, any Governmental Authority (except such Governmental Approvals which have already been obtained and are in full force and effect and customary filings with any Governmental Authority necessary to register or perfect any Lien created pursuant to the Loan Documents) or (v) constitute an event of default under any material agreement by which such Obligor is bound. Each Obligor is not in default under any agreement to which it is a party or by which it or its assets are bound in which the default could reasonably be expected to have a material adverse effect on such Obligor’s business.</w:t>
      </w:r>
    </w:p>
    <w:p>
      <w:pPr>
        <w:spacing w:after="0" w:line="317" w:lineRule="exact"/>
        <w:rPr>
          <w:sz w:val="20"/>
          <w:szCs w:val="20"/>
          <w:color w:val="auto"/>
        </w:rPr>
      </w:pPr>
    </w:p>
    <w:p>
      <w:pPr>
        <w:ind w:left="509" w:hanging="509"/>
        <w:spacing w:after="0"/>
        <w:tabs>
          <w:tab w:leader="none" w:pos="509"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COLLATERAL</w:t>
      </w:r>
    </w:p>
    <w:p>
      <w:pPr>
        <w:spacing w:after="0" w:line="134" w:lineRule="exact"/>
        <w:rPr>
          <w:sz w:val="20"/>
          <w:szCs w:val="20"/>
          <w:color w:val="auto"/>
        </w:rPr>
      </w:pPr>
    </w:p>
    <w:p>
      <w:pPr>
        <w:ind w:left="509" w:right="140" w:hanging="517"/>
        <w:spacing w:after="0" w:line="321" w:lineRule="auto"/>
        <w:tabs>
          <w:tab w:leader="none" w:pos="489"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Each Obligor has good title to the Collateral, free of Liens except Permitted Liens or any Lien arising in the ordinary course of business of such Obligor which is discharged in the ordinary course of business of such Obligor. Each Obligor has no deposit accounts other than the deposit accounts, if any, described in the Perfection Certificate delivered to Agent in connection herewith, or of which such Obligor has given Agent</w:t>
      </w:r>
    </w:p>
    <w:p>
      <w:pPr>
        <w:spacing w:after="0" w:line="7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569"/>
          </w:cols>
          <w:pgMar w:left="671" w:top="264" w:right="659" w:bottom="1440" w:gutter="0" w:footer="0" w:header="0"/>
        </w:sectPr>
      </w:pPr>
    </w:p>
    <w:bookmarkStart w:id="248" w:name="page249"/>
    <w:bookmarkEnd w:id="248"/>
    <w:p>
      <w:pPr>
        <w:ind w:left="509" w:right="140"/>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notice and taken such actions as are necessary to give Security Agent a perfected security interest therein. The Accounts are bona fide, existing obligations of each relevant Account Debtor.</w:t>
      </w:r>
    </w:p>
    <w:p>
      <w:pPr>
        <w:spacing w:after="0" w:line="68" w:lineRule="exact"/>
        <w:rPr>
          <w:sz w:val="20"/>
          <w:szCs w:val="20"/>
          <w:color w:val="auto"/>
        </w:rPr>
      </w:pPr>
    </w:p>
    <w:p>
      <w:pPr>
        <w:ind w:left="509" w:right="80" w:hanging="517"/>
        <w:spacing w:after="0" w:line="269" w:lineRule="auto"/>
        <w:tabs>
          <w:tab w:leader="none" w:pos="489"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The Collateral is not in the possession of any third party bailee (such as a warehouse) except as otherwise provided in the Perfection Certificate. None of the components of any tangible Collateral shall be maintained at locations other than as provided in the Perfection Certificate or as permitted pursuant to clause 9.6 (</w:t>
      </w:r>
      <w:r>
        <w:rPr>
          <w:rFonts w:ascii="Arial" w:cs="Arial" w:eastAsia="Arial" w:hAnsi="Arial"/>
          <w:sz w:val="17"/>
          <w:szCs w:val="17"/>
          <w:i w:val="1"/>
          <w:iCs w:val="1"/>
          <w:color w:val="auto"/>
        </w:rPr>
        <w:t>Encumbrance</w:t>
      </w:r>
      <w:r>
        <w:rPr>
          <w:rFonts w:ascii="Arial" w:cs="Arial" w:eastAsia="Arial" w:hAnsi="Arial"/>
          <w:sz w:val="17"/>
          <w:szCs w:val="17"/>
          <w:color w:val="auto"/>
        </w:rPr>
        <w:t>).</w:t>
      </w:r>
    </w:p>
    <w:p>
      <w:pPr>
        <w:spacing w:after="0" w:line="81" w:lineRule="exact"/>
        <w:rPr>
          <w:sz w:val="20"/>
          <w:szCs w:val="20"/>
          <w:color w:val="auto"/>
        </w:rPr>
      </w:pPr>
    </w:p>
    <w:p>
      <w:pPr>
        <w:ind w:left="509" w:right="20" w:hanging="517"/>
        <w:spacing w:after="0" w:line="297" w:lineRule="auto"/>
        <w:tabs>
          <w:tab w:leader="none" w:pos="489"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Each Obligor is the sole owner of the Intellectual Property which it owns or purports to own except for (a) non-exclusive licences granted to its customers, agents, partners or suppliers, in the ordinary course of business, (b) over-the-counter software that is commercially available to the public, and (c) material Intellectual Property licensed or sub-licensed to such Obligor and noted on the Perfection Certificate. Save in respect of any Permitted Liens, each Obligor’s Intellectual Property is not subject to any Liens. To the knowledge of each Obligor, each Patent which it owns or purports to own and which is material to such Obligor’s business is valid and enforceable, and no part of the Intellectual Property which Borrower owns or purports to own and which is material to such Obligor’s business has been adjudged invalid or unenforceable, in whole or in part. To the best of each Obligor’s knowledge, no claim has been made that any part of the Intellectual Property infringes the rights of any third party except to the extent such claim would not reasonably be expected to have a material adverse effect on such Obligor’s business.</w:t>
      </w:r>
    </w:p>
    <w:p>
      <w:pPr>
        <w:spacing w:after="0" w:line="66"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Except as noted on the Perfection Certificate, each Obligor is not a party to, nor is it bound by, any Restricted Licence.</w:t>
      </w:r>
    </w:p>
    <w:p>
      <w:pPr>
        <w:spacing w:after="0" w:line="355" w:lineRule="exact"/>
        <w:rPr>
          <w:sz w:val="20"/>
          <w:szCs w:val="20"/>
          <w:color w:val="auto"/>
        </w:rPr>
      </w:pPr>
    </w:p>
    <w:p>
      <w:pPr>
        <w:ind w:left="509" w:hanging="509"/>
        <w:spacing w:after="0"/>
        <w:tabs>
          <w:tab w:leader="none" w:pos="509" w:val="left"/>
        </w:tabs>
        <w:numPr>
          <w:ilvl w:val="0"/>
          <w:numId w:val="203"/>
        </w:numPr>
        <w:rPr>
          <w:rFonts w:ascii="Arial" w:cs="Arial" w:eastAsia="Arial" w:hAnsi="Arial"/>
          <w:sz w:val="17"/>
          <w:szCs w:val="17"/>
          <w:color w:val="auto"/>
        </w:rPr>
      </w:pPr>
      <w:r>
        <w:rPr>
          <w:rFonts w:ascii="Arial" w:cs="Arial" w:eastAsia="Arial" w:hAnsi="Arial"/>
          <w:sz w:val="17"/>
          <w:szCs w:val="17"/>
          <w:b w:val="1"/>
          <w:bCs w:val="1"/>
          <w:color w:val="auto"/>
        </w:rPr>
        <w:t>LITIGATION</w:t>
      </w:r>
    </w:p>
    <w:p>
      <w:pPr>
        <w:spacing w:after="0" w:line="121" w:lineRule="exact"/>
        <w:rPr>
          <w:rFonts w:ascii="Arial" w:cs="Arial" w:eastAsia="Arial" w:hAnsi="Arial"/>
          <w:sz w:val="17"/>
          <w:szCs w:val="17"/>
          <w:color w:val="auto"/>
        </w:rPr>
      </w:pPr>
    </w:p>
    <w:p>
      <w:pPr>
        <w:ind w:left="529"/>
        <w:spacing w:after="0" w:line="261" w:lineRule="auto"/>
        <w:rPr>
          <w:rFonts w:ascii="Arial" w:cs="Arial" w:eastAsia="Arial" w:hAnsi="Arial"/>
          <w:sz w:val="17"/>
          <w:szCs w:val="17"/>
          <w:color w:val="auto"/>
        </w:rPr>
      </w:pPr>
      <w:r>
        <w:rPr>
          <w:rFonts w:ascii="Arial" w:cs="Arial" w:eastAsia="Arial" w:hAnsi="Arial"/>
          <w:sz w:val="17"/>
          <w:szCs w:val="17"/>
          <w:color w:val="auto"/>
        </w:rPr>
        <w:t>There are no actions or proceedings pending or, to the knowledge of such Obligor’s Responsible Officers or legal counsel, threatened (save for any speculative claims by employees or former employees or oppositions to any third party intellectual property filings in the ordinary course of an Obligor’s protection of its intellectual property rights) by or against such Obligor or any of its Subsidiaries or Affiliates (other than Mereo US Holdings and its Subsidiaries), involving more than, individually or in the aggregate, One Hundred Thousand Pounds (£100,000) (or its equivalent in any other currency).</w:t>
      </w:r>
    </w:p>
    <w:p>
      <w:pPr>
        <w:spacing w:after="0" w:line="317" w:lineRule="exact"/>
        <w:rPr>
          <w:sz w:val="20"/>
          <w:szCs w:val="20"/>
          <w:color w:val="auto"/>
        </w:rPr>
      </w:pPr>
    </w:p>
    <w:p>
      <w:pPr>
        <w:ind w:left="509" w:hanging="509"/>
        <w:spacing w:after="0"/>
        <w:tabs>
          <w:tab w:leader="none" w:pos="509" w:val="left"/>
        </w:tabs>
        <w:numPr>
          <w:ilvl w:val="0"/>
          <w:numId w:val="204"/>
        </w:numPr>
        <w:rPr>
          <w:rFonts w:ascii="Arial" w:cs="Arial" w:eastAsia="Arial" w:hAnsi="Arial"/>
          <w:sz w:val="17"/>
          <w:szCs w:val="17"/>
          <w:color w:val="auto"/>
        </w:rPr>
      </w:pPr>
      <w:r>
        <w:rPr>
          <w:rFonts w:ascii="Arial" w:cs="Arial" w:eastAsia="Arial" w:hAnsi="Arial"/>
          <w:sz w:val="17"/>
          <w:szCs w:val="17"/>
          <w:b w:val="1"/>
          <w:bCs w:val="1"/>
          <w:color w:val="auto"/>
        </w:rPr>
        <w:t>FINANCIAL STATEMENTS; FINANCIAL CONDITION</w:t>
      </w:r>
    </w:p>
    <w:p>
      <w:pPr>
        <w:spacing w:after="0" w:line="134" w:lineRule="exact"/>
        <w:rPr>
          <w:sz w:val="20"/>
          <w:szCs w:val="20"/>
          <w:color w:val="auto"/>
        </w:rPr>
      </w:pPr>
    </w:p>
    <w:p>
      <w:pPr>
        <w:jc w:val="both"/>
        <w:ind w:left="509" w:right="100" w:hanging="517"/>
        <w:spacing w:after="0" w:line="321" w:lineRule="auto"/>
        <w:tabs>
          <w:tab w:leader="none" w:pos="489"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All consolidated financial statements for the Obligors and any of their Subsidiaries and/or Affiliates (if any) (other than Mereo US Holding and its Subsidiaries) truly and fairly present the Group’s financial condition and results of operations. There has not been any material deterioration in the Group’s assets, liabilities, financial condition or prospects as a whole since the date of such financial statements (</w:t>
      </w:r>
      <w:r>
        <w:rPr>
          <w:rFonts w:ascii="Arial" w:cs="Arial" w:eastAsia="Arial" w:hAnsi="Arial"/>
          <w:sz w:val="15"/>
          <w:szCs w:val="15"/>
          <w:b w:val="1"/>
          <w:bCs w:val="1"/>
          <w:color w:val="auto"/>
        </w:rPr>
        <w:t>Accounts Date</w:t>
      </w:r>
      <w:r>
        <w:rPr>
          <w:rFonts w:ascii="Arial" w:cs="Arial" w:eastAsia="Arial" w:hAnsi="Arial"/>
          <w:sz w:val="15"/>
          <w:szCs w:val="15"/>
          <w:color w:val="auto"/>
        </w:rPr>
        <w:t>).</w:t>
      </w:r>
    </w:p>
    <w:p>
      <w:pPr>
        <w:spacing w:after="0" w:line="46"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The unaudited consolidated management accounts of the Borrower and its Subsidiaries since the Accounts Date up to 28 February 2019</w:t>
      </w:r>
    </w:p>
    <w:p>
      <w:pPr>
        <w:spacing w:after="0" w:line="24" w:lineRule="exact"/>
        <w:rPr>
          <w:sz w:val="20"/>
          <w:szCs w:val="20"/>
          <w:color w:val="auto"/>
        </w:rPr>
      </w:pPr>
    </w:p>
    <w:p>
      <w:pPr>
        <w:ind w:left="50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Management Accounts Date</w:t>
      </w:r>
      <w:r>
        <w:rPr>
          <w:rFonts w:ascii="Arial" w:cs="Arial" w:eastAsia="Arial" w:hAnsi="Arial"/>
          <w:sz w:val="15"/>
          <w:szCs w:val="15"/>
          <w:color w:val="auto"/>
        </w:rPr>
        <w:t>) fairly present the assets, liabilities, financial condition and prospects of the Group and so far as the Borrower is</w:t>
      </w:r>
    </w:p>
    <w:p>
      <w:pPr>
        <w:spacing w:after="0" w:line="35" w:lineRule="exact"/>
        <w:rPr>
          <w:sz w:val="20"/>
          <w:szCs w:val="20"/>
          <w:color w:val="auto"/>
        </w:rPr>
      </w:pPr>
    </w:p>
    <w:p>
      <w:pPr>
        <w:ind w:left="509"/>
        <w:spacing w:after="0"/>
        <w:rPr>
          <w:sz w:val="20"/>
          <w:szCs w:val="20"/>
          <w:color w:val="auto"/>
        </w:rPr>
      </w:pPr>
      <w:r>
        <w:rPr>
          <w:rFonts w:ascii="Arial" w:cs="Arial" w:eastAsia="Arial" w:hAnsi="Arial"/>
          <w:sz w:val="16"/>
          <w:szCs w:val="16"/>
          <w:color w:val="auto"/>
        </w:rPr>
        <w:t>aware there has been no material deterioration in the Group’s assets, financial condition or prospects since the Management Accounts Date.</w:t>
      </w:r>
    </w:p>
    <w:p>
      <w:pPr>
        <w:spacing w:after="0" w:line="153"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529"/>
          </w:cols>
          <w:pgMar w:left="671" w:top="269" w:right="699" w:bottom="1440" w:gutter="0" w:footer="0" w:header="0"/>
        </w:sectPr>
      </w:pPr>
    </w:p>
    <w:bookmarkStart w:id="249" w:name="page250"/>
    <w:bookmarkEnd w:id="249"/>
    <w:p>
      <w:pPr>
        <w:ind w:left="509" w:hanging="509"/>
        <w:spacing w:after="0"/>
        <w:tabs>
          <w:tab w:leader="none" w:pos="509"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FORECASTS AND PROJECTIONS</w:t>
      </w:r>
    </w:p>
    <w:p>
      <w:pPr>
        <w:spacing w:after="0" w:line="121" w:lineRule="exact"/>
        <w:rPr>
          <w:rFonts w:ascii="Arial" w:cs="Arial" w:eastAsia="Arial" w:hAnsi="Arial"/>
          <w:sz w:val="17"/>
          <w:szCs w:val="17"/>
          <w:color w:val="auto"/>
        </w:rPr>
      </w:pPr>
    </w:p>
    <w:p>
      <w:pPr>
        <w:ind w:left="529" w:right="460"/>
        <w:spacing w:after="0" w:line="284" w:lineRule="auto"/>
        <w:rPr>
          <w:rFonts w:ascii="Arial" w:cs="Arial" w:eastAsia="Arial" w:hAnsi="Arial"/>
          <w:sz w:val="17"/>
          <w:szCs w:val="17"/>
          <w:color w:val="auto"/>
        </w:rPr>
      </w:pPr>
      <w:r>
        <w:rPr>
          <w:rFonts w:ascii="Arial" w:cs="Arial" w:eastAsia="Arial" w:hAnsi="Arial"/>
          <w:sz w:val="17"/>
          <w:szCs w:val="17"/>
          <w:color w:val="auto"/>
        </w:rPr>
        <w:t>All unaudited forecasts and projections supplied by or on behalf of an Obligor to the Agent were carefully prepared and believed by such Obligor to be not misleading in any material respect at the date on which they were provided.</w:t>
      </w:r>
    </w:p>
    <w:p>
      <w:pPr>
        <w:spacing w:after="0" w:line="295" w:lineRule="exact"/>
        <w:rPr>
          <w:sz w:val="20"/>
          <w:szCs w:val="20"/>
          <w:color w:val="auto"/>
        </w:rPr>
      </w:pPr>
    </w:p>
    <w:p>
      <w:pPr>
        <w:ind w:left="529" w:right="8980" w:hanging="529"/>
        <w:spacing w:after="0" w:line="393" w:lineRule="auto"/>
        <w:tabs>
          <w:tab w:leader="none" w:pos="519" w:val="left"/>
        </w:tabs>
        <w:numPr>
          <w:ilvl w:val="0"/>
          <w:numId w:val="206"/>
        </w:numPr>
        <w:rPr>
          <w:rFonts w:ascii="Arial" w:cs="Arial" w:eastAsia="Arial" w:hAnsi="Arial"/>
          <w:sz w:val="17"/>
          <w:szCs w:val="17"/>
          <w:color w:val="auto"/>
        </w:rPr>
      </w:pPr>
      <w:r>
        <w:rPr>
          <w:rFonts w:ascii="Arial" w:cs="Arial" w:eastAsia="Arial" w:hAnsi="Arial"/>
          <w:sz w:val="17"/>
          <w:szCs w:val="17"/>
          <w:b w:val="1"/>
          <w:bCs w:val="1"/>
          <w:color w:val="auto"/>
        </w:rPr>
        <w:t xml:space="preserve">SOLVENCY </w:t>
      </w:r>
      <w:r>
        <w:rPr>
          <w:rFonts w:ascii="Arial" w:cs="Arial" w:eastAsia="Arial" w:hAnsi="Arial"/>
          <w:sz w:val="17"/>
          <w:szCs w:val="17"/>
          <w:color w:val="auto"/>
        </w:rPr>
        <w:t>No:</w:t>
      </w:r>
    </w:p>
    <w:p>
      <w:pPr>
        <w:ind w:left="509"/>
        <w:spacing w:after="0"/>
        <w:rPr>
          <w:rFonts w:ascii="Arial" w:cs="Arial" w:eastAsia="Arial" w:hAnsi="Arial"/>
          <w:sz w:val="17"/>
          <w:szCs w:val="17"/>
          <w:color w:val="auto"/>
        </w:rPr>
      </w:pPr>
      <w:r>
        <w:rPr>
          <w:rFonts w:ascii="Arial" w:cs="Arial" w:eastAsia="Arial" w:hAnsi="Arial"/>
          <w:sz w:val="17"/>
          <w:szCs w:val="17"/>
          <w:color w:val="auto"/>
        </w:rPr>
        <w:t>6.1.1</w:t>
      </w:r>
      <w:r>
        <w:rPr>
          <w:rFonts w:ascii="Arial" w:cs="Arial" w:eastAsia="Arial" w:hAnsi="Arial"/>
          <w:sz w:val="15"/>
          <w:szCs w:val="15"/>
          <w:color w:val="auto"/>
        </w:rPr>
        <w:t>corporate action, legal proceeding or other procedure or step described in clause 10.5 (</w:t>
      </w:r>
      <w:r>
        <w:rPr>
          <w:rFonts w:ascii="Arial" w:cs="Arial" w:eastAsia="Arial" w:hAnsi="Arial"/>
          <w:sz w:val="15"/>
          <w:szCs w:val="15"/>
          <w:i w:val="1"/>
          <w:iCs w:val="1"/>
          <w:color w:val="auto"/>
        </w:rPr>
        <w:t>Insolvency and insolvency proceedings</w:t>
      </w:r>
      <w:r>
        <w:rPr>
          <w:rFonts w:ascii="Arial" w:cs="Arial" w:eastAsia="Arial" w:hAnsi="Arial"/>
          <w:sz w:val="15"/>
          <w:szCs w:val="15"/>
          <w:color w:val="auto"/>
        </w:rPr>
        <w:t>); or</w:t>
      </w:r>
    </w:p>
    <w:p>
      <w:pPr>
        <w:spacing w:after="0" w:line="128" w:lineRule="exact"/>
        <w:rPr>
          <w:rFonts w:ascii="Arial" w:cs="Arial" w:eastAsia="Arial" w:hAnsi="Arial"/>
          <w:sz w:val="17"/>
          <w:szCs w:val="17"/>
          <w:color w:val="auto"/>
        </w:rPr>
      </w:pPr>
    </w:p>
    <w:p>
      <w:pPr>
        <w:ind w:left="509"/>
        <w:spacing w:after="0"/>
        <w:rPr>
          <w:rFonts w:ascii="Arial" w:cs="Arial" w:eastAsia="Arial" w:hAnsi="Arial"/>
          <w:sz w:val="17"/>
          <w:szCs w:val="17"/>
          <w:color w:val="auto"/>
        </w:rPr>
      </w:pPr>
      <w:r>
        <w:rPr>
          <w:rFonts w:ascii="Arial" w:cs="Arial" w:eastAsia="Arial" w:hAnsi="Arial"/>
          <w:sz w:val="17"/>
          <w:szCs w:val="17"/>
          <w:color w:val="auto"/>
        </w:rPr>
        <w:t>6.1.2</w:t>
      </w:r>
      <w:r>
        <w:rPr>
          <w:rFonts w:ascii="Arial" w:cs="Arial" w:eastAsia="Arial" w:hAnsi="Arial"/>
          <w:sz w:val="15"/>
          <w:szCs w:val="15"/>
          <w:color w:val="auto"/>
        </w:rPr>
        <w:t>attachment described in clause 10.4 (</w:t>
      </w:r>
      <w:r>
        <w:rPr>
          <w:rFonts w:ascii="Arial" w:cs="Arial" w:eastAsia="Arial" w:hAnsi="Arial"/>
          <w:sz w:val="15"/>
          <w:szCs w:val="15"/>
          <w:i w:val="1"/>
          <w:iCs w:val="1"/>
          <w:color w:val="auto"/>
        </w:rPr>
        <w:t>Attachment</w:t>
      </w:r>
      <w:r>
        <w:rPr>
          <w:rFonts w:ascii="Arial" w:cs="Arial" w:eastAsia="Arial" w:hAnsi="Arial"/>
          <w:sz w:val="15"/>
          <w:szCs w:val="15"/>
          <w:color w:val="auto"/>
        </w:rPr>
        <w:t>),</w:t>
      </w:r>
    </w:p>
    <w:p>
      <w:pPr>
        <w:spacing w:after="0" w:line="115" w:lineRule="exact"/>
        <w:rPr>
          <w:rFonts w:ascii="Arial" w:cs="Arial" w:eastAsia="Arial" w:hAnsi="Arial"/>
          <w:sz w:val="17"/>
          <w:szCs w:val="17"/>
          <w:color w:val="auto"/>
        </w:rPr>
      </w:pPr>
    </w:p>
    <w:p>
      <w:pPr>
        <w:ind w:left="529"/>
        <w:spacing w:after="0"/>
        <w:rPr>
          <w:rFonts w:ascii="Arial" w:cs="Arial" w:eastAsia="Arial" w:hAnsi="Arial"/>
          <w:sz w:val="17"/>
          <w:szCs w:val="17"/>
          <w:color w:val="auto"/>
        </w:rPr>
      </w:pPr>
      <w:r>
        <w:rPr>
          <w:rFonts w:ascii="Arial" w:cs="Arial" w:eastAsia="Arial" w:hAnsi="Arial"/>
          <w:sz w:val="17"/>
          <w:szCs w:val="17"/>
          <w:color w:val="auto"/>
        </w:rPr>
        <w:t>has been taken or, to the knowledge of each Obligor, is threatened or pending in relation to such Obligor.</w:t>
      </w:r>
    </w:p>
    <w:p>
      <w:pPr>
        <w:spacing w:after="0" w:line="355" w:lineRule="exact"/>
        <w:rPr>
          <w:sz w:val="20"/>
          <w:szCs w:val="20"/>
          <w:color w:val="auto"/>
        </w:rPr>
      </w:pPr>
    </w:p>
    <w:p>
      <w:pPr>
        <w:ind w:left="509" w:hanging="509"/>
        <w:spacing w:after="0"/>
        <w:tabs>
          <w:tab w:leader="none" w:pos="509" w:val="left"/>
        </w:tabs>
        <w:numPr>
          <w:ilvl w:val="0"/>
          <w:numId w:val="207"/>
        </w:numPr>
        <w:rPr>
          <w:rFonts w:ascii="Arial" w:cs="Arial" w:eastAsia="Arial" w:hAnsi="Arial"/>
          <w:sz w:val="17"/>
          <w:szCs w:val="17"/>
          <w:color w:val="auto"/>
        </w:rPr>
      </w:pPr>
      <w:r>
        <w:rPr>
          <w:rFonts w:ascii="Arial" w:cs="Arial" w:eastAsia="Arial" w:hAnsi="Arial"/>
          <w:sz w:val="17"/>
          <w:szCs w:val="17"/>
          <w:b w:val="1"/>
          <w:bCs w:val="1"/>
          <w:color w:val="auto"/>
        </w:rPr>
        <w:t>CENTRE OF MAIN INTERESTS</w:t>
      </w:r>
    </w:p>
    <w:p>
      <w:pPr>
        <w:spacing w:after="0" w:line="115" w:lineRule="exact"/>
        <w:rPr>
          <w:rFonts w:ascii="Arial" w:cs="Arial" w:eastAsia="Arial" w:hAnsi="Arial"/>
          <w:sz w:val="17"/>
          <w:szCs w:val="17"/>
          <w:color w:val="auto"/>
        </w:rPr>
      </w:pPr>
    </w:p>
    <w:p>
      <w:pPr>
        <w:jc w:val="both"/>
        <w:ind w:left="529"/>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For the purposes of Regulation (EU) 2015/848 of 20 May 2015 on insolvency proceedings (recast) (the </w:t>
      </w:r>
      <w:r>
        <w:rPr>
          <w:rFonts w:ascii="Arial" w:cs="Arial" w:eastAsia="Arial" w:hAnsi="Arial"/>
          <w:sz w:val="17"/>
          <w:szCs w:val="17"/>
          <w:b w:val="1"/>
          <w:bCs w:val="1"/>
          <w:color w:val="auto"/>
        </w:rPr>
        <w:t>Regulation</w:t>
      </w:r>
      <w:r>
        <w:rPr>
          <w:rFonts w:ascii="Arial" w:cs="Arial" w:eastAsia="Arial" w:hAnsi="Arial"/>
          <w:sz w:val="17"/>
          <w:szCs w:val="17"/>
          <w:color w:val="auto"/>
        </w:rPr>
        <w:t>), its centre of main interest (as that term is used in Article 3(1) of the Regulation) is situated in England and Wales, except in the case of Guarantor 5, whose centre of main interest is Ireland.</w:t>
      </w:r>
    </w:p>
    <w:p>
      <w:pPr>
        <w:spacing w:after="0" w:line="307" w:lineRule="exact"/>
        <w:rPr>
          <w:sz w:val="20"/>
          <w:szCs w:val="20"/>
          <w:color w:val="auto"/>
        </w:rPr>
      </w:pPr>
    </w:p>
    <w:p>
      <w:pPr>
        <w:ind w:left="509" w:hanging="509"/>
        <w:spacing w:after="0"/>
        <w:tabs>
          <w:tab w:leader="none" w:pos="509" w:val="left"/>
        </w:tabs>
        <w:numPr>
          <w:ilvl w:val="0"/>
          <w:numId w:val="208"/>
        </w:numPr>
        <w:rPr>
          <w:rFonts w:ascii="Arial" w:cs="Arial" w:eastAsia="Arial" w:hAnsi="Arial"/>
          <w:sz w:val="17"/>
          <w:szCs w:val="17"/>
          <w:color w:val="auto"/>
        </w:rPr>
      </w:pPr>
      <w:r>
        <w:rPr>
          <w:rFonts w:ascii="Arial" w:cs="Arial" w:eastAsia="Arial" w:hAnsi="Arial"/>
          <w:sz w:val="17"/>
          <w:szCs w:val="17"/>
          <w:b w:val="1"/>
          <w:bCs w:val="1"/>
          <w:color w:val="auto"/>
        </w:rPr>
        <w:t>REGULATORY COMPLIANCE</w:t>
      </w:r>
    </w:p>
    <w:p>
      <w:pPr>
        <w:spacing w:after="0" w:line="121" w:lineRule="exact"/>
        <w:rPr>
          <w:rFonts w:ascii="Arial" w:cs="Arial" w:eastAsia="Arial" w:hAnsi="Arial"/>
          <w:sz w:val="17"/>
          <w:szCs w:val="17"/>
          <w:color w:val="auto"/>
        </w:rPr>
      </w:pPr>
    </w:p>
    <w:p>
      <w:pPr>
        <w:ind w:left="529"/>
        <w:spacing w:after="0" w:line="259" w:lineRule="auto"/>
        <w:rPr>
          <w:rFonts w:ascii="Arial" w:cs="Arial" w:eastAsia="Arial" w:hAnsi="Arial"/>
          <w:sz w:val="17"/>
          <w:szCs w:val="17"/>
          <w:color w:val="auto"/>
        </w:rPr>
      </w:pPr>
      <w:r>
        <w:rPr>
          <w:rFonts w:ascii="Arial" w:cs="Arial" w:eastAsia="Arial" w:hAnsi="Arial"/>
          <w:sz w:val="17"/>
          <w:szCs w:val="17"/>
          <w:color w:val="auto"/>
        </w:rPr>
        <w:t>To the best of each Obligors’ knowledge, each Obligor has not breached any laws, ordinances or rules or regulations, the breach of which could reasonably be expected to cause a Material Adverse Change. None of any Obligor’s (or any of its Subsidiaries/Affiliates) property or assets has been used by such Obligor or, to the best of such Obligor’s knowledge, by previous Persons, in disposing, producing, storing, treating, or transporting any hazardous substance other than legally. Each Obligor (and each of its Subsidiaries/Affiliates) has obtained all consents, approvals and authorisations of, made all declarations or filings with, and given all notices to, all Government Authorities that are necessary to continue its business as currently conducted, except where the failure to do so could not reasonably be expected to be detrimental to such Obligor’s business.</w:t>
      </w:r>
    </w:p>
    <w:p>
      <w:pPr>
        <w:spacing w:after="0" w:line="317" w:lineRule="exact"/>
        <w:rPr>
          <w:sz w:val="20"/>
          <w:szCs w:val="20"/>
          <w:color w:val="auto"/>
        </w:rPr>
      </w:pPr>
    </w:p>
    <w:p>
      <w:pPr>
        <w:ind w:left="509" w:hanging="509"/>
        <w:spacing w:after="0"/>
        <w:tabs>
          <w:tab w:leader="none" w:pos="509" w:val="left"/>
        </w:tabs>
        <w:numPr>
          <w:ilvl w:val="0"/>
          <w:numId w:val="209"/>
        </w:numPr>
        <w:rPr>
          <w:rFonts w:ascii="Arial" w:cs="Arial" w:eastAsia="Arial" w:hAnsi="Arial"/>
          <w:sz w:val="17"/>
          <w:szCs w:val="17"/>
          <w:color w:val="auto"/>
        </w:rPr>
      </w:pPr>
      <w:r>
        <w:rPr>
          <w:rFonts w:ascii="Arial" w:cs="Arial" w:eastAsia="Arial" w:hAnsi="Arial"/>
          <w:sz w:val="17"/>
          <w:szCs w:val="17"/>
          <w:b w:val="1"/>
          <w:bCs w:val="1"/>
          <w:color w:val="auto"/>
        </w:rPr>
        <w:t>SUBSIDIARIES; INVESTMENTS</w:t>
      </w:r>
    </w:p>
    <w:p>
      <w:pPr>
        <w:spacing w:after="0" w:line="121" w:lineRule="exact"/>
        <w:rPr>
          <w:rFonts w:ascii="Arial" w:cs="Arial" w:eastAsia="Arial" w:hAnsi="Arial"/>
          <w:sz w:val="17"/>
          <w:szCs w:val="17"/>
          <w:color w:val="auto"/>
        </w:rPr>
      </w:pPr>
    </w:p>
    <w:p>
      <w:pPr>
        <w:ind w:left="529"/>
        <w:spacing w:after="0"/>
        <w:rPr>
          <w:rFonts w:ascii="Arial" w:cs="Arial" w:eastAsia="Arial" w:hAnsi="Arial"/>
          <w:sz w:val="17"/>
          <w:szCs w:val="17"/>
          <w:color w:val="auto"/>
        </w:rPr>
      </w:pPr>
      <w:r>
        <w:rPr>
          <w:rFonts w:ascii="Arial" w:cs="Arial" w:eastAsia="Arial" w:hAnsi="Arial"/>
          <w:sz w:val="17"/>
          <w:szCs w:val="17"/>
          <w:color w:val="auto"/>
        </w:rPr>
        <w:t>Each Obligor does not own any stock, partnership interest or other equity securities except for Permitted Investments.</w:t>
      </w:r>
    </w:p>
    <w:p>
      <w:pPr>
        <w:spacing w:after="0" w:line="355" w:lineRule="exact"/>
        <w:rPr>
          <w:sz w:val="20"/>
          <w:szCs w:val="20"/>
          <w:color w:val="auto"/>
        </w:rPr>
      </w:pPr>
    </w:p>
    <w:p>
      <w:pPr>
        <w:ind w:left="509" w:hanging="509"/>
        <w:spacing w:after="0"/>
        <w:tabs>
          <w:tab w:leader="none" w:pos="509"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TAXATION</w:t>
      </w:r>
    </w:p>
    <w:p>
      <w:pPr>
        <w:spacing w:after="0" w:line="121" w:lineRule="exact"/>
        <w:rPr>
          <w:rFonts w:ascii="Arial" w:cs="Arial" w:eastAsia="Arial" w:hAnsi="Arial"/>
          <w:sz w:val="17"/>
          <w:szCs w:val="17"/>
          <w:color w:val="auto"/>
        </w:rPr>
      </w:pPr>
    </w:p>
    <w:p>
      <w:pPr>
        <w:ind w:left="529" w:right="160"/>
        <w:spacing w:after="0" w:line="284" w:lineRule="auto"/>
        <w:rPr>
          <w:rFonts w:ascii="Arial" w:cs="Arial" w:eastAsia="Arial" w:hAnsi="Arial"/>
          <w:sz w:val="17"/>
          <w:szCs w:val="17"/>
          <w:color w:val="auto"/>
        </w:rPr>
      </w:pPr>
      <w:r>
        <w:rPr>
          <w:rFonts w:ascii="Arial" w:cs="Arial" w:eastAsia="Arial" w:hAnsi="Arial"/>
          <w:sz w:val="17"/>
          <w:szCs w:val="17"/>
          <w:color w:val="auto"/>
        </w:rPr>
        <w:t>Each Obligor has complied in all material respects with all Taxation laws in all jurisdictions in which it is subject to Taxation and has paid all Taxes due and payable</w:t>
      </w:r>
    </w:p>
    <w:p>
      <w:pPr>
        <w:spacing w:after="0" w:line="94" w:lineRule="exact"/>
        <w:rPr>
          <w:sz w:val="20"/>
          <w:szCs w:val="20"/>
          <w:color w:val="auto"/>
        </w:rPr>
      </w:pPr>
    </w:p>
    <w:p>
      <w:pPr>
        <w:jc w:val="center"/>
        <w:ind w:right="-108"/>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449"/>
          </w:cols>
          <w:pgMar w:left="671" w:top="263" w:right="779" w:bottom="1440" w:gutter="0" w:footer="0" w:header="0"/>
        </w:sectPr>
      </w:pPr>
    </w:p>
    <w:bookmarkStart w:id="250" w:name="page251"/>
    <w:bookmarkEnd w:id="250"/>
    <w:p>
      <w:pPr>
        <w:jc w:val="both"/>
        <w:ind w:left="529"/>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by it and no claims are being asserted against it in respect of Taxes save for assessments in relation to the ordinary course of the business of such Obligor or claims contested in good faith and in respect of which adequate provision has been made and disclosed in the latest accounts of such Obligor or information delivered to Agent under this Deed.</w:t>
      </w:r>
    </w:p>
    <w:p>
      <w:pPr>
        <w:spacing w:after="0" w:line="308" w:lineRule="exact"/>
        <w:rPr>
          <w:sz w:val="20"/>
          <w:szCs w:val="20"/>
          <w:color w:val="auto"/>
        </w:rPr>
      </w:pPr>
    </w:p>
    <w:p>
      <w:pPr>
        <w:ind w:left="509" w:hanging="509"/>
        <w:spacing w:after="0"/>
        <w:tabs>
          <w:tab w:leader="none" w:pos="509"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FULL DISCLOSURE</w:t>
      </w:r>
    </w:p>
    <w:p>
      <w:pPr>
        <w:spacing w:after="0" w:line="121" w:lineRule="exact"/>
        <w:rPr>
          <w:rFonts w:ascii="Arial" w:cs="Arial" w:eastAsia="Arial" w:hAnsi="Arial"/>
          <w:sz w:val="17"/>
          <w:szCs w:val="17"/>
          <w:color w:val="auto"/>
        </w:rPr>
      </w:pPr>
    </w:p>
    <w:p>
      <w:pPr>
        <w:ind w:left="529" w:right="60"/>
        <w:spacing w:after="0" w:line="260" w:lineRule="auto"/>
        <w:rPr>
          <w:rFonts w:ascii="Arial" w:cs="Arial" w:eastAsia="Arial" w:hAnsi="Arial"/>
          <w:sz w:val="17"/>
          <w:szCs w:val="17"/>
          <w:color w:val="auto"/>
        </w:rPr>
      </w:pPr>
      <w:r>
        <w:rPr>
          <w:rFonts w:ascii="Arial" w:cs="Arial" w:eastAsia="Arial" w:hAnsi="Arial"/>
          <w:sz w:val="17"/>
          <w:szCs w:val="17"/>
          <w:color w:val="auto"/>
        </w:rPr>
        <w:t>No written representation, warranty or other statement of any Obligor in any certificate or written statement given to Agent, as of the date such representation, warranty, or other statement was made, taken together with all such written certificates and written statements given to Agent, contains any untrue statement of a material fact or omits to state a material fact necessary to make the statements contained in the certificates or statements not misleading (it being recognised by Agent that the projections and forecasts provided by such Obligor in good faith and based upon reasonable assumptions are not viewed as facts and that actual results during the period or periods covered by such projections and forecasts may differ from the projected or forecasted results).</w:t>
      </w:r>
    </w:p>
    <w:p>
      <w:pPr>
        <w:spacing w:after="0" w:line="316" w:lineRule="exact"/>
        <w:rPr>
          <w:rFonts w:ascii="Arial" w:cs="Arial" w:eastAsia="Arial" w:hAnsi="Arial"/>
          <w:sz w:val="17"/>
          <w:szCs w:val="17"/>
          <w:color w:val="auto"/>
        </w:rPr>
      </w:pPr>
    </w:p>
    <w:p>
      <w:pPr>
        <w:ind w:left="509" w:hanging="509"/>
        <w:spacing w:after="0"/>
        <w:tabs>
          <w:tab w:leader="none" w:pos="509"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NO WINDING-UP</w:t>
      </w:r>
    </w:p>
    <w:p>
      <w:pPr>
        <w:spacing w:after="0" w:line="121" w:lineRule="exact"/>
        <w:rPr>
          <w:rFonts w:ascii="Arial" w:cs="Arial" w:eastAsia="Arial" w:hAnsi="Arial"/>
          <w:sz w:val="17"/>
          <w:szCs w:val="17"/>
          <w:color w:val="auto"/>
        </w:rPr>
      </w:pPr>
    </w:p>
    <w:p>
      <w:pPr>
        <w:ind w:left="529" w:right="200"/>
        <w:spacing w:after="0" w:line="264" w:lineRule="auto"/>
        <w:rPr>
          <w:rFonts w:ascii="Arial" w:cs="Arial" w:eastAsia="Arial" w:hAnsi="Arial"/>
          <w:sz w:val="17"/>
          <w:szCs w:val="17"/>
          <w:color w:val="auto"/>
        </w:rPr>
      </w:pPr>
      <w:r>
        <w:rPr>
          <w:rFonts w:ascii="Arial" w:cs="Arial" w:eastAsia="Arial" w:hAnsi="Arial"/>
          <w:sz w:val="17"/>
          <w:szCs w:val="17"/>
          <w:color w:val="auto"/>
        </w:rPr>
        <w:t>Each Obligor has not taken any corporate or other action nor has any application been made or have any other steps been taken or legal proceedings been started or (to the best of such Obligor’s knowledge and belief having made due and proper enquiry) threatened against such Obligor or any of its Subsidiaries/Affiliates for its winding-up or for the appointment of a trustee, liquidator, receiver, administrative receiver, administrator or similar officer of it or of any or all of its assets.</w:t>
      </w:r>
    </w:p>
    <w:p>
      <w:pPr>
        <w:spacing w:after="0" w:line="312" w:lineRule="exact"/>
        <w:rPr>
          <w:rFonts w:ascii="Arial" w:cs="Arial" w:eastAsia="Arial" w:hAnsi="Arial"/>
          <w:sz w:val="17"/>
          <w:szCs w:val="17"/>
          <w:color w:val="auto"/>
        </w:rPr>
      </w:pPr>
    </w:p>
    <w:p>
      <w:pPr>
        <w:ind w:left="509" w:hanging="509"/>
        <w:spacing w:after="0"/>
        <w:tabs>
          <w:tab w:leader="none" w:pos="509"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AIM STATUS</w:t>
      </w:r>
    </w:p>
    <w:p>
      <w:pPr>
        <w:spacing w:after="0" w:line="121" w:lineRule="exact"/>
        <w:rPr>
          <w:rFonts w:ascii="Arial" w:cs="Arial" w:eastAsia="Arial" w:hAnsi="Arial"/>
          <w:sz w:val="17"/>
          <w:szCs w:val="17"/>
          <w:color w:val="auto"/>
        </w:rPr>
      </w:pPr>
    </w:p>
    <w:p>
      <w:pPr>
        <w:ind w:left="529" w:right="80"/>
        <w:spacing w:after="0" w:line="269" w:lineRule="auto"/>
        <w:rPr>
          <w:rFonts w:ascii="Arial" w:cs="Arial" w:eastAsia="Arial" w:hAnsi="Arial"/>
          <w:sz w:val="17"/>
          <w:szCs w:val="17"/>
          <w:color w:val="auto"/>
        </w:rPr>
      </w:pPr>
      <w:r>
        <w:rPr>
          <w:rFonts w:ascii="Arial" w:cs="Arial" w:eastAsia="Arial" w:hAnsi="Arial"/>
          <w:sz w:val="17"/>
          <w:szCs w:val="17"/>
          <w:color w:val="auto"/>
        </w:rPr>
        <w:t>The shares of the Borrower are duly admitted to trading on AIM and no circumstances exist to the Borrower’s knowledge which are reasonably likely to cause the suspension or cancellation of such admission. The Borrower has complied and continues to comply with all AIM Rules and Disclosure and Transparency Rules and the Market Abuse Regulation as applicable to it.</w:t>
      </w:r>
    </w:p>
    <w:p>
      <w:pPr>
        <w:spacing w:after="0" w:line="307" w:lineRule="exact"/>
        <w:rPr>
          <w:rFonts w:ascii="Arial" w:cs="Arial" w:eastAsia="Arial" w:hAnsi="Arial"/>
          <w:sz w:val="17"/>
          <w:szCs w:val="17"/>
          <w:color w:val="auto"/>
        </w:rPr>
      </w:pPr>
    </w:p>
    <w:p>
      <w:pPr>
        <w:ind w:left="509" w:hanging="509"/>
        <w:spacing w:after="0"/>
        <w:tabs>
          <w:tab w:leader="none" w:pos="509"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PATENTS</w:t>
      </w:r>
    </w:p>
    <w:p>
      <w:pPr>
        <w:spacing w:after="0" w:line="121" w:lineRule="exact"/>
        <w:rPr>
          <w:rFonts w:ascii="Arial" w:cs="Arial" w:eastAsia="Arial" w:hAnsi="Arial"/>
          <w:sz w:val="17"/>
          <w:szCs w:val="17"/>
          <w:color w:val="auto"/>
        </w:rPr>
      </w:pPr>
    </w:p>
    <w:p>
      <w:pPr>
        <w:ind w:left="529"/>
        <w:spacing w:after="0"/>
        <w:rPr>
          <w:rFonts w:ascii="Arial" w:cs="Arial" w:eastAsia="Arial" w:hAnsi="Arial"/>
          <w:sz w:val="17"/>
          <w:szCs w:val="17"/>
          <w:color w:val="auto"/>
        </w:rPr>
      </w:pPr>
      <w:r>
        <w:rPr>
          <w:rFonts w:ascii="Arial" w:cs="Arial" w:eastAsia="Arial" w:hAnsi="Arial"/>
          <w:sz w:val="17"/>
          <w:szCs w:val="17"/>
          <w:color w:val="auto"/>
        </w:rPr>
        <w:t>The Borrower owns the Patents and has good title to, has rights in, and the power to transfer each of the Patents.</w:t>
      </w:r>
    </w:p>
    <w:p>
      <w:pPr>
        <w:spacing w:after="0" w:line="355" w:lineRule="exact"/>
        <w:rPr>
          <w:rFonts w:ascii="Arial" w:cs="Arial" w:eastAsia="Arial" w:hAnsi="Arial"/>
          <w:sz w:val="17"/>
          <w:szCs w:val="17"/>
          <w:color w:val="auto"/>
        </w:rPr>
      </w:pPr>
    </w:p>
    <w:p>
      <w:pPr>
        <w:ind w:left="509" w:hanging="509"/>
        <w:spacing w:after="0"/>
        <w:tabs>
          <w:tab w:leader="none" w:pos="509"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LICENCES</w:t>
      </w:r>
    </w:p>
    <w:p>
      <w:pPr>
        <w:spacing w:after="0" w:line="121" w:lineRule="exact"/>
        <w:rPr>
          <w:rFonts w:ascii="Arial" w:cs="Arial" w:eastAsia="Arial" w:hAnsi="Arial"/>
          <w:sz w:val="17"/>
          <w:szCs w:val="17"/>
          <w:color w:val="auto"/>
        </w:rPr>
      </w:pPr>
    </w:p>
    <w:p>
      <w:pPr>
        <w:ind w:left="529" w:right="20"/>
        <w:spacing w:after="0" w:line="264" w:lineRule="auto"/>
        <w:rPr>
          <w:rFonts w:ascii="Arial" w:cs="Arial" w:eastAsia="Arial" w:hAnsi="Arial"/>
          <w:sz w:val="17"/>
          <w:szCs w:val="17"/>
          <w:color w:val="auto"/>
        </w:rPr>
      </w:pPr>
      <w:r>
        <w:rPr>
          <w:rFonts w:ascii="Arial" w:cs="Arial" w:eastAsia="Arial" w:hAnsi="Arial"/>
          <w:sz w:val="17"/>
          <w:szCs w:val="17"/>
          <w:color w:val="auto"/>
        </w:rPr>
        <w:t>Other than as previously disclosed to the Agent in the Perfection Certificate, each Obligor is not a party to, nor is bound by, any material licence (other than over the counter software that is commercially available to the public) or other material agreement with respect to which such Obligor is the licensee that prohibits or otherwise restricts such Obligor from granting a charge in such Obligor’s interest in such licence or agreement or any other property. Each Obligor shall provide written notice to Agent</w:t>
      </w:r>
    </w:p>
    <w:p>
      <w:pPr>
        <w:spacing w:after="0" w:line="111"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509"/>
          </w:cols>
          <w:pgMar w:left="671" w:top="270" w:right="719" w:bottom="1440" w:gutter="0" w:footer="0" w:header="0"/>
        </w:sectPr>
      </w:pPr>
    </w:p>
    <w:bookmarkStart w:id="251" w:name="page252"/>
    <w:bookmarkEnd w:id="251"/>
    <w:p>
      <w:pPr>
        <w:ind w:left="529" w:right="16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within fifteen (15) days of entering or becoming bound by, any such licence or agreement which is reasonably likely to have a material impact on Borrower’s business or financial condition. Each Obligor shall take such steps as Agent reasonably requests to obtain the consent of, authorisation by or waiver by, any Person whose consent or waiver is necessary for all such licences or contract rights to be deemed Collateral and for Agent to have a charge in it that might otherwise be restricted or prohibited by law or by the terms of any such licence or agreement, whether now existing or entered into in the future.</w:t>
      </w:r>
    </w:p>
    <w:p>
      <w:pPr>
        <w:spacing w:after="0" w:line="317" w:lineRule="exact"/>
        <w:rPr>
          <w:sz w:val="20"/>
          <w:szCs w:val="20"/>
          <w:color w:val="auto"/>
        </w:rPr>
      </w:pPr>
    </w:p>
    <w:p>
      <w:pPr>
        <w:ind w:left="509" w:hanging="509"/>
        <w:spacing w:after="0"/>
        <w:tabs>
          <w:tab w:leader="none" w:pos="509" w:val="left"/>
        </w:tabs>
        <w:numPr>
          <w:ilvl w:val="0"/>
          <w:numId w:val="212"/>
        </w:numPr>
        <w:rPr>
          <w:rFonts w:ascii="Arial" w:cs="Arial" w:eastAsia="Arial" w:hAnsi="Arial"/>
          <w:sz w:val="17"/>
          <w:szCs w:val="17"/>
          <w:color w:val="auto"/>
        </w:rPr>
      </w:pPr>
      <w:r>
        <w:rPr>
          <w:rFonts w:ascii="Arial" w:cs="Arial" w:eastAsia="Arial" w:hAnsi="Arial"/>
          <w:sz w:val="17"/>
          <w:szCs w:val="17"/>
          <w:b w:val="1"/>
          <w:bCs w:val="1"/>
          <w:color w:val="auto"/>
        </w:rPr>
        <w:t>SUBORDINATED DEBT</w:t>
      </w:r>
    </w:p>
    <w:p>
      <w:pPr>
        <w:spacing w:after="0" w:line="134" w:lineRule="exact"/>
        <w:rPr>
          <w:sz w:val="20"/>
          <w:szCs w:val="20"/>
          <w:color w:val="auto"/>
        </w:rPr>
      </w:pPr>
    </w:p>
    <w:p>
      <w:pPr>
        <w:ind w:left="509" w:right="280" w:hanging="517"/>
        <w:spacing w:after="0" w:line="284" w:lineRule="auto"/>
        <w:tabs>
          <w:tab w:leader="none" w:pos="489" w:val="left"/>
        </w:tabs>
        <w:rPr>
          <w:sz w:val="20"/>
          <w:szCs w:val="20"/>
          <w:color w:val="auto"/>
        </w:rPr>
      </w:pPr>
      <w:r>
        <w:rPr>
          <w:rFonts w:ascii="Arial" w:cs="Arial" w:eastAsia="Arial" w:hAnsi="Arial"/>
          <w:sz w:val="17"/>
          <w:szCs w:val="17"/>
          <w:color w:val="auto"/>
        </w:rPr>
        <w:t>16.1</w:t>
        <w:tab/>
        <w:t>All amounts due to officers, directors, shareholders, the holder(s) of the Convertible Loans and any secured creditors (other than Lenders) of each Obligor have been subordinated to the Obligations.</w:t>
      </w:r>
    </w:p>
    <w:p>
      <w:pPr>
        <w:spacing w:after="0" w:line="68"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5"/>
          <w:szCs w:val="15"/>
          <w:color w:val="auto"/>
        </w:rPr>
        <w:t>No amounts are due to officers, directors, shareholders of any Obligor.</w:t>
      </w:r>
    </w:p>
    <w:p>
      <w:pPr>
        <w:spacing w:after="0" w:line="355" w:lineRule="exact"/>
        <w:rPr>
          <w:sz w:val="20"/>
          <w:szCs w:val="20"/>
          <w:color w:val="auto"/>
        </w:rPr>
      </w:pPr>
    </w:p>
    <w:p>
      <w:pPr>
        <w:ind w:left="509" w:hanging="509"/>
        <w:spacing w:after="0"/>
        <w:tabs>
          <w:tab w:leader="none" w:pos="509" w:val="left"/>
        </w:tabs>
        <w:numPr>
          <w:ilvl w:val="0"/>
          <w:numId w:val="213"/>
        </w:numPr>
        <w:rPr>
          <w:rFonts w:ascii="Arial" w:cs="Arial" w:eastAsia="Arial" w:hAnsi="Arial"/>
          <w:sz w:val="17"/>
          <w:szCs w:val="17"/>
          <w:color w:val="auto"/>
        </w:rPr>
      </w:pPr>
      <w:r>
        <w:rPr>
          <w:rFonts w:ascii="Arial" w:cs="Arial" w:eastAsia="Arial" w:hAnsi="Arial"/>
          <w:sz w:val="17"/>
          <w:szCs w:val="17"/>
          <w:b w:val="1"/>
          <w:bCs w:val="1"/>
          <w:color w:val="auto"/>
        </w:rPr>
        <w:t>ONCOMED ACQUISITION</w:t>
      </w:r>
    </w:p>
    <w:p>
      <w:pPr>
        <w:spacing w:after="0" w:line="134" w:lineRule="exact"/>
        <w:rPr>
          <w:sz w:val="20"/>
          <w:szCs w:val="20"/>
          <w:color w:val="auto"/>
        </w:rPr>
      </w:pPr>
    </w:p>
    <w:p>
      <w:pPr>
        <w:ind w:left="509" w:right="220" w:hanging="517"/>
        <w:spacing w:after="0" w:line="284" w:lineRule="auto"/>
        <w:tabs>
          <w:tab w:leader="none" w:pos="489" w:val="left"/>
        </w:tabs>
        <w:rPr>
          <w:sz w:val="20"/>
          <w:szCs w:val="20"/>
          <w:color w:val="auto"/>
        </w:rPr>
      </w:pPr>
      <w:r>
        <w:rPr>
          <w:rFonts w:ascii="Arial" w:cs="Arial" w:eastAsia="Arial" w:hAnsi="Arial"/>
          <w:sz w:val="17"/>
          <w:szCs w:val="17"/>
          <w:color w:val="auto"/>
        </w:rPr>
        <w:t>17.1</w:t>
        <w:tab/>
        <w:t>As from the OncoMed Acquisition Date, the Borrower shall have good title free of Liens to the outstanding stock and shares of the OncoMed Companies.</w:t>
      </w:r>
    </w:p>
    <w:p>
      <w:pPr>
        <w:spacing w:after="0" w:line="295" w:lineRule="exact"/>
        <w:rPr>
          <w:sz w:val="20"/>
          <w:szCs w:val="20"/>
          <w:color w:val="auto"/>
        </w:rPr>
      </w:pPr>
    </w:p>
    <w:p>
      <w:pPr>
        <w:ind w:left="509" w:hanging="509"/>
        <w:spacing w:after="0"/>
        <w:tabs>
          <w:tab w:leader="none" w:pos="509" w:val="left"/>
        </w:tabs>
        <w:numPr>
          <w:ilvl w:val="0"/>
          <w:numId w:val="214"/>
        </w:numPr>
        <w:rPr>
          <w:rFonts w:ascii="Arial" w:cs="Arial" w:eastAsia="Arial" w:hAnsi="Arial"/>
          <w:sz w:val="17"/>
          <w:szCs w:val="17"/>
          <w:color w:val="auto"/>
        </w:rPr>
      </w:pPr>
      <w:r>
        <w:rPr>
          <w:rFonts w:ascii="Arial" w:cs="Arial" w:eastAsia="Arial" w:hAnsi="Arial"/>
          <w:sz w:val="17"/>
          <w:szCs w:val="17"/>
          <w:b w:val="1"/>
          <w:bCs w:val="1"/>
          <w:color w:val="auto"/>
        </w:rPr>
        <w:t>ONCOMED GROUP STRUCTURE</w:t>
      </w:r>
    </w:p>
    <w:p>
      <w:pPr>
        <w:spacing w:after="0" w:line="134"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18.1</w:t>
      </w:r>
      <w:r>
        <w:rPr>
          <w:sz w:val="20"/>
          <w:szCs w:val="20"/>
          <w:color w:val="auto"/>
        </w:rPr>
        <w:tab/>
      </w:r>
      <w:r>
        <w:rPr>
          <w:rFonts w:ascii="Arial" w:cs="Arial" w:eastAsia="Arial" w:hAnsi="Arial"/>
          <w:sz w:val="15"/>
          <w:szCs w:val="15"/>
          <w:color w:val="auto"/>
        </w:rPr>
        <w:t>On the OncoMed Acquisition Date, Mereo US Holdings has no Subsidiary other than OncoMed Target and Navi Sub.</w:t>
      </w:r>
    </w:p>
    <w:p>
      <w:pPr>
        <w:spacing w:after="0" w:line="355" w:lineRule="exact"/>
        <w:rPr>
          <w:sz w:val="20"/>
          <w:szCs w:val="20"/>
          <w:color w:val="auto"/>
        </w:rPr>
      </w:pPr>
    </w:p>
    <w:p>
      <w:pPr>
        <w:ind w:left="509" w:hanging="509"/>
        <w:spacing w:after="0"/>
        <w:tabs>
          <w:tab w:leader="none" w:pos="509" w:val="left"/>
        </w:tabs>
        <w:numPr>
          <w:ilvl w:val="0"/>
          <w:numId w:val="215"/>
        </w:numPr>
        <w:rPr>
          <w:rFonts w:ascii="Arial" w:cs="Arial" w:eastAsia="Arial" w:hAnsi="Arial"/>
          <w:sz w:val="17"/>
          <w:szCs w:val="17"/>
          <w:color w:val="auto"/>
        </w:rPr>
      </w:pPr>
      <w:r>
        <w:rPr>
          <w:rFonts w:ascii="Arial" w:cs="Arial" w:eastAsia="Arial" w:hAnsi="Arial"/>
          <w:sz w:val="17"/>
          <w:szCs w:val="17"/>
          <w:b w:val="1"/>
          <w:bCs w:val="1"/>
          <w:color w:val="auto"/>
        </w:rPr>
        <w:t>STATUS OF ONCOMED MERGER AGREEMENT</w:t>
      </w:r>
    </w:p>
    <w:p>
      <w:pPr>
        <w:spacing w:after="0" w:line="134" w:lineRule="exact"/>
        <w:rPr>
          <w:sz w:val="20"/>
          <w:szCs w:val="20"/>
          <w:color w:val="auto"/>
        </w:rPr>
      </w:pPr>
    </w:p>
    <w:p>
      <w:pPr>
        <w:ind w:left="509" w:hanging="517"/>
        <w:spacing w:after="0" w:line="269" w:lineRule="auto"/>
        <w:tabs>
          <w:tab w:leader="none" w:pos="489" w:val="left"/>
        </w:tabs>
        <w:rPr>
          <w:sz w:val="20"/>
          <w:szCs w:val="20"/>
          <w:color w:val="auto"/>
        </w:rPr>
      </w:pPr>
      <w:r>
        <w:rPr>
          <w:rFonts w:ascii="Arial" w:cs="Arial" w:eastAsia="Arial" w:hAnsi="Arial"/>
          <w:sz w:val="17"/>
          <w:szCs w:val="17"/>
          <w:color w:val="auto"/>
        </w:rPr>
        <w:t>19.1</w:t>
        <w:tab/>
        <w:t>The OncoMed Merger Agreement has been duly executed and delivered by the Borrower, Mereo US Holdings, Mereo Mergerco One Inc., and OncoMed Target, and constitutes the legal, valid and binding obligation of each of them, enforceable against each of them in accordance with its terms, subject to the Enforceability Exceptions (as defined in the OncoMed Merger Agreement).</w:t>
      </w:r>
    </w:p>
    <w:p>
      <w:pPr>
        <w:spacing w:after="0" w:line="308" w:lineRule="exact"/>
        <w:rPr>
          <w:sz w:val="20"/>
          <w:szCs w:val="20"/>
          <w:color w:val="auto"/>
        </w:rPr>
      </w:pPr>
    </w:p>
    <w:p>
      <w:pPr>
        <w:ind w:left="509" w:hanging="509"/>
        <w:spacing w:after="0"/>
        <w:tabs>
          <w:tab w:leader="none" w:pos="509" w:val="left"/>
        </w:tabs>
        <w:numPr>
          <w:ilvl w:val="0"/>
          <w:numId w:val="216"/>
        </w:numPr>
        <w:rPr>
          <w:rFonts w:ascii="Arial" w:cs="Arial" w:eastAsia="Arial" w:hAnsi="Arial"/>
          <w:sz w:val="17"/>
          <w:szCs w:val="17"/>
          <w:color w:val="auto"/>
        </w:rPr>
      </w:pPr>
      <w:r>
        <w:rPr>
          <w:rFonts w:ascii="Arial" w:cs="Arial" w:eastAsia="Arial" w:hAnsi="Arial"/>
          <w:sz w:val="17"/>
          <w:szCs w:val="17"/>
          <w:b w:val="1"/>
          <w:bCs w:val="1"/>
          <w:color w:val="auto"/>
        </w:rPr>
        <w:t>ONCOMED FINANCIAL STATEMENTS</w:t>
      </w:r>
    </w:p>
    <w:p>
      <w:pPr>
        <w:spacing w:after="0" w:line="134" w:lineRule="exact"/>
        <w:rPr>
          <w:sz w:val="20"/>
          <w:szCs w:val="20"/>
          <w:color w:val="auto"/>
        </w:rPr>
      </w:pPr>
    </w:p>
    <w:p>
      <w:pPr>
        <w:ind w:left="509" w:hanging="517"/>
        <w:spacing w:after="0" w:line="276" w:lineRule="auto"/>
        <w:tabs>
          <w:tab w:leader="none" w:pos="489" w:val="left"/>
        </w:tabs>
        <w:rPr>
          <w:sz w:val="20"/>
          <w:szCs w:val="20"/>
          <w:color w:val="auto"/>
        </w:rPr>
      </w:pPr>
      <w:r>
        <w:rPr>
          <w:rFonts w:ascii="Arial" w:cs="Arial" w:eastAsia="Arial" w:hAnsi="Arial"/>
          <w:sz w:val="17"/>
          <w:szCs w:val="17"/>
          <w:color w:val="auto"/>
        </w:rPr>
        <w:t>20.1</w:t>
      </w:r>
      <w:r>
        <w:rPr>
          <w:sz w:val="20"/>
          <w:szCs w:val="20"/>
          <w:color w:val="auto"/>
        </w:rPr>
        <w:tab/>
      </w:r>
      <w:r>
        <w:rPr>
          <w:rFonts w:ascii="Arial" w:cs="Arial" w:eastAsia="Arial" w:hAnsi="Arial"/>
          <w:sz w:val="16"/>
          <w:szCs w:val="16"/>
          <w:color w:val="auto"/>
        </w:rPr>
        <w:t>To the Borrower’s Knowledge, OncoMed Target has filed or furnished, as applicable, on a timely basis all forms, statements, certifications, reports and documents required to be filed or furnished by it with the United States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xml:space="preserve">)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or the Securities Act of 1933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since January 1, 2016 (the </w:t>
      </w:r>
      <w:r>
        <w:rPr>
          <w:rFonts w:ascii="Arial" w:cs="Arial" w:eastAsia="Arial" w:hAnsi="Arial"/>
          <w:sz w:val="16"/>
          <w:szCs w:val="16"/>
          <w:b w:val="1"/>
          <w:bCs w:val="1"/>
          <w:color w:val="auto"/>
        </w:rPr>
        <w:t>OncoMed Target SEC Documents</w:t>
      </w:r>
      <w:r>
        <w:rPr>
          <w:rFonts w:ascii="Arial" w:cs="Arial" w:eastAsia="Arial" w:hAnsi="Arial"/>
          <w:sz w:val="16"/>
          <w:szCs w:val="16"/>
          <w:color w:val="auto"/>
        </w:rPr>
        <w:t>). To the Borrower’s Knowledge, as of the time it was filed with the SEC (or, if amended or superseded by a</w:t>
      </w:r>
      <w:r>
        <w:rPr>
          <w:rFonts w:ascii="Arial" w:cs="Arial" w:eastAsia="Arial" w:hAnsi="Arial"/>
          <w:sz w:val="16"/>
          <w:szCs w:val="16"/>
          <w:b w:val="1"/>
          <w:bCs w:val="1"/>
          <w:color w:val="auto"/>
        </w:rPr>
        <w:t xml:space="preserve"> </w:t>
      </w:r>
      <w:r>
        <w:rPr>
          <w:rFonts w:ascii="Arial" w:cs="Arial" w:eastAsia="Arial" w:hAnsi="Arial"/>
          <w:sz w:val="16"/>
          <w:szCs w:val="16"/>
          <w:color w:val="auto"/>
        </w:rPr>
        <w:t>filing prior to the date of the OncoMed Merger Agreement, then on the date of such filing), each of the OncoMed Target SEC Documents complied in all material respects with the applicable requirements of the Securities Act or the Exchange Act (as the case may be) and, to Borrower’s Knowledge, as of the time they were filed, none of the OncoMed Target SEC Documents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03" w:lineRule="exact"/>
        <w:rPr>
          <w:sz w:val="20"/>
          <w:szCs w:val="20"/>
          <w:color w:val="auto"/>
        </w:rPr>
      </w:pPr>
    </w:p>
    <w:p>
      <w:pPr>
        <w:jc w:val="center"/>
        <w:ind w:right="-68"/>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509"/>
          </w:cols>
          <w:pgMar w:left="671" w:top="269" w:right="719" w:bottom="1440" w:gutter="0" w:footer="0" w:header="0"/>
        </w:sectPr>
      </w:pPr>
    </w:p>
    <w:bookmarkStart w:id="252" w:name="page253"/>
    <w:bookmarkEnd w:id="252"/>
    <w:p>
      <w:pPr>
        <w:jc w:val="both"/>
        <w:ind w:left="509" w:right="100" w:hanging="517"/>
        <w:spacing w:after="0" w:line="269" w:lineRule="auto"/>
        <w:tabs>
          <w:tab w:leader="none" w:pos="489"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20.2</w:t>
        <w:tab/>
        <w:t>To the Borrower’s Knowledge, the certifications and statements required by (i) Rule 13a-14 under the Exchange Act and (ii) 18 U.S.C. §1350 (Section 906 of the Sarbanes-Oxley Act of 2002) relating to the OncoMed Target SEC Documents are accurate and complete and comply as to form and content with all applicable Laws (as defined in the OncoMed Merger Agreement).</w:t>
      </w:r>
    </w:p>
    <w:p>
      <w:pPr>
        <w:spacing w:after="0" w:line="308" w:lineRule="exact"/>
        <w:rPr>
          <w:sz w:val="20"/>
          <w:szCs w:val="20"/>
          <w:color w:val="auto"/>
        </w:rPr>
      </w:pPr>
    </w:p>
    <w:p>
      <w:pPr>
        <w:ind w:left="509" w:hanging="509"/>
        <w:spacing w:after="0"/>
        <w:tabs>
          <w:tab w:leader="none" w:pos="509" w:val="left"/>
        </w:tabs>
        <w:numPr>
          <w:ilvl w:val="0"/>
          <w:numId w:val="217"/>
        </w:numPr>
        <w:rPr>
          <w:rFonts w:ascii="Arial" w:cs="Arial" w:eastAsia="Arial" w:hAnsi="Arial"/>
          <w:sz w:val="17"/>
          <w:szCs w:val="17"/>
          <w:color w:val="auto"/>
        </w:rPr>
      </w:pPr>
      <w:r>
        <w:rPr>
          <w:rFonts w:ascii="Arial" w:cs="Arial" w:eastAsia="Arial" w:hAnsi="Arial"/>
          <w:sz w:val="17"/>
          <w:szCs w:val="17"/>
          <w:b w:val="1"/>
          <w:bCs w:val="1"/>
          <w:color w:val="auto"/>
        </w:rPr>
        <w:t>ONCOMED INDEBTEDNESS</w:t>
      </w:r>
    </w:p>
    <w:p>
      <w:pPr>
        <w:spacing w:after="0" w:line="134" w:lineRule="exact"/>
        <w:rPr>
          <w:sz w:val="20"/>
          <w:szCs w:val="20"/>
          <w:color w:val="auto"/>
        </w:rPr>
      </w:pPr>
    </w:p>
    <w:p>
      <w:pPr>
        <w:ind w:left="509" w:right="160" w:hanging="517"/>
        <w:spacing w:after="0" w:line="264" w:lineRule="auto"/>
        <w:tabs>
          <w:tab w:leader="none" w:pos="489" w:val="left"/>
        </w:tabs>
        <w:rPr>
          <w:sz w:val="20"/>
          <w:szCs w:val="20"/>
          <w:color w:val="auto"/>
        </w:rPr>
      </w:pPr>
      <w:r>
        <w:rPr>
          <w:rFonts w:ascii="Arial" w:cs="Arial" w:eastAsia="Arial" w:hAnsi="Arial"/>
          <w:sz w:val="17"/>
          <w:szCs w:val="17"/>
          <w:color w:val="auto"/>
        </w:rPr>
        <w:t>21.1</w:t>
        <w:tab/>
        <w:t xml:space="preserve">To the Borrower’s Knowledge, OncoMed Target does not have any liability, indebtedness, obligation, expense, claim, deficiency, guaranty or endorsement of any kind, whether accrued, absolute, contingent, matured, unmatured or otherwise (each a </w:t>
      </w:r>
      <w:r>
        <w:rPr>
          <w:rFonts w:ascii="Arial" w:cs="Arial" w:eastAsia="Arial" w:hAnsi="Arial"/>
          <w:sz w:val="17"/>
          <w:szCs w:val="17"/>
          <w:b w:val="1"/>
          <w:bCs w:val="1"/>
          <w:color w:val="auto"/>
        </w:rPr>
        <w:t>Liability</w:t>
      </w:r>
      <w:r>
        <w:rPr>
          <w:rFonts w:ascii="Arial" w:cs="Arial" w:eastAsia="Arial" w:hAnsi="Arial"/>
          <w:sz w:val="17"/>
          <w:szCs w:val="17"/>
          <w:color w:val="auto"/>
        </w:rPr>
        <w:t>), in each case, of a type required to be reflected or reserved for on a balance sheet prepared in accordance with United States generally accepted accounting principles (</w:t>
      </w:r>
      <w:r>
        <w:rPr>
          <w:rFonts w:ascii="Arial" w:cs="Arial" w:eastAsia="Arial" w:hAnsi="Arial"/>
          <w:sz w:val="17"/>
          <w:szCs w:val="17"/>
          <w:b w:val="1"/>
          <w:bCs w:val="1"/>
          <w:color w:val="auto"/>
        </w:rPr>
        <w:t>US GAAP</w:t>
      </w:r>
      <w:r>
        <w:rPr>
          <w:rFonts w:ascii="Arial" w:cs="Arial" w:eastAsia="Arial" w:hAnsi="Arial"/>
          <w:sz w:val="17"/>
          <w:szCs w:val="17"/>
          <w:color w:val="auto"/>
        </w:rPr>
        <w:t>), except for:</w:t>
      </w:r>
    </w:p>
    <w:p>
      <w:pPr>
        <w:spacing w:after="0" w:line="85" w:lineRule="exact"/>
        <w:rPr>
          <w:sz w:val="20"/>
          <w:szCs w:val="20"/>
          <w:color w:val="auto"/>
        </w:rPr>
      </w:pPr>
    </w:p>
    <w:p>
      <w:pPr>
        <w:jc w:val="both"/>
        <w:ind w:left="1249" w:right="440" w:hanging="737"/>
        <w:spacing w:after="0" w:line="269" w:lineRule="auto"/>
        <w:tabs>
          <w:tab w:leader="none" w:pos="1229" w:val="left"/>
        </w:tabs>
        <w:rPr>
          <w:sz w:val="20"/>
          <w:szCs w:val="20"/>
          <w:color w:val="auto"/>
        </w:rPr>
      </w:pPr>
      <w:r>
        <w:rPr>
          <w:rFonts w:ascii="Arial" w:cs="Arial" w:eastAsia="Arial" w:hAnsi="Arial"/>
          <w:sz w:val="17"/>
          <w:szCs w:val="17"/>
          <w:color w:val="auto"/>
        </w:rPr>
        <w:t>21.1.1</w:t>
      </w:r>
      <w:r>
        <w:rPr>
          <w:sz w:val="20"/>
          <w:szCs w:val="20"/>
          <w:color w:val="auto"/>
        </w:rPr>
        <w:tab/>
      </w:r>
      <w:r>
        <w:rPr>
          <w:rFonts w:ascii="Arial" w:cs="Arial" w:eastAsia="Arial" w:hAnsi="Arial"/>
          <w:sz w:val="17"/>
          <w:szCs w:val="17"/>
          <w:color w:val="auto"/>
        </w:rPr>
        <w:t xml:space="preserve">Liabilities disclosed, reflected or reserved against in the unaudited balance sheet of OncoMed Target as of 31 December 2018, included in OncoMed Target’s Report on Form 10-Q for the fiscal quarter ended 31 December 2018, as filed with the SEC (the </w:t>
      </w:r>
      <w:r>
        <w:rPr>
          <w:rFonts w:ascii="Arial" w:cs="Arial" w:eastAsia="Arial" w:hAnsi="Arial"/>
          <w:sz w:val="17"/>
          <w:szCs w:val="17"/>
          <w:b w:val="1"/>
          <w:bCs w:val="1"/>
          <w:color w:val="auto"/>
        </w:rPr>
        <w:t>OncoMed Target Unaudited Interim Balance Sheet</w:t>
      </w:r>
      <w:r>
        <w:rPr>
          <w:rFonts w:ascii="Arial" w:cs="Arial" w:eastAsia="Arial" w:hAnsi="Arial"/>
          <w:sz w:val="17"/>
          <w:szCs w:val="17"/>
          <w:color w:val="auto"/>
        </w:rPr>
        <w:t>);</w:t>
      </w:r>
    </w:p>
    <w:p>
      <w:pPr>
        <w:spacing w:after="0" w:line="81" w:lineRule="exact"/>
        <w:rPr>
          <w:sz w:val="20"/>
          <w:szCs w:val="20"/>
          <w:color w:val="auto"/>
        </w:rPr>
      </w:pPr>
    </w:p>
    <w:p>
      <w:pPr>
        <w:jc w:val="both"/>
        <w:ind w:left="1249" w:hanging="737"/>
        <w:spacing w:after="0" w:line="321" w:lineRule="auto"/>
        <w:tabs>
          <w:tab w:leader="none" w:pos="1229" w:val="left"/>
        </w:tabs>
        <w:rPr>
          <w:sz w:val="20"/>
          <w:szCs w:val="20"/>
          <w:color w:val="auto"/>
        </w:rPr>
      </w:pPr>
      <w:r>
        <w:rPr>
          <w:rFonts w:ascii="Arial" w:cs="Arial" w:eastAsia="Arial" w:hAnsi="Arial"/>
          <w:sz w:val="17"/>
          <w:szCs w:val="17"/>
          <w:color w:val="auto"/>
        </w:rPr>
        <w:t>21.1.2</w:t>
      </w:r>
      <w:r>
        <w:rPr>
          <w:sz w:val="20"/>
          <w:szCs w:val="20"/>
          <w:color w:val="auto"/>
        </w:rPr>
        <w:tab/>
      </w:r>
      <w:r>
        <w:rPr>
          <w:rFonts w:ascii="Arial" w:cs="Arial" w:eastAsia="Arial" w:hAnsi="Arial"/>
          <w:sz w:val="15"/>
          <w:szCs w:val="15"/>
          <w:color w:val="auto"/>
        </w:rPr>
        <w:t>normal and recurring current Liabilities that have been incurred by OncoMed Target since the date of the OncoMed Target Unaudited Interim Balance Sheet in the Ordinary Course of Business (as defined in the OncoMed Merger Agreement) (none of which relates to any breach of contract, breach of warranty, tort, infringement, or violation of Law (as defined in the OncoMed Merger Agreement));</w:t>
      </w:r>
    </w:p>
    <w:p>
      <w:pPr>
        <w:spacing w:after="0" w:line="46" w:lineRule="exact"/>
        <w:rPr>
          <w:sz w:val="20"/>
          <w:szCs w:val="20"/>
          <w:color w:val="auto"/>
        </w:rPr>
      </w:pPr>
    </w:p>
    <w:p>
      <w:pPr>
        <w:ind w:left="1249" w:right="340" w:hanging="737"/>
        <w:spacing w:after="0" w:line="284" w:lineRule="auto"/>
        <w:tabs>
          <w:tab w:leader="none" w:pos="1229" w:val="left"/>
        </w:tabs>
        <w:rPr>
          <w:sz w:val="20"/>
          <w:szCs w:val="20"/>
          <w:color w:val="auto"/>
        </w:rPr>
      </w:pPr>
      <w:r>
        <w:rPr>
          <w:rFonts w:ascii="Arial" w:cs="Arial" w:eastAsia="Arial" w:hAnsi="Arial"/>
          <w:sz w:val="17"/>
          <w:szCs w:val="17"/>
          <w:color w:val="auto"/>
        </w:rPr>
        <w:t>21.1.3</w:t>
      </w:r>
      <w:r>
        <w:rPr>
          <w:sz w:val="20"/>
          <w:szCs w:val="20"/>
          <w:color w:val="auto"/>
        </w:rPr>
        <w:tab/>
      </w:r>
      <w:r>
        <w:rPr>
          <w:rFonts w:ascii="Arial" w:cs="Arial" w:eastAsia="Arial" w:hAnsi="Arial"/>
          <w:sz w:val="17"/>
          <w:szCs w:val="17"/>
          <w:color w:val="auto"/>
        </w:rPr>
        <w:t>Liabilities for performance of obligations of OncoMed Target under the Company Contracts (as defined in the OncoMed Merger Agreement);</w:t>
      </w:r>
    </w:p>
    <w:p>
      <w:pPr>
        <w:spacing w:after="0" w:line="68" w:lineRule="exact"/>
        <w:rPr>
          <w:sz w:val="20"/>
          <w:szCs w:val="20"/>
          <w:color w:val="auto"/>
        </w:rPr>
      </w:pPr>
    </w:p>
    <w:p>
      <w:pPr>
        <w:ind w:left="509"/>
        <w:spacing w:after="0"/>
        <w:tabs>
          <w:tab w:leader="none" w:pos="1229" w:val="left"/>
        </w:tabs>
        <w:rPr>
          <w:sz w:val="20"/>
          <w:szCs w:val="20"/>
          <w:color w:val="auto"/>
        </w:rPr>
      </w:pPr>
      <w:r>
        <w:rPr>
          <w:rFonts w:ascii="Arial" w:cs="Arial" w:eastAsia="Arial" w:hAnsi="Arial"/>
          <w:sz w:val="17"/>
          <w:szCs w:val="17"/>
          <w:color w:val="auto"/>
        </w:rPr>
        <w:t>21.1.4</w:t>
      </w:r>
      <w:r>
        <w:rPr>
          <w:sz w:val="20"/>
          <w:szCs w:val="20"/>
          <w:color w:val="auto"/>
        </w:rPr>
        <w:tab/>
      </w:r>
      <w:r>
        <w:rPr>
          <w:rFonts w:ascii="Arial" w:cs="Arial" w:eastAsia="Arial" w:hAnsi="Arial"/>
          <w:sz w:val="15"/>
          <w:szCs w:val="15"/>
          <w:color w:val="auto"/>
        </w:rPr>
        <w:t>Liabilities incurred in connection with the Contemplated Transactions (as defined in the OncoMed Merger Agreement);</w:t>
      </w:r>
    </w:p>
    <w:p>
      <w:pPr>
        <w:spacing w:after="0" w:line="128" w:lineRule="exact"/>
        <w:rPr>
          <w:sz w:val="20"/>
          <w:szCs w:val="20"/>
          <w:color w:val="auto"/>
        </w:rPr>
      </w:pPr>
    </w:p>
    <w:p>
      <w:pPr>
        <w:ind w:left="509"/>
        <w:spacing w:after="0"/>
        <w:tabs>
          <w:tab w:leader="none" w:pos="1229" w:val="left"/>
        </w:tabs>
        <w:rPr>
          <w:sz w:val="20"/>
          <w:szCs w:val="20"/>
          <w:color w:val="auto"/>
        </w:rPr>
      </w:pPr>
      <w:r>
        <w:rPr>
          <w:rFonts w:ascii="Arial" w:cs="Arial" w:eastAsia="Arial" w:hAnsi="Arial"/>
          <w:sz w:val="17"/>
          <w:szCs w:val="17"/>
          <w:color w:val="auto"/>
        </w:rPr>
        <w:t>21.1.5</w:t>
      </w:r>
      <w:r>
        <w:rPr>
          <w:sz w:val="20"/>
          <w:szCs w:val="20"/>
          <w:color w:val="auto"/>
        </w:rPr>
        <w:tab/>
      </w:r>
      <w:r>
        <w:rPr>
          <w:rFonts w:ascii="Arial" w:cs="Arial" w:eastAsia="Arial" w:hAnsi="Arial"/>
          <w:sz w:val="16"/>
          <w:szCs w:val="16"/>
          <w:color w:val="auto"/>
        </w:rPr>
        <w:t>Liabilities disclosed or provided for in the Net Cash Calculation.</w:t>
      </w:r>
    </w:p>
    <w:p>
      <w:pPr>
        <w:spacing w:after="0" w:line="355" w:lineRule="exact"/>
        <w:rPr>
          <w:sz w:val="20"/>
          <w:szCs w:val="20"/>
          <w:color w:val="auto"/>
        </w:rPr>
      </w:pPr>
    </w:p>
    <w:p>
      <w:pPr>
        <w:ind w:left="509" w:hanging="509"/>
        <w:spacing w:after="0"/>
        <w:tabs>
          <w:tab w:leader="none" w:pos="509" w:val="left"/>
        </w:tabs>
        <w:numPr>
          <w:ilvl w:val="0"/>
          <w:numId w:val="218"/>
        </w:numPr>
        <w:rPr>
          <w:rFonts w:ascii="Arial" w:cs="Arial" w:eastAsia="Arial" w:hAnsi="Arial"/>
          <w:sz w:val="17"/>
          <w:szCs w:val="17"/>
          <w:color w:val="auto"/>
        </w:rPr>
      </w:pPr>
      <w:r>
        <w:rPr>
          <w:rFonts w:ascii="Arial" w:cs="Arial" w:eastAsia="Arial" w:hAnsi="Arial"/>
          <w:sz w:val="17"/>
          <w:szCs w:val="17"/>
          <w:b w:val="1"/>
          <w:bCs w:val="1"/>
          <w:color w:val="auto"/>
        </w:rPr>
        <w:t>ONCOMED LITIGATION</w:t>
      </w:r>
    </w:p>
    <w:p>
      <w:pPr>
        <w:spacing w:after="0" w:line="134" w:lineRule="exact"/>
        <w:rPr>
          <w:sz w:val="20"/>
          <w:szCs w:val="20"/>
          <w:color w:val="auto"/>
        </w:rPr>
      </w:pPr>
    </w:p>
    <w:p>
      <w:pPr>
        <w:ind w:left="509" w:right="180" w:hanging="517"/>
        <w:spacing w:after="0" w:line="269" w:lineRule="auto"/>
        <w:tabs>
          <w:tab w:leader="none" w:pos="489" w:val="left"/>
        </w:tabs>
        <w:rPr>
          <w:sz w:val="20"/>
          <w:szCs w:val="20"/>
          <w:color w:val="auto"/>
        </w:rPr>
      </w:pPr>
      <w:r>
        <w:rPr>
          <w:rFonts w:ascii="Arial" w:cs="Arial" w:eastAsia="Arial" w:hAnsi="Arial"/>
          <w:sz w:val="17"/>
          <w:szCs w:val="17"/>
          <w:color w:val="auto"/>
        </w:rPr>
        <w:t>22.1</w:t>
        <w:tab/>
        <w:t>Except as would not, individually or in the aggregate, reasonably be expected to have a Company Material Adverse Effect , to the Borrower’s Knowledge, there is no current or pending or threatened Legal Proceeding (including, but not limited to, opposition, interference or other proceeding in any patent or other government office):</w:t>
      </w:r>
    </w:p>
    <w:p>
      <w:pPr>
        <w:spacing w:after="0" w:line="81" w:lineRule="exact"/>
        <w:rPr>
          <w:sz w:val="20"/>
          <w:szCs w:val="20"/>
          <w:color w:val="auto"/>
        </w:rPr>
      </w:pPr>
    </w:p>
    <w:p>
      <w:pPr>
        <w:ind w:left="1249" w:right="380" w:hanging="737"/>
        <w:spacing w:after="0" w:line="284" w:lineRule="auto"/>
        <w:tabs>
          <w:tab w:leader="none" w:pos="1229" w:val="left"/>
        </w:tabs>
        <w:rPr>
          <w:sz w:val="20"/>
          <w:szCs w:val="20"/>
          <w:color w:val="auto"/>
        </w:rPr>
      </w:pPr>
      <w:r>
        <w:rPr>
          <w:rFonts w:ascii="Arial" w:cs="Arial" w:eastAsia="Arial" w:hAnsi="Arial"/>
          <w:sz w:val="17"/>
          <w:szCs w:val="17"/>
          <w:color w:val="auto"/>
        </w:rPr>
        <w:t>22.1.1</w:t>
      </w:r>
      <w:r>
        <w:rPr>
          <w:sz w:val="20"/>
          <w:szCs w:val="20"/>
          <w:color w:val="auto"/>
        </w:rPr>
        <w:tab/>
      </w:r>
      <w:r>
        <w:rPr>
          <w:rFonts w:ascii="Arial" w:cs="Arial" w:eastAsia="Arial" w:hAnsi="Arial"/>
          <w:sz w:val="17"/>
          <w:szCs w:val="17"/>
          <w:color w:val="auto"/>
        </w:rPr>
        <w:t>contesting the validity, enforceability, claim construction, ownership or right to use, sell, offer for sale, license or dispose of any Company IP Rights); or</w:t>
      </w:r>
    </w:p>
    <w:p>
      <w:pPr>
        <w:spacing w:after="0" w:line="94" w:lineRule="exact"/>
        <w:rPr>
          <w:sz w:val="20"/>
          <w:szCs w:val="20"/>
          <w:color w:val="auto"/>
        </w:rPr>
      </w:pPr>
    </w:p>
    <w:p>
      <w:pPr>
        <w:jc w:val="center"/>
        <w:ind w:right="-88"/>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469"/>
          </w:cols>
          <w:pgMar w:left="671" w:top="269" w:right="759" w:bottom="1440" w:gutter="0" w:footer="0" w:header="0"/>
        </w:sectPr>
      </w:pPr>
    </w:p>
    <w:bookmarkStart w:id="253" w:name="page254"/>
    <w:bookmarkEnd w:id="253"/>
    <w:p>
      <w:pPr>
        <w:ind w:left="1240" w:hanging="737"/>
        <w:spacing w:after="0" w:line="285" w:lineRule="auto"/>
        <w:tabs>
          <w:tab w:leader="none" w:pos="122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22.1.2</w:t>
      </w:r>
      <w:r>
        <w:rPr>
          <w:sz w:val="20"/>
          <w:szCs w:val="20"/>
          <w:color w:val="auto"/>
        </w:rPr>
        <w:tab/>
      </w:r>
      <w:r>
        <w:rPr>
          <w:rFonts w:ascii="Arial" w:cs="Arial" w:eastAsia="Arial" w:hAnsi="Arial"/>
          <w:sz w:val="16"/>
          <w:szCs w:val="16"/>
          <w:color w:val="auto"/>
        </w:rPr>
        <w:t>alleging that any Company IP Rights or the proposed use, sale, offer for sale, license or disposition of products, methods, or processes claimed or covered thereunder conflicts with or infringes, misappropriates or otherwise violates or will conflict with or infringe, misappropriate or otherwise violate the rights of any other person or that OncoMed Target has otherwise infringed, misappropriated or otherwise violated any Intellectual Property (as defined in the OncoMed Merger Agreement) of any person.</w:t>
      </w:r>
    </w:p>
    <w:p>
      <w:pPr>
        <w:spacing w:after="0" w:line="71" w:lineRule="exact"/>
        <w:rPr>
          <w:sz w:val="20"/>
          <w:szCs w:val="20"/>
          <w:color w:val="auto"/>
        </w:rPr>
      </w:pPr>
    </w:p>
    <w:p>
      <w:pPr>
        <w:ind w:left="500" w:right="140" w:hanging="517"/>
        <w:spacing w:after="0" w:line="264" w:lineRule="auto"/>
        <w:tabs>
          <w:tab w:leader="none" w:pos="480" w:val="left"/>
        </w:tabs>
        <w:rPr>
          <w:sz w:val="20"/>
          <w:szCs w:val="20"/>
          <w:color w:val="auto"/>
        </w:rPr>
      </w:pPr>
      <w:r>
        <w:rPr>
          <w:rFonts w:ascii="Arial" w:cs="Arial" w:eastAsia="Arial" w:hAnsi="Arial"/>
          <w:sz w:val="17"/>
          <w:szCs w:val="17"/>
          <w:color w:val="auto"/>
        </w:rPr>
        <w:t>22.2</w:t>
        <w:tab/>
        <w:t>To the Borrower’s Knowledge, except as would not, individually or in the aggregate, reasonably be expected to have a Company Material Adverse Effect, none of the Company IP Rights is subject to any outstanding order of, judgment of, decree of or agreement with any Governmental Authority (as defined in the OncoMed Merger Agreement) that limits the ability of OncoMed Target to exploit any Company IP Rights.</w:t>
      </w:r>
    </w:p>
    <w:p>
      <w:pPr>
        <w:spacing w:after="0" w:line="85"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6"/>
          <w:szCs w:val="16"/>
          <w:color w:val="auto"/>
        </w:rPr>
        <w:t>To the Borrower’s Knowledge:</w:t>
      </w:r>
    </w:p>
    <w:p>
      <w:pPr>
        <w:spacing w:after="0" w:line="128" w:lineRule="exact"/>
        <w:rPr>
          <w:sz w:val="20"/>
          <w:szCs w:val="20"/>
          <w:color w:val="auto"/>
        </w:rPr>
      </w:pPr>
    </w:p>
    <w:p>
      <w:pPr>
        <w:ind w:left="1240" w:right="40" w:hanging="737"/>
        <w:spacing w:after="0" w:line="284" w:lineRule="auto"/>
        <w:tabs>
          <w:tab w:leader="none" w:pos="1220" w:val="left"/>
        </w:tabs>
        <w:rPr>
          <w:sz w:val="20"/>
          <w:szCs w:val="20"/>
          <w:color w:val="auto"/>
        </w:rPr>
      </w:pPr>
      <w:r>
        <w:rPr>
          <w:rFonts w:ascii="Arial" w:cs="Arial" w:eastAsia="Arial" w:hAnsi="Arial"/>
          <w:sz w:val="17"/>
          <w:szCs w:val="17"/>
          <w:color w:val="auto"/>
        </w:rPr>
        <w:t>22.3.1</w:t>
      </w:r>
      <w:r>
        <w:rPr>
          <w:sz w:val="20"/>
          <w:szCs w:val="20"/>
          <w:color w:val="auto"/>
        </w:rPr>
        <w:tab/>
      </w:r>
      <w:r>
        <w:rPr>
          <w:rFonts w:ascii="Arial" w:cs="Arial" w:eastAsia="Arial" w:hAnsi="Arial"/>
          <w:sz w:val="17"/>
          <w:szCs w:val="17"/>
          <w:color w:val="auto"/>
        </w:rPr>
        <w:t xml:space="preserve">OncoMed Target holds all required Governmental Authorizations (as defined in the OncoMed Merger Agreement) which are material to the operation of the business of OncoMed Target as currently conducted (the </w:t>
      </w:r>
      <w:r>
        <w:rPr>
          <w:rFonts w:ascii="Arial" w:cs="Arial" w:eastAsia="Arial" w:hAnsi="Arial"/>
          <w:sz w:val="17"/>
          <w:szCs w:val="17"/>
          <w:b w:val="1"/>
          <w:bCs w:val="1"/>
          <w:color w:val="auto"/>
        </w:rPr>
        <w:t>Permits</w:t>
      </w:r>
      <w:r>
        <w:rPr>
          <w:rFonts w:ascii="Arial" w:cs="Arial" w:eastAsia="Arial" w:hAnsi="Arial"/>
          <w:sz w:val="17"/>
          <w:szCs w:val="17"/>
          <w:color w:val="auto"/>
        </w:rPr>
        <w:t>);</w:t>
      </w:r>
    </w:p>
    <w:p>
      <w:pPr>
        <w:spacing w:after="0" w:line="68" w:lineRule="exact"/>
        <w:rPr>
          <w:sz w:val="20"/>
          <w:szCs w:val="20"/>
          <w:color w:val="auto"/>
        </w:rPr>
      </w:pPr>
    </w:p>
    <w:p>
      <w:pPr>
        <w:ind w:left="1240" w:right="100" w:hanging="737"/>
        <w:spacing w:after="0" w:line="284" w:lineRule="auto"/>
        <w:tabs>
          <w:tab w:leader="none" w:pos="1220" w:val="left"/>
        </w:tabs>
        <w:rPr>
          <w:sz w:val="20"/>
          <w:szCs w:val="20"/>
          <w:color w:val="auto"/>
        </w:rPr>
      </w:pPr>
      <w:r>
        <w:rPr>
          <w:rFonts w:ascii="Arial" w:cs="Arial" w:eastAsia="Arial" w:hAnsi="Arial"/>
          <w:sz w:val="17"/>
          <w:szCs w:val="17"/>
          <w:color w:val="auto"/>
        </w:rPr>
        <w:t>22.3.2</w:t>
      </w:r>
      <w:r>
        <w:rPr>
          <w:sz w:val="20"/>
          <w:szCs w:val="20"/>
          <w:color w:val="auto"/>
        </w:rPr>
        <w:tab/>
      </w:r>
      <w:r>
        <w:rPr>
          <w:rFonts w:ascii="Arial" w:cs="Arial" w:eastAsia="Arial" w:hAnsi="Arial"/>
          <w:sz w:val="17"/>
          <w:szCs w:val="17"/>
          <w:color w:val="auto"/>
        </w:rPr>
        <w:t>OncoMed Target is in material compliance with the terms of the Permits. No Legal Proceeding is pending or threatened, which seeks to revoke, limit, suspend, or materially modify any Permit; and</w:t>
      </w:r>
    </w:p>
    <w:p>
      <w:pPr>
        <w:spacing w:after="0" w:line="68" w:lineRule="exact"/>
        <w:rPr>
          <w:sz w:val="20"/>
          <w:szCs w:val="20"/>
          <w:color w:val="auto"/>
        </w:rPr>
      </w:pPr>
    </w:p>
    <w:p>
      <w:pPr>
        <w:ind w:left="1240" w:right="80" w:hanging="737"/>
        <w:spacing w:after="0" w:line="264" w:lineRule="auto"/>
        <w:tabs>
          <w:tab w:leader="none" w:pos="1220" w:val="left"/>
        </w:tabs>
        <w:rPr>
          <w:sz w:val="20"/>
          <w:szCs w:val="20"/>
          <w:color w:val="auto"/>
        </w:rPr>
      </w:pPr>
      <w:r>
        <w:rPr>
          <w:rFonts w:ascii="Arial" w:cs="Arial" w:eastAsia="Arial" w:hAnsi="Arial"/>
          <w:sz w:val="17"/>
          <w:szCs w:val="17"/>
          <w:color w:val="auto"/>
        </w:rPr>
        <w:t>22.3.3</w:t>
      </w:r>
      <w:r>
        <w:rPr>
          <w:sz w:val="20"/>
          <w:szCs w:val="20"/>
          <w:color w:val="auto"/>
        </w:rPr>
        <w:tab/>
      </w:r>
      <w:r>
        <w:rPr>
          <w:rFonts w:ascii="Arial" w:cs="Arial" w:eastAsia="Arial" w:hAnsi="Arial"/>
          <w:sz w:val="17"/>
          <w:szCs w:val="17"/>
          <w:color w:val="auto"/>
        </w:rPr>
        <w:t>the rights and benefits of each Permit will be available to OncoMed Target (the surviving corporation in the OncoMed Acquisition) immediately after the time as of which the OncoMed Acquisition becomes effective on terms substantially identical to those enjoyed by OncoMed Target as of the date of the OncoMed Merger Agreement and immediately prior to the Effective Time (as defined in the OncoMed Merger Agreement).</w:t>
      </w:r>
    </w:p>
    <w:p>
      <w:pPr>
        <w:spacing w:after="0" w:line="85" w:lineRule="exact"/>
        <w:rPr>
          <w:sz w:val="20"/>
          <w:szCs w:val="20"/>
          <w:color w:val="auto"/>
        </w:rPr>
      </w:pPr>
    </w:p>
    <w:p>
      <w:pPr>
        <w:ind w:left="500" w:right="120" w:hanging="517"/>
        <w:spacing w:after="0" w:line="261" w:lineRule="auto"/>
        <w:tabs>
          <w:tab w:leader="none" w:pos="480" w:val="left"/>
        </w:tabs>
        <w:rPr>
          <w:sz w:val="20"/>
          <w:szCs w:val="20"/>
          <w:color w:val="auto"/>
        </w:rPr>
      </w:pPr>
      <w:r>
        <w:rPr>
          <w:rFonts w:ascii="Arial" w:cs="Arial" w:eastAsia="Arial" w:hAnsi="Arial"/>
          <w:sz w:val="17"/>
          <w:szCs w:val="17"/>
          <w:color w:val="auto"/>
        </w:rPr>
        <w:t>22.4</w:t>
        <w:tab/>
        <w:t>To the Borrower’s Knowledge, there are no Legal Proceedings pending or threatened with respect to an alleged material violation by OncoMed Target of the Federal Food, Drug, and Cosmetic Act (</w:t>
      </w:r>
      <w:r>
        <w:rPr>
          <w:rFonts w:ascii="Arial" w:cs="Arial" w:eastAsia="Arial" w:hAnsi="Arial"/>
          <w:sz w:val="17"/>
          <w:szCs w:val="17"/>
          <w:b w:val="1"/>
          <w:bCs w:val="1"/>
          <w:color w:val="auto"/>
        </w:rPr>
        <w:t>FDCA</w:t>
      </w:r>
      <w:r>
        <w:rPr>
          <w:rFonts w:ascii="Arial" w:cs="Arial" w:eastAsia="Arial" w:hAnsi="Arial"/>
          <w:sz w:val="17"/>
          <w:szCs w:val="17"/>
          <w:color w:val="auto"/>
        </w:rPr>
        <w:t>),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regulations adopted thereunder, the Controlled Substance Act or any other similar Law promulgated by the FDA or other comparable Governmental Authority (as defined in the OncoMed Merger Agreement) responsible for regulation of the development, clinical testing, manufacturing, sale, marketing, distribution and importation or exportation of drug products.</w:t>
      </w:r>
    </w:p>
    <w:p>
      <w:pPr>
        <w:spacing w:after="0" w:line="90" w:lineRule="exact"/>
        <w:rPr>
          <w:sz w:val="20"/>
          <w:szCs w:val="20"/>
          <w:color w:val="auto"/>
        </w:rPr>
      </w:pPr>
    </w:p>
    <w:p>
      <w:pPr>
        <w:ind w:left="500" w:right="800" w:hanging="517"/>
        <w:spacing w:after="0" w:line="284" w:lineRule="auto"/>
        <w:tabs>
          <w:tab w:leader="none" w:pos="480" w:val="left"/>
        </w:tabs>
        <w:rPr>
          <w:sz w:val="20"/>
          <w:szCs w:val="20"/>
          <w:color w:val="auto"/>
        </w:rPr>
      </w:pPr>
      <w:r>
        <w:rPr>
          <w:rFonts w:ascii="Arial" w:cs="Arial" w:eastAsia="Arial" w:hAnsi="Arial"/>
          <w:sz w:val="17"/>
          <w:szCs w:val="17"/>
          <w:color w:val="auto"/>
        </w:rPr>
        <w:t>22.5</w:t>
        <w:tab/>
        <w:t>To the Borrower’s Knowledge, there is no pending Legal Proceeding and no person has threatened in writing to commence any Legal Proceeding:</w:t>
      </w:r>
    </w:p>
    <w:p>
      <w:pPr>
        <w:spacing w:after="0" w:line="68" w:lineRule="exact"/>
        <w:rPr>
          <w:sz w:val="20"/>
          <w:szCs w:val="20"/>
          <w:color w:val="auto"/>
        </w:rPr>
      </w:pPr>
    </w:p>
    <w:p>
      <w:pPr>
        <w:ind w:left="1240" w:right="380" w:hanging="737"/>
        <w:spacing w:after="0" w:line="316" w:lineRule="auto"/>
        <w:tabs>
          <w:tab w:leader="none" w:pos="1220" w:val="left"/>
        </w:tabs>
        <w:rPr>
          <w:sz w:val="20"/>
          <w:szCs w:val="20"/>
          <w:color w:val="auto"/>
        </w:rPr>
      </w:pPr>
      <w:r>
        <w:rPr>
          <w:rFonts w:ascii="Arial" w:cs="Arial" w:eastAsia="Arial" w:hAnsi="Arial"/>
          <w:sz w:val="17"/>
          <w:szCs w:val="17"/>
          <w:color w:val="auto"/>
        </w:rPr>
        <w:t>22.5.1</w:t>
      </w:r>
      <w:r>
        <w:rPr>
          <w:sz w:val="20"/>
          <w:szCs w:val="20"/>
          <w:color w:val="auto"/>
        </w:rPr>
        <w:tab/>
      </w:r>
      <w:r>
        <w:rPr>
          <w:rFonts w:ascii="Arial" w:cs="Arial" w:eastAsia="Arial" w:hAnsi="Arial"/>
          <w:sz w:val="16"/>
          <w:szCs w:val="16"/>
          <w:color w:val="auto"/>
        </w:rPr>
        <w:t>that involves OncoMed Target, any current or former director, officer or employee of, or independent contractor or consultant to, OncoMed Target (in his or her capacity as such) or any of the material assets owned or used by OncoMed Target;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20"/>
          </w:cols>
          <w:pgMar w:left="680" w:top="270" w:right="699" w:bottom="1440" w:gutter="0" w:footer="0" w:header="0"/>
        </w:sectPr>
      </w:pPr>
    </w:p>
    <w:bookmarkStart w:id="254" w:name="page255"/>
    <w:bookmarkEnd w:id="254"/>
    <w:p>
      <w:pPr>
        <w:ind w:left="1249" w:right="160" w:hanging="737"/>
        <w:spacing w:after="0" w:line="284" w:lineRule="auto"/>
        <w:tabs>
          <w:tab w:leader="none" w:pos="1229"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22.5.2</w:t>
      </w:r>
      <w:r>
        <w:rPr>
          <w:sz w:val="20"/>
          <w:szCs w:val="20"/>
          <w:color w:val="auto"/>
        </w:rPr>
        <w:tab/>
      </w:r>
      <w:r>
        <w:rPr>
          <w:rFonts w:ascii="Arial" w:cs="Arial" w:eastAsia="Arial" w:hAnsi="Arial"/>
          <w:sz w:val="17"/>
          <w:szCs w:val="17"/>
          <w:color w:val="auto"/>
        </w:rPr>
        <w:t>that challenges, or that may have the effect of preventing, delaying, making illegal or otherwise interfering with, the Contemplated Transactions (as defined in the OncoMed Merger Agreement).</w:t>
      </w:r>
    </w:p>
    <w:p>
      <w:pPr>
        <w:spacing w:after="0" w:line="68" w:lineRule="exact"/>
        <w:rPr>
          <w:sz w:val="20"/>
          <w:szCs w:val="20"/>
          <w:color w:val="auto"/>
        </w:rPr>
      </w:pPr>
    </w:p>
    <w:p>
      <w:pPr>
        <w:ind w:left="509" w:right="40" w:hanging="517"/>
        <w:spacing w:after="0" w:line="261" w:lineRule="auto"/>
        <w:tabs>
          <w:tab w:leader="none" w:pos="489" w:val="left"/>
        </w:tabs>
        <w:rPr>
          <w:sz w:val="20"/>
          <w:szCs w:val="20"/>
          <w:color w:val="auto"/>
        </w:rPr>
      </w:pPr>
      <w:r>
        <w:rPr>
          <w:rFonts w:ascii="Arial" w:cs="Arial" w:eastAsia="Arial" w:hAnsi="Arial"/>
          <w:sz w:val="17"/>
          <w:szCs w:val="17"/>
          <w:color w:val="auto"/>
        </w:rPr>
        <w:t>22.6</w:t>
        <w:tab/>
        <w:t>To the Borrower’s Knowledge, there is no Order (as defined in the OncoMed Merger Agreement) to which OncoMed Target, or any of the material assets owned or used by OncoMed Target, is subject. To the Borrower’s Knowledge , no officer or other Key Employee (as defined in the OncoMed Merger Agreement) of OncoMed Target is subject to any Order (as defined in the OncoMed Merger Agreement) that prohibits such officer or employee from engaging in or continuing any conduct, activity or practice relating to the business of OncoMed Target or to any material assets owned or used by OncoMed Target.</w:t>
      </w:r>
    </w:p>
    <w:p>
      <w:pPr>
        <w:spacing w:after="0" w:line="90" w:lineRule="exact"/>
        <w:rPr>
          <w:sz w:val="20"/>
          <w:szCs w:val="20"/>
          <w:color w:val="auto"/>
        </w:rPr>
      </w:pPr>
    </w:p>
    <w:p>
      <w:pPr>
        <w:ind w:left="509" w:hanging="517"/>
        <w:spacing w:after="0" w:line="301" w:lineRule="auto"/>
        <w:tabs>
          <w:tab w:leader="none" w:pos="489" w:val="left"/>
        </w:tabs>
        <w:rPr>
          <w:sz w:val="20"/>
          <w:szCs w:val="20"/>
          <w:color w:val="auto"/>
        </w:rPr>
      </w:pPr>
      <w:r>
        <w:rPr>
          <w:rFonts w:ascii="Arial" w:cs="Arial" w:eastAsia="Arial" w:hAnsi="Arial"/>
          <w:sz w:val="17"/>
          <w:szCs w:val="17"/>
          <w:color w:val="auto"/>
        </w:rPr>
        <w:t>22.7</w:t>
      </w:r>
      <w:r>
        <w:rPr>
          <w:sz w:val="20"/>
          <w:szCs w:val="20"/>
          <w:color w:val="auto"/>
        </w:rPr>
        <w:tab/>
      </w:r>
      <w:r>
        <w:rPr>
          <w:rFonts w:ascii="Arial" w:cs="Arial" w:eastAsia="Arial" w:hAnsi="Arial"/>
          <w:sz w:val="15"/>
          <w:szCs w:val="15"/>
          <w:color w:val="auto"/>
        </w:rPr>
        <w:t>To the Borrower’s Knowledge, OncoMed Target is not, and OncoMed Target has not been, engaged in any unfair labour practice within the meaning of the United States National Labor Relations Act. To the Borrower’s Knowledge, there is no Legal Proceeding, claim, labour dispute or grievance pending or threatened or reasonably anticipated relating to any employment contract, privacy right, labour dispute, wages and hours, leave of absence, plant closing notification, workers’ compensation policy, long-term disability policy, harassment, retaliation, immigration, employment statute or regulation, safety or discrimination matter involving any current or former director, officer or employee of, or independent contractor or consultant to, OncoMed Target, including charges of unfair labour practices or discrimination complaints.</w:t>
      </w:r>
    </w:p>
    <w:p>
      <w:pPr>
        <w:spacing w:after="0" w:line="289" w:lineRule="exact"/>
        <w:rPr>
          <w:sz w:val="20"/>
          <w:szCs w:val="20"/>
          <w:color w:val="auto"/>
        </w:rPr>
      </w:pPr>
    </w:p>
    <w:p>
      <w:pPr>
        <w:ind w:left="509" w:hanging="509"/>
        <w:spacing w:after="0"/>
        <w:tabs>
          <w:tab w:leader="none" w:pos="509" w:val="left"/>
        </w:tabs>
        <w:numPr>
          <w:ilvl w:val="0"/>
          <w:numId w:val="219"/>
        </w:numPr>
        <w:rPr>
          <w:rFonts w:ascii="Arial" w:cs="Arial" w:eastAsia="Arial" w:hAnsi="Arial"/>
          <w:sz w:val="17"/>
          <w:szCs w:val="17"/>
          <w:color w:val="auto"/>
        </w:rPr>
      </w:pPr>
      <w:r>
        <w:rPr>
          <w:rFonts w:ascii="Arial" w:cs="Arial" w:eastAsia="Arial" w:hAnsi="Arial"/>
          <w:sz w:val="17"/>
          <w:szCs w:val="17"/>
          <w:b w:val="1"/>
          <w:bCs w:val="1"/>
          <w:color w:val="auto"/>
        </w:rPr>
        <w:t>ONCOMED PERMITTED DISTRIBUTIONS</w:t>
      </w:r>
    </w:p>
    <w:p>
      <w:pPr>
        <w:spacing w:after="0" w:line="134" w:lineRule="exact"/>
        <w:rPr>
          <w:sz w:val="20"/>
          <w:szCs w:val="20"/>
          <w:color w:val="auto"/>
        </w:rPr>
      </w:pPr>
    </w:p>
    <w:p>
      <w:pPr>
        <w:ind w:left="509" w:right="60" w:hanging="517"/>
        <w:spacing w:after="0" w:line="284" w:lineRule="auto"/>
        <w:tabs>
          <w:tab w:leader="none" w:pos="489" w:val="left"/>
        </w:tabs>
        <w:rPr>
          <w:sz w:val="20"/>
          <w:szCs w:val="20"/>
          <w:color w:val="auto"/>
        </w:rPr>
      </w:pPr>
      <w:r>
        <w:rPr>
          <w:rFonts w:ascii="Arial" w:cs="Arial" w:eastAsia="Arial" w:hAnsi="Arial"/>
          <w:sz w:val="17"/>
          <w:szCs w:val="17"/>
          <w:color w:val="auto"/>
        </w:rPr>
        <w:t>23.1</w:t>
        <w:tab/>
        <w:t>To the Borrower’s Knowledge, the OncoMed Companies have no obligation to pay dividends or distributions including in respect of long term incentive plans or employee and officer share schemes other than:</w:t>
      </w:r>
    </w:p>
    <w:p>
      <w:pPr>
        <w:spacing w:after="0" w:line="68" w:lineRule="exact"/>
        <w:rPr>
          <w:sz w:val="20"/>
          <w:szCs w:val="20"/>
          <w:color w:val="auto"/>
        </w:rPr>
      </w:pPr>
    </w:p>
    <w:p>
      <w:pPr>
        <w:ind w:left="509"/>
        <w:spacing w:after="0"/>
        <w:tabs>
          <w:tab w:leader="none" w:pos="1229" w:val="left"/>
        </w:tabs>
        <w:rPr>
          <w:sz w:val="20"/>
          <w:szCs w:val="20"/>
          <w:color w:val="auto"/>
        </w:rPr>
      </w:pPr>
      <w:r>
        <w:rPr>
          <w:rFonts w:ascii="Arial" w:cs="Arial" w:eastAsia="Arial" w:hAnsi="Arial"/>
          <w:sz w:val="17"/>
          <w:szCs w:val="17"/>
          <w:color w:val="auto"/>
        </w:rPr>
        <w:t>23.1.1</w:t>
      </w:r>
      <w:r>
        <w:rPr>
          <w:sz w:val="20"/>
          <w:szCs w:val="20"/>
          <w:color w:val="auto"/>
        </w:rPr>
        <w:tab/>
      </w:r>
      <w:r>
        <w:rPr>
          <w:rFonts w:ascii="Arial" w:cs="Arial" w:eastAsia="Arial" w:hAnsi="Arial"/>
          <w:sz w:val="15"/>
          <w:szCs w:val="15"/>
          <w:color w:val="auto"/>
        </w:rPr>
        <w:t>in accordance with the Celgene Option (as defined in the Amended Facility Agreement);</w:t>
      </w:r>
    </w:p>
    <w:p>
      <w:pPr>
        <w:spacing w:after="0" w:line="128" w:lineRule="exact"/>
        <w:rPr>
          <w:sz w:val="20"/>
          <w:szCs w:val="20"/>
          <w:color w:val="auto"/>
        </w:rPr>
      </w:pPr>
    </w:p>
    <w:p>
      <w:pPr>
        <w:ind w:left="509"/>
        <w:spacing w:after="0"/>
        <w:tabs>
          <w:tab w:leader="none" w:pos="1229" w:val="left"/>
        </w:tabs>
        <w:rPr>
          <w:sz w:val="20"/>
          <w:szCs w:val="20"/>
          <w:color w:val="auto"/>
        </w:rPr>
      </w:pPr>
      <w:r>
        <w:rPr>
          <w:rFonts w:ascii="Arial" w:cs="Arial" w:eastAsia="Arial" w:hAnsi="Arial"/>
          <w:sz w:val="17"/>
          <w:szCs w:val="17"/>
          <w:color w:val="auto"/>
        </w:rPr>
        <w:t>23.1.2</w:t>
      </w:r>
      <w:r>
        <w:rPr>
          <w:sz w:val="20"/>
          <w:szCs w:val="20"/>
          <w:color w:val="auto"/>
        </w:rPr>
        <w:tab/>
      </w:r>
      <w:r>
        <w:rPr>
          <w:rFonts w:ascii="Arial" w:cs="Arial" w:eastAsia="Arial" w:hAnsi="Arial"/>
          <w:sz w:val="15"/>
          <w:szCs w:val="15"/>
          <w:color w:val="auto"/>
        </w:rPr>
        <w:t>in accordance with the OncoMed Existing CVR Agreement (as defined in the Amended Facility Agreement);</w:t>
      </w:r>
    </w:p>
    <w:p>
      <w:pPr>
        <w:spacing w:after="0" w:line="128" w:lineRule="exact"/>
        <w:rPr>
          <w:sz w:val="20"/>
          <w:szCs w:val="20"/>
          <w:color w:val="auto"/>
        </w:rPr>
      </w:pPr>
    </w:p>
    <w:p>
      <w:pPr>
        <w:ind w:left="1249" w:right="20" w:hanging="737"/>
        <w:spacing w:after="0" w:line="284" w:lineRule="auto"/>
        <w:tabs>
          <w:tab w:leader="none" w:pos="1229" w:val="left"/>
        </w:tabs>
        <w:rPr>
          <w:sz w:val="20"/>
          <w:szCs w:val="20"/>
          <w:color w:val="auto"/>
        </w:rPr>
      </w:pPr>
      <w:r>
        <w:rPr>
          <w:rFonts w:ascii="Arial" w:cs="Arial" w:eastAsia="Arial" w:hAnsi="Arial"/>
          <w:sz w:val="17"/>
          <w:szCs w:val="17"/>
          <w:color w:val="auto"/>
        </w:rPr>
        <w:t>23.1.3</w:t>
      </w:r>
      <w:r>
        <w:rPr>
          <w:sz w:val="20"/>
          <w:szCs w:val="20"/>
          <w:color w:val="auto"/>
        </w:rPr>
        <w:tab/>
      </w:r>
      <w:r>
        <w:rPr>
          <w:rFonts w:ascii="Arial" w:cs="Arial" w:eastAsia="Arial" w:hAnsi="Arial"/>
          <w:sz w:val="17"/>
          <w:szCs w:val="17"/>
          <w:color w:val="auto"/>
        </w:rPr>
        <w:t>in accordance with the OncoMed Acquisition CVR Agreement (as defined in the Amended Facility Agreement) to be entered into in accordance with the OncoMed Merger Agreement.</w:t>
      </w:r>
    </w:p>
    <w:p>
      <w:pPr>
        <w:spacing w:after="0" w:line="68" w:lineRule="exact"/>
        <w:rPr>
          <w:sz w:val="20"/>
          <w:szCs w:val="20"/>
          <w:color w:val="auto"/>
        </w:rPr>
      </w:pPr>
    </w:p>
    <w:p>
      <w:pPr>
        <w:ind w:left="509" w:right="180" w:hanging="517"/>
        <w:spacing w:after="0" w:line="284" w:lineRule="auto"/>
        <w:tabs>
          <w:tab w:leader="none" w:pos="489" w:val="left"/>
        </w:tabs>
        <w:rPr>
          <w:sz w:val="20"/>
          <w:szCs w:val="20"/>
          <w:color w:val="auto"/>
        </w:rPr>
      </w:pPr>
      <w:r>
        <w:rPr>
          <w:rFonts w:ascii="Arial" w:cs="Arial" w:eastAsia="Arial" w:hAnsi="Arial"/>
          <w:sz w:val="17"/>
          <w:szCs w:val="17"/>
          <w:color w:val="auto"/>
        </w:rPr>
        <w:t>23.2</w:t>
        <w:tab/>
        <w:t>The basis upon which the Milestone Payments (as defined in the OncoMed Merger Agreement) are to be calculated and paid as set out in the OncoMed Merger Agreement.</w:t>
      </w:r>
    </w:p>
    <w:p>
      <w:pPr>
        <w:spacing w:after="0" w:line="295" w:lineRule="exact"/>
        <w:rPr>
          <w:sz w:val="20"/>
          <w:szCs w:val="20"/>
          <w:color w:val="auto"/>
        </w:rPr>
      </w:pPr>
    </w:p>
    <w:p>
      <w:pPr>
        <w:ind w:left="509" w:hanging="509"/>
        <w:spacing w:after="0"/>
        <w:tabs>
          <w:tab w:leader="none" w:pos="509" w:val="left"/>
        </w:tabs>
        <w:numPr>
          <w:ilvl w:val="0"/>
          <w:numId w:val="220"/>
        </w:numPr>
        <w:rPr>
          <w:rFonts w:ascii="Arial" w:cs="Arial" w:eastAsia="Arial" w:hAnsi="Arial"/>
          <w:sz w:val="17"/>
          <w:szCs w:val="17"/>
          <w:color w:val="auto"/>
        </w:rPr>
      </w:pPr>
      <w:r>
        <w:rPr>
          <w:rFonts w:ascii="Arial" w:cs="Arial" w:eastAsia="Arial" w:hAnsi="Arial"/>
          <w:sz w:val="17"/>
          <w:szCs w:val="17"/>
          <w:b w:val="1"/>
          <w:bCs w:val="1"/>
          <w:color w:val="auto"/>
        </w:rPr>
        <w:t>BASIS OF NET CASH CALCULATION</w:t>
      </w:r>
    </w:p>
    <w:p>
      <w:pPr>
        <w:spacing w:after="0" w:line="121" w:lineRule="exact"/>
        <w:rPr>
          <w:rFonts w:ascii="Arial" w:cs="Arial" w:eastAsia="Arial" w:hAnsi="Arial"/>
          <w:sz w:val="17"/>
          <w:szCs w:val="17"/>
          <w:color w:val="auto"/>
        </w:rPr>
      </w:pPr>
    </w:p>
    <w:p>
      <w:pPr>
        <w:ind w:left="529" w:right="540"/>
        <w:spacing w:after="0" w:line="284" w:lineRule="auto"/>
        <w:rPr>
          <w:rFonts w:ascii="Arial" w:cs="Arial" w:eastAsia="Arial" w:hAnsi="Arial"/>
          <w:sz w:val="17"/>
          <w:szCs w:val="17"/>
          <w:color w:val="auto"/>
        </w:rPr>
      </w:pPr>
      <w:r>
        <w:rPr>
          <w:rFonts w:ascii="Arial" w:cs="Arial" w:eastAsia="Arial" w:hAnsi="Arial"/>
          <w:sz w:val="17"/>
          <w:szCs w:val="17"/>
          <w:color w:val="auto"/>
        </w:rPr>
        <w:t>To the Borrower’s Knowledge, the Net Cash Calculation has been correctly prepared as at its date of preparation in accordance with the OncoMed Merger Agreement and is not misleading in any material respect.</w:t>
      </w:r>
    </w:p>
    <w:p>
      <w:pPr>
        <w:spacing w:after="0" w:line="94" w:lineRule="exact"/>
        <w:rPr>
          <w:sz w:val="20"/>
          <w:szCs w:val="20"/>
          <w:color w:val="auto"/>
        </w:rPr>
      </w:pPr>
    </w:p>
    <w:p>
      <w:pPr>
        <w:jc w:val="center"/>
        <w:ind w:right="-128"/>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429"/>
          </w:cols>
          <w:pgMar w:left="671" w:top="270" w:right="799" w:bottom="1440" w:gutter="0" w:footer="0" w:header="0"/>
        </w:sectPr>
      </w:pPr>
    </w:p>
    <w:bookmarkStart w:id="255" w:name="page256"/>
    <w:bookmarkEnd w:id="255"/>
    <w:p>
      <w:pPr>
        <w:ind w:left="509" w:hanging="509"/>
        <w:spacing w:after="0"/>
        <w:tabs>
          <w:tab w:leader="none" w:pos="509" w:val="left"/>
        </w:tabs>
        <w:numPr>
          <w:ilvl w:val="0"/>
          <w:numId w:val="22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DEFINITION OF “KNOWLEDGE”</w:t>
      </w:r>
    </w:p>
    <w:p>
      <w:pPr>
        <w:spacing w:after="0" w:line="121" w:lineRule="exact"/>
        <w:rPr>
          <w:rFonts w:ascii="Arial" w:cs="Arial" w:eastAsia="Arial" w:hAnsi="Arial"/>
          <w:sz w:val="17"/>
          <w:szCs w:val="17"/>
          <w:color w:val="auto"/>
        </w:rPr>
      </w:pPr>
    </w:p>
    <w:p>
      <w:pPr>
        <w:ind w:left="529"/>
        <w:spacing w:after="0" w:line="269" w:lineRule="auto"/>
        <w:rPr>
          <w:rFonts w:ascii="Arial" w:cs="Arial" w:eastAsia="Arial" w:hAnsi="Arial"/>
          <w:sz w:val="17"/>
          <w:szCs w:val="17"/>
          <w:color w:val="auto"/>
        </w:rPr>
      </w:pPr>
      <w:r>
        <w:rPr>
          <w:rFonts w:ascii="Arial" w:cs="Arial" w:eastAsia="Arial" w:hAnsi="Arial"/>
          <w:sz w:val="17"/>
          <w:szCs w:val="17"/>
          <w:color w:val="auto"/>
        </w:rPr>
        <w:t>For purposes of the Loan Documents, whenever a representation or warranty is made to any Obligor’s knowledge or awareness, to the Borrower’s Knowledge, to the “best of” such Obligor’s knowledge, or with a similar qualification, knowledge or awareness means the actual knowledge, after reasonable investigation, of the Responsible Officers of the relevant Obligor.</w:t>
      </w:r>
    </w:p>
    <w:p>
      <w:pPr>
        <w:spacing w:after="0" w:line="107" w:lineRule="exact"/>
        <w:rPr>
          <w:sz w:val="20"/>
          <w:szCs w:val="20"/>
          <w:color w:val="auto"/>
        </w:rPr>
      </w:pPr>
    </w:p>
    <w:p>
      <w:pPr>
        <w:jc w:val="center"/>
        <w:ind w:right="-308"/>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269"/>
          </w:cols>
          <w:pgMar w:left="671" w:top="264" w:right="959" w:bottom="1440" w:gutter="0" w:footer="0" w:header="0"/>
        </w:sectPr>
      </w:pPr>
    </w:p>
    <w:bookmarkStart w:id="256" w:name="page257"/>
    <w:bookmarkEnd w:id="256"/>
    <w:p>
      <w:pPr>
        <w:jc w:val="center"/>
        <w:ind w:right="-4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SCHEDULE 5</w:t>
      </w:r>
    </w:p>
    <w:p>
      <w:pPr>
        <w:spacing w:after="0" w:line="30" w:lineRule="exact"/>
        <w:rPr>
          <w:sz w:val="20"/>
          <w:szCs w:val="20"/>
          <w:color w:val="auto"/>
        </w:rPr>
      </w:pPr>
    </w:p>
    <w:p>
      <w:pPr>
        <w:jc w:val="center"/>
        <w:ind w:right="-48"/>
        <w:spacing w:after="0"/>
        <w:rPr>
          <w:sz w:val="20"/>
          <w:szCs w:val="20"/>
          <w:color w:val="auto"/>
        </w:rPr>
      </w:pPr>
      <w:r>
        <w:rPr>
          <w:rFonts w:ascii="Arial" w:cs="Arial" w:eastAsia="Arial" w:hAnsi="Arial"/>
          <w:sz w:val="17"/>
          <w:szCs w:val="17"/>
          <w:b w:val="1"/>
          <w:bCs w:val="1"/>
          <w:color w:val="auto"/>
        </w:rPr>
        <w:t>AMENDMENTS TO ORIGINAL FACILITY AGREEMENT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17"/>
          <w:szCs w:val="17"/>
          <w:color w:val="auto"/>
        </w:rPr>
        <w:t>With effect from the Effective Date, the Original Facility Agreement shall be amended as follows:</w:t>
      </w:r>
    </w:p>
    <w:p>
      <w:pPr>
        <w:spacing w:after="0" w:line="128" w:lineRule="exact"/>
        <w:rPr>
          <w:sz w:val="20"/>
          <w:szCs w:val="20"/>
          <w:color w:val="auto"/>
        </w:rPr>
      </w:pPr>
    </w:p>
    <w:p>
      <w:pPr>
        <w:ind w:left="509" w:hanging="509"/>
        <w:spacing w:after="0" w:line="316" w:lineRule="auto"/>
        <w:tabs>
          <w:tab w:leader="none" w:pos="50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 clause 5.1.1 of the Original Facility Agreement the words “England and Wales (save in respect of Guarantor 5, which is duly incorporated and validly existing under the laws of the Republic of Ireland)” shall be deleted and replaced with “its jurisdiction of incorporation”;</w:t>
      </w:r>
    </w:p>
    <w:p>
      <w:pPr>
        <w:spacing w:after="0" w:line="46" w:lineRule="exact"/>
        <w:rPr>
          <w:rFonts w:ascii="Arial" w:cs="Arial" w:eastAsia="Arial" w:hAnsi="Arial"/>
          <w:sz w:val="16"/>
          <w:szCs w:val="16"/>
          <w:color w:val="auto"/>
        </w:rPr>
      </w:pPr>
    </w:p>
    <w:p>
      <w:pPr>
        <w:ind w:left="509" w:right="440" w:hanging="509"/>
        <w:spacing w:after="0" w:line="284" w:lineRule="auto"/>
        <w:tabs>
          <w:tab w:leader="none" w:pos="5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clause 5.3 (</w:t>
      </w:r>
      <w:r>
        <w:rPr>
          <w:rFonts w:ascii="Arial" w:cs="Arial" w:eastAsia="Arial" w:hAnsi="Arial"/>
          <w:sz w:val="17"/>
          <w:szCs w:val="17"/>
          <w:i w:val="1"/>
          <w:iCs w:val="1"/>
          <w:color w:val="auto"/>
        </w:rPr>
        <w:t>Litigation</w:t>
      </w:r>
      <w:r>
        <w:rPr>
          <w:rFonts w:ascii="Arial" w:cs="Arial" w:eastAsia="Arial" w:hAnsi="Arial"/>
          <w:sz w:val="17"/>
          <w:szCs w:val="17"/>
          <w:color w:val="auto"/>
        </w:rPr>
        <w:t>) of the Original Facility Agreement the words and numbers “One Hundred Thousand Pounds (£100,000)” shall be deleted and replaced with “Two Hundred Thousand Pounds Sterling (£200,000)”;</w:t>
      </w:r>
    </w:p>
    <w:p>
      <w:pPr>
        <w:spacing w:after="0" w:line="68" w:lineRule="exact"/>
        <w:rPr>
          <w:rFonts w:ascii="Arial" w:cs="Arial" w:eastAsia="Arial" w:hAnsi="Arial"/>
          <w:sz w:val="17"/>
          <w:szCs w:val="17"/>
          <w:color w:val="auto"/>
        </w:rPr>
      </w:pPr>
    </w:p>
    <w:p>
      <w:pPr>
        <w:ind w:left="509" w:right="320" w:hanging="509"/>
        <w:spacing w:after="0" w:line="269" w:lineRule="auto"/>
        <w:tabs>
          <w:tab w:leader="none" w:pos="5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clause 5.7 (</w:t>
      </w:r>
      <w:r>
        <w:rPr>
          <w:rFonts w:ascii="Arial" w:cs="Arial" w:eastAsia="Arial" w:hAnsi="Arial"/>
          <w:sz w:val="17"/>
          <w:szCs w:val="17"/>
          <w:i w:val="1"/>
          <w:iCs w:val="1"/>
          <w:color w:val="auto"/>
        </w:rPr>
        <w:t>Centre of main interests</w:t>
      </w:r>
      <w:r>
        <w:rPr>
          <w:rFonts w:ascii="Arial" w:cs="Arial" w:eastAsia="Arial" w:hAnsi="Arial"/>
          <w:sz w:val="17"/>
          <w:szCs w:val="17"/>
          <w:color w:val="auto"/>
        </w:rPr>
        <w:t>) of the Original Facility Agreement the words “England and Wales, except in the case of Guarantor 5, whose centre of main interest is Ireland” shall be deleted and replaced with “its jurisdiction of incorporation, unless the Borrower or such Obligor has notified the Agent otherwise in writing prior to such person becoming an Obligor”;</w:t>
      </w:r>
    </w:p>
    <w:p>
      <w:pPr>
        <w:spacing w:after="0" w:line="80" w:lineRule="exact"/>
        <w:rPr>
          <w:rFonts w:ascii="Arial" w:cs="Arial" w:eastAsia="Arial" w:hAnsi="Arial"/>
          <w:sz w:val="17"/>
          <w:szCs w:val="17"/>
          <w:color w:val="auto"/>
        </w:rPr>
      </w:pPr>
    </w:p>
    <w:p>
      <w:pPr>
        <w:ind w:left="509" w:right="400" w:hanging="509"/>
        <w:spacing w:after="0" w:line="284" w:lineRule="auto"/>
        <w:tabs>
          <w:tab w:leader="none" w:pos="5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clause 5.14 (</w:t>
      </w:r>
      <w:r>
        <w:rPr>
          <w:rFonts w:ascii="Arial" w:cs="Arial" w:eastAsia="Arial" w:hAnsi="Arial"/>
          <w:sz w:val="17"/>
          <w:szCs w:val="17"/>
          <w:i w:val="1"/>
          <w:iCs w:val="1"/>
          <w:color w:val="auto"/>
        </w:rPr>
        <w:t>Patents</w:t>
      </w:r>
      <w:r>
        <w:rPr>
          <w:rFonts w:ascii="Arial" w:cs="Arial" w:eastAsia="Arial" w:hAnsi="Arial"/>
          <w:sz w:val="17"/>
          <w:szCs w:val="17"/>
          <w:color w:val="auto"/>
        </w:rPr>
        <w:t>) the words “The Borrower owns the Patents and has” shall be deleted and replaced with “Subject to the terms of the Celgene Option, the Obligors own the Patents and have”;</w:t>
      </w:r>
    </w:p>
    <w:p>
      <w:pPr>
        <w:spacing w:after="0" w:line="68" w:lineRule="exact"/>
        <w:rPr>
          <w:rFonts w:ascii="Arial" w:cs="Arial" w:eastAsia="Arial" w:hAnsi="Arial"/>
          <w:sz w:val="17"/>
          <w:szCs w:val="17"/>
          <w:color w:val="auto"/>
        </w:rPr>
      </w:pPr>
    </w:p>
    <w:p>
      <w:pPr>
        <w:ind w:left="509" w:right="540" w:hanging="509"/>
        <w:spacing w:after="0" w:line="284" w:lineRule="auto"/>
        <w:tabs>
          <w:tab w:leader="none" w:pos="5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clause 5.15 (</w:t>
      </w:r>
      <w:r>
        <w:rPr>
          <w:rFonts w:ascii="Arial" w:cs="Arial" w:eastAsia="Arial" w:hAnsi="Arial"/>
          <w:sz w:val="17"/>
          <w:szCs w:val="17"/>
          <w:i w:val="1"/>
          <w:iCs w:val="1"/>
          <w:color w:val="auto"/>
        </w:rPr>
        <w:t>Licences</w:t>
      </w:r>
      <w:r>
        <w:rPr>
          <w:rFonts w:ascii="Arial" w:cs="Arial" w:eastAsia="Arial" w:hAnsi="Arial"/>
          <w:sz w:val="17"/>
          <w:szCs w:val="17"/>
          <w:color w:val="auto"/>
        </w:rPr>
        <w:t>) the words “or the NAVI Licence” shall be added after the words “available to the public” and before the closing brackets;</w:t>
      </w:r>
    </w:p>
    <w:p>
      <w:pPr>
        <w:spacing w:after="0" w:line="68" w:lineRule="exact"/>
        <w:rPr>
          <w:rFonts w:ascii="Arial" w:cs="Arial" w:eastAsia="Arial" w:hAnsi="Arial"/>
          <w:sz w:val="17"/>
          <w:szCs w:val="17"/>
          <w:color w:val="auto"/>
        </w:rPr>
      </w:pPr>
    </w:p>
    <w:p>
      <w:pPr>
        <w:ind w:left="509" w:right="180" w:hanging="509"/>
        <w:spacing w:after="0" w:line="284" w:lineRule="auto"/>
        <w:tabs>
          <w:tab w:leader="none" w:pos="5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clause 6.2.5 (</w:t>
      </w:r>
      <w:r>
        <w:rPr>
          <w:rFonts w:ascii="Arial" w:cs="Arial" w:eastAsia="Arial" w:hAnsi="Arial"/>
          <w:sz w:val="17"/>
          <w:szCs w:val="17"/>
          <w:i w:val="1"/>
          <w:iCs w:val="1"/>
          <w:color w:val="auto"/>
        </w:rPr>
        <w:t>Legal Action Notice</w:t>
      </w:r>
      <w:r>
        <w:rPr>
          <w:rFonts w:ascii="Arial" w:cs="Arial" w:eastAsia="Arial" w:hAnsi="Arial"/>
          <w:sz w:val="17"/>
          <w:szCs w:val="17"/>
          <w:color w:val="auto"/>
        </w:rPr>
        <w:t>) of the Original Facility Agreement the words and numbers “One Hundred Thousand Pounds (£100,000)” shall be deleted and replaced with “Two Hundred Thousand Pounds Sterling (£200,000)”;</w:t>
      </w:r>
    </w:p>
    <w:p>
      <w:pPr>
        <w:spacing w:after="0" w:line="68" w:lineRule="exact"/>
        <w:rPr>
          <w:rFonts w:ascii="Arial" w:cs="Arial" w:eastAsia="Arial" w:hAnsi="Arial"/>
          <w:sz w:val="17"/>
          <w:szCs w:val="17"/>
          <w:color w:val="auto"/>
        </w:rPr>
      </w:pPr>
    </w:p>
    <w:p>
      <w:pPr>
        <w:ind w:left="509" w:hanging="509"/>
        <w:spacing w:after="0"/>
        <w:tabs>
          <w:tab w:leader="none" w:pos="5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at the end of clause 6.3.2 of the Original Facility Agreement, the word “or” shall be deleted;</w:t>
      </w:r>
    </w:p>
    <w:p>
      <w:pPr>
        <w:spacing w:after="0" w:line="128" w:lineRule="exact"/>
        <w:rPr>
          <w:rFonts w:ascii="Arial" w:cs="Arial" w:eastAsia="Arial" w:hAnsi="Arial"/>
          <w:sz w:val="17"/>
          <w:szCs w:val="17"/>
          <w:color w:val="auto"/>
        </w:rPr>
      </w:pPr>
    </w:p>
    <w:p>
      <w:pPr>
        <w:ind w:left="509" w:hanging="509"/>
        <w:spacing w:after="0"/>
        <w:tabs>
          <w:tab w:leader="none" w:pos="5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at the end of clause 6.3.3 of the Original Facility Agreement, the comma shall be deleted and replaced with “; or”;</w:t>
      </w:r>
    </w:p>
    <w:p>
      <w:pPr>
        <w:spacing w:after="0" w:line="128" w:lineRule="exact"/>
        <w:rPr>
          <w:rFonts w:ascii="Arial" w:cs="Arial" w:eastAsia="Arial" w:hAnsi="Arial"/>
          <w:sz w:val="17"/>
          <w:szCs w:val="17"/>
          <w:color w:val="auto"/>
        </w:rPr>
      </w:pPr>
    </w:p>
    <w:p>
      <w:pPr>
        <w:ind w:left="529" w:right="1880" w:hanging="529"/>
        <w:spacing w:after="0" w:line="389" w:lineRule="auto"/>
        <w:tabs>
          <w:tab w:leader="none" w:pos="51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 new clause 6.3.4 be added in a new line after the “or” introduced in accordance with paragraph (j) above as follows: “any person acceding to this Agreement as an Obligor,”;</w:t>
      </w:r>
    </w:p>
    <w:p>
      <w:pPr>
        <w:ind w:left="509" w:right="560" w:hanging="509"/>
        <w:spacing w:after="0" w:line="284" w:lineRule="auto"/>
        <w:tabs>
          <w:tab w:leader="none" w:pos="5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clause 6.6.2(a), the words: “(in each case, other than in respect of any OncoMed Restricted Assets)” shall be added after the words “or otherwise”;</w:t>
      </w:r>
    </w:p>
    <w:p>
      <w:pPr>
        <w:spacing w:after="0" w:line="68" w:lineRule="exact"/>
        <w:rPr>
          <w:rFonts w:ascii="Arial" w:cs="Arial" w:eastAsia="Arial" w:hAnsi="Arial"/>
          <w:sz w:val="17"/>
          <w:szCs w:val="17"/>
          <w:color w:val="auto"/>
        </w:rPr>
      </w:pPr>
    </w:p>
    <w:p>
      <w:pPr>
        <w:ind w:left="509" w:right="560" w:hanging="509"/>
        <w:spacing w:after="0" w:line="284" w:lineRule="auto"/>
        <w:tabs>
          <w:tab w:leader="none" w:pos="5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clause 6.6.2(b), the words: “(in each case, other than in respect of any OncoMed Restricted Assets)” shall be added after the words “or servicemark”;</w:t>
      </w:r>
    </w:p>
    <w:p>
      <w:pPr>
        <w:spacing w:after="0" w:line="68" w:lineRule="exact"/>
        <w:rPr>
          <w:rFonts w:ascii="Arial" w:cs="Arial" w:eastAsia="Arial" w:hAnsi="Arial"/>
          <w:sz w:val="17"/>
          <w:szCs w:val="17"/>
          <w:color w:val="auto"/>
        </w:rPr>
      </w:pPr>
    </w:p>
    <w:p>
      <w:pPr>
        <w:ind w:left="509" w:right="140" w:hanging="509"/>
        <w:spacing w:after="0" w:line="284" w:lineRule="auto"/>
        <w:tabs>
          <w:tab w:leader="none" w:pos="50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clause 6.6.3, the words: “(in each case, other than in respect of any OncoMed Restricted Assets)” shall be added after the words “or material mask works”;</w:t>
      </w:r>
    </w:p>
    <w:p>
      <w:pPr>
        <w:spacing w:after="0" w:line="94"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529"/>
          </w:cols>
          <w:pgMar w:left="671" w:top="264" w:right="699" w:bottom="1440" w:gutter="0" w:footer="0" w:header="0"/>
        </w:sectPr>
      </w:pPr>
    </w:p>
    <w:bookmarkStart w:id="257" w:name="page258"/>
    <w:bookmarkEnd w:id="257"/>
    <w:p>
      <w:pPr>
        <w:ind w:left="509" w:hanging="509"/>
        <w:spacing w:after="0"/>
        <w:tabs>
          <w:tab w:leader="none" w:pos="509" w:val="left"/>
        </w:tabs>
        <w:numPr>
          <w:ilvl w:val="0"/>
          <w:numId w:val="2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in clause 7.1 (</w:t>
      </w:r>
      <w:r>
        <w:rPr>
          <w:rFonts w:ascii="Arial" w:cs="Arial" w:eastAsia="Arial" w:hAnsi="Arial"/>
          <w:sz w:val="17"/>
          <w:szCs w:val="17"/>
          <w:i w:val="1"/>
          <w:iCs w:val="1"/>
          <w:color w:val="auto"/>
        </w:rPr>
        <w:t>Banking</w:t>
      </w:r>
      <w:r>
        <w:rPr>
          <w:rFonts w:ascii="Arial" w:cs="Arial" w:eastAsia="Arial" w:hAnsi="Arial"/>
          <w:sz w:val="17"/>
          <w:szCs w:val="17"/>
          <w:color w:val="auto"/>
        </w:rPr>
        <w:t>) of the Original Facility Agreement the number “50,000” shall be deleted and replaced with “100,000”;</w:t>
      </w:r>
    </w:p>
    <w:p>
      <w:pPr>
        <w:spacing w:after="0" w:line="128" w:lineRule="exact"/>
        <w:rPr>
          <w:rFonts w:ascii="Arial" w:cs="Arial" w:eastAsia="Arial" w:hAnsi="Arial"/>
          <w:sz w:val="17"/>
          <w:szCs w:val="17"/>
          <w:color w:val="auto"/>
        </w:rPr>
      </w:pPr>
    </w:p>
    <w:p>
      <w:pPr>
        <w:ind w:left="509" w:hanging="509"/>
        <w:spacing w:after="0"/>
        <w:tabs>
          <w:tab w:leader="none" w:pos="50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clause 8.2, the words: “(other than any OncoMed Restricted Assets)” shall be added after the words “substantially all of its assets”;</w:t>
      </w:r>
    </w:p>
    <w:p>
      <w:pPr>
        <w:spacing w:after="0" w:line="128" w:lineRule="exact"/>
        <w:rPr>
          <w:rFonts w:ascii="Arial" w:cs="Arial" w:eastAsia="Arial" w:hAnsi="Arial"/>
          <w:sz w:val="17"/>
          <w:szCs w:val="17"/>
          <w:color w:val="auto"/>
        </w:rPr>
      </w:pPr>
    </w:p>
    <w:p>
      <w:pPr>
        <w:ind w:left="509" w:right="160" w:hanging="509"/>
        <w:spacing w:after="0" w:line="284" w:lineRule="auto"/>
        <w:tabs>
          <w:tab w:leader="none" w:pos="50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clause 9.2.1 the following words shall be added after “at the Closing Date”: “(or, in respect of OncoMed Holdco or any of its Subsidiaries, at the OncoMed Acquisition Date)”;</w:t>
      </w:r>
    </w:p>
    <w:p>
      <w:pPr>
        <w:spacing w:after="0" w:line="68" w:lineRule="exact"/>
        <w:rPr>
          <w:rFonts w:ascii="Arial" w:cs="Arial" w:eastAsia="Arial" w:hAnsi="Arial"/>
          <w:sz w:val="17"/>
          <w:szCs w:val="17"/>
          <w:color w:val="auto"/>
        </w:rPr>
      </w:pPr>
    </w:p>
    <w:p>
      <w:pPr>
        <w:ind w:left="509" w:right="340" w:hanging="509"/>
        <w:spacing w:after="0" w:line="284" w:lineRule="auto"/>
        <w:tabs>
          <w:tab w:leader="none" w:pos="50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clause 9.3 (</w:t>
      </w:r>
      <w:r>
        <w:rPr>
          <w:rFonts w:ascii="Arial" w:cs="Arial" w:eastAsia="Arial" w:hAnsi="Arial"/>
          <w:sz w:val="17"/>
          <w:szCs w:val="17"/>
          <w:i w:val="1"/>
          <w:iCs w:val="1"/>
          <w:color w:val="auto"/>
        </w:rPr>
        <w:t>Mergers or Acquisitions</w:t>
      </w:r>
      <w:r>
        <w:rPr>
          <w:rFonts w:ascii="Arial" w:cs="Arial" w:eastAsia="Arial" w:hAnsi="Arial"/>
          <w:sz w:val="17"/>
          <w:szCs w:val="17"/>
          <w:color w:val="auto"/>
        </w:rPr>
        <w:t>) the following words shall be added “Except in accordance with the OncoMed Merger Agreement, no Obligor shall” at the beginning of the clause;</w:t>
      </w:r>
    </w:p>
    <w:p>
      <w:pPr>
        <w:spacing w:after="0" w:line="68" w:lineRule="exact"/>
        <w:rPr>
          <w:rFonts w:ascii="Arial" w:cs="Arial" w:eastAsia="Arial" w:hAnsi="Arial"/>
          <w:sz w:val="17"/>
          <w:szCs w:val="17"/>
          <w:color w:val="auto"/>
        </w:rPr>
      </w:pPr>
    </w:p>
    <w:p>
      <w:pPr>
        <w:ind w:left="509" w:hanging="509"/>
        <w:spacing w:after="0" w:line="284" w:lineRule="auto"/>
        <w:tabs>
          <w:tab w:leader="none" w:pos="50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clause 9.7 (Distributions; Investments) of the Original Facility Agreement the words “long term incentive plans or employee and officer shares schemes in operation in respect of each Obligor.” shall be deleted and replaced with “Permitted Distributions.”</w:t>
      </w:r>
    </w:p>
    <w:p>
      <w:pPr>
        <w:spacing w:after="0" w:line="68" w:lineRule="exact"/>
        <w:rPr>
          <w:rFonts w:ascii="Arial" w:cs="Arial" w:eastAsia="Arial" w:hAnsi="Arial"/>
          <w:sz w:val="17"/>
          <w:szCs w:val="17"/>
          <w:color w:val="auto"/>
        </w:rPr>
      </w:pPr>
    </w:p>
    <w:p>
      <w:pPr>
        <w:ind w:left="509" w:right="40" w:hanging="509"/>
        <w:spacing w:after="0" w:line="269" w:lineRule="auto"/>
        <w:tabs>
          <w:tab w:leader="none" w:pos="50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clause 10.2.2 (</w:t>
      </w:r>
      <w:r>
        <w:rPr>
          <w:rFonts w:ascii="Arial" w:cs="Arial" w:eastAsia="Arial" w:hAnsi="Arial"/>
          <w:sz w:val="17"/>
          <w:szCs w:val="17"/>
          <w:i w:val="1"/>
          <w:iCs w:val="1"/>
          <w:color w:val="auto"/>
        </w:rPr>
        <w:t>Covenant Default</w:t>
      </w:r>
      <w:r>
        <w:rPr>
          <w:rFonts w:ascii="Arial" w:cs="Arial" w:eastAsia="Arial" w:hAnsi="Arial"/>
          <w:sz w:val="17"/>
          <w:szCs w:val="17"/>
          <w:color w:val="auto"/>
        </w:rPr>
        <w:t>) of the Original Facility Agreement the words and number “the occurrence thereof” shall be deleted and replaced with “the earlier of (a) the Agent giving notice to such Obligor of the failure to comply or breach, and (b) such Obligor becoming aware of the failure to comply or breach”;</w:t>
      </w:r>
    </w:p>
    <w:p>
      <w:pPr>
        <w:spacing w:after="0" w:line="80" w:lineRule="exact"/>
        <w:rPr>
          <w:rFonts w:ascii="Arial" w:cs="Arial" w:eastAsia="Arial" w:hAnsi="Arial"/>
          <w:sz w:val="17"/>
          <w:szCs w:val="17"/>
          <w:color w:val="auto"/>
        </w:rPr>
      </w:pPr>
    </w:p>
    <w:p>
      <w:pPr>
        <w:ind w:left="509" w:right="60" w:hanging="509"/>
        <w:spacing w:after="0" w:line="284" w:lineRule="auto"/>
        <w:tabs>
          <w:tab w:leader="none" w:pos="50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clause 10.6 (</w:t>
      </w:r>
      <w:r>
        <w:rPr>
          <w:rFonts w:ascii="Arial" w:cs="Arial" w:eastAsia="Arial" w:hAnsi="Arial"/>
          <w:sz w:val="17"/>
          <w:szCs w:val="17"/>
          <w:i w:val="1"/>
          <w:iCs w:val="1"/>
          <w:color w:val="auto"/>
        </w:rPr>
        <w:t>Other Agreements</w:t>
      </w:r>
      <w:r>
        <w:rPr>
          <w:rFonts w:ascii="Arial" w:cs="Arial" w:eastAsia="Arial" w:hAnsi="Arial"/>
          <w:sz w:val="17"/>
          <w:szCs w:val="17"/>
          <w:color w:val="auto"/>
        </w:rPr>
        <w:t>) of the Original Facility Agreement the words and number “Two Hundred Thousand Pounds (£200,000)” shall be deleted and replaced with “Four Hundred Thousand Pounds Sterling (£400,000)”;</w:t>
      </w:r>
    </w:p>
    <w:p>
      <w:pPr>
        <w:spacing w:after="0" w:line="68" w:lineRule="exact"/>
        <w:rPr>
          <w:rFonts w:ascii="Arial" w:cs="Arial" w:eastAsia="Arial" w:hAnsi="Arial"/>
          <w:sz w:val="17"/>
          <w:szCs w:val="17"/>
          <w:color w:val="auto"/>
        </w:rPr>
      </w:pPr>
    </w:p>
    <w:p>
      <w:pPr>
        <w:ind w:left="509" w:right="400" w:hanging="509"/>
        <w:spacing w:after="0" w:line="284" w:lineRule="auto"/>
        <w:tabs>
          <w:tab w:leader="none" w:pos="50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clause 10.7 (</w:t>
      </w:r>
      <w:r>
        <w:rPr>
          <w:rFonts w:ascii="Arial" w:cs="Arial" w:eastAsia="Arial" w:hAnsi="Arial"/>
          <w:sz w:val="17"/>
          <w:szCs w:val="17"/>
          <w:i w:val="1"/>
          <w:iCs w:val="1"/>
          <w:color w:val="auto"/>
        </w:rPr>
        <w:t>Judgments</w:t>
      </w:r>
      <w:r>
        <w:rPr>
          <w:rFonts w:ascii="Arial" w:cs="Arial" w:eastAsia="Arial" w:hAnsi="Arial"/>
          <w:sz w:val="17"/>
          <w:szCs w:val="17"/>
          <w:color w:val="auto"/>
        </w:rPr>
        <w:t>) of the Original Facility Agreement the words and number “One Hundred Thousand Pounds (£100,000)” shall be deleted and replaced with “Two Hundred Thousand Pounds Sterling (£200,000)”;</w:t>
      </w:r>
    </w:p>
    <w:p>
      <w:pPr>
        <w:spacing w:after="0" w:line="68" w:lineRule="exact"/>
        <w:rPr>
          <w:rFonts w:ascii="Arial" w:cs="Arial" w:eastAsia="Arial" w:hAnsi="Arial"/>
          <w:sz w:val="17"/>
          <w:szCs w:val="17"/>
          <w:color w:val="auto"/>
        </w:rPr>
      </w:pPr>
    </w:p>
    <w:p>
      <w:pPr>
        <w:ind w:left="509" w:right="20" w:hanging="509"/>
        <w:spacing w:after="0" w:line="269" w:lineRule="auto"/>
        <w:tabs>
          <w:tab w:leader="none" w:pos="50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clause 11.6.1 of the Original Facility Agreement in paragraph (i) of the definition of Qualifying Lender the words “in respect of a payment made by an Obligor resident for tax purposes in the United Kingdom,” should be added before “a Lender which is beneficially entitled to interest payable”;</w:t>
      </w:r>
    </w:p>
    <w:p>
      <w:pPr>
        <w:spacing w:after="0" w:line="80" w:lineRule="exact"/>
        <w:rPr>
          <w:rFonts w:ascii="Arial" w:cs="Arial" w:eastAsia="Arial" w:hAnsi="Arial"/>
          <w:sz w:val="17"/>
          <w:szCs w:val="17"/>
          <w:color w:val="auto"/>
        </w:rPr>
      </w:pPr>
    </w:p>
    <w:p>
      <w:pPr>
        <w:ind w:left="509" w:right="80" w:hanging="509"/>
        <w:spacing w:after="0" w:line="269" w:lineRule="auto"/>
        <w:tabs>
          <w:tab w:leader="none" w:pos="50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clause 11.6.1 of the Original Facility Agreement change the defined term “Qualifying Lender” to “UK Qualifying Lender” and move the term into the correct alphabetical order of defined terms, and replace all references in clause 11.6 to “Qualifying Lender” with “UK Qualifying Lender”;</w:t>
      </w:r>
    </w:p>
    <w:p>
      <w:pPr>
        <w:spacing w:after="0" w:line="80" w:lineRule="exact"/>
        <w:rPr>
          <w:rFonts w:ascii="Arial" w:cs="Arial" w:eastAsia="Arial" w:hAnsi="Arial"/>
          <w:sz w:val="17"/>
          <w:szCs w:val="17"/>
          <w:color w:val="auto"/>
        </w:rPr>
      </w:pPr>
    </w:p>
    <w:p>
      <w:pPr>
        <w:ind w:left="509" w:right="120" w:hanging="509"/>
        <w:spacing w:after="0" w:line="316" w:lineRule="auto"/>
        <w:tabs>
          <w:tab w:leader="none" w:pos="50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in clause 11.6.1 of the Original Facility Agreement change the defined term “Treaty Lender” to “UK Treaty Lender” and move the term into the correct alphabetical order of defined terms, and replace all references in clause 11.6 to “Treaty Lender” with “UK Treaty Lender”;</w:t>
      </w:r>
    </w:p>
    <w:p>
      <w:pPr>
        <w:spacing w:after="0" w:line="46" w:lineRule="exact"/>
        <w:rPr>
          <w:rFonts w:ascii="Arial" w:cs="Arial" w:eastAsia="Arial" w:hAnsi="Arial"/>
          <w:sz w:val="16"/>
          <w:szCs w:val="16"/>
          <w:color w:val="auto"/>
        </w:rPr>
      </w:pPr>
    </w:p>
    <w:p>
      <w:pPr>
        <w:ind w:left="509" w:right="400" w:hanging="509"/>
        <w:spacing w:after="0" w:line="316" w:lineRule="auto"/>
        <w:tabs>
          <w:tab w:leader="none" w:pos="50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in clause 11.6.1 of the Original Facility Agreement change the defined term “Treaty State” to “UK Treaty State” and move the term into the correct alphabetical order of defined terms, and replace all references in clause 11.6 to “Treaty State” with “UK Treaty State”;</w:t>
      </w:r>
    </w:p>
    <w:p>
      <w:pPr>
        <w:spacing w:after="0" w:line="7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569"/>
          </w:cols>
          <w:pgMar w:left="671" w:top="269" w:right="659" w:bottom="1440" w:gutter="0" w:footer="0" w:header="0"/>
        </w:sectPr>
      </w:pPr>
    </w:p>
    <w:bookmarkStart w:id="258" w:name="page259"/>
    <w:bookmarkEnd w:id="258"/>
    <w:p>
      <w:pPr>
        <w:ind w:left="509" w:right="40" w:hanging="509"/>
        <w:spacing w:after="0" w:line="284" w:lineRule="auto"/>
        <w:tabs>
          <w:tab w:leader="none" w:pos="509" w:val="left"/>
        </w:tabs>
        <w:numPr>
          <w:ilvl w:val="0"/>
          <w:numId w:val="2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in clause 11.6.1 of the Original Facility Agreement in the definition of “UK Treaty State”, change the defined term “Treaty” to “UK Treaty” and replace all references in clause 11.6 to “Treaty” with “UK Treaty”;</w:t>
      </w:r>
    </w:p>
    <w:p>
      <w:pPr>
        <w:spacing w:after="0" w:line="68" w:lineRule="exact"/>
        <w:rPr>
          <w:rFonts w:ascii="Arial" w:cs="Arial" w:eastAsia="Arial" w:hAnsi="Arial"/>
          <w:sz w:val="17"/>
          <w:szCs w:val="17"/>
          <w:color w:val="auto"/>
        </w:rPr>
      </w:pPr>
    </w:p>
    <w:p>
      <w:pPr>
        <w:ind w:left="509" w:hanging="509"/>
        <w:spacing w:after="0" w:line="284" w:lineRule="auto"/>
        <w:tabs>
          <w:tab w:leader="none" w:pos="509"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 clause 11.6.1 of the Original Facility Agreement a new definition of “US Qualifying Lender” shall be inserted in the correct alphabetical order of defined terms as follows:</w:t>
      </w:r>
    </w:p>
    <w:p>
      <w:pPr>
        <w:spacing w:after="0" w:line="49" w:lineRule="exact"/>
        <w:rPr>
          <w:rFonts w:ascii="Arial" w:cs="Arial" w:eastAsia="Arial" w:hAnsi="Arial"/>
          <w:sz w:val="17"/>
          <w:szCs w:val="17"/>
          <w:color w:val="auto"/>
        </w:rPr>
      </w:pPr>
    </w:p>
    <w:p>
      <w:pPr>
        <w:ind w:left="529"/>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US Qualifying Lender</w:t>
      </w:r>
      <w:r>
        <w:rPr>
          <w:rFonts w:ascii="Arial" w:cs="Arial" w:eastAsia="Arial" w:hAnsi="Arial"/>
          <w:sz w:val="17"/>
          <w:szCs w:val="17"/>
          <w:color w:val="auto"/>
        </w:rPr>
        <w:t>” means, in respect of a payment made by an Obligor incorporated in the United States, a Lender which is:</w:t>
      </w:r>
    </w:p>
    <w:p>
      <w:pPr>
        <w:spacing w:after="0" w:line="134" w:lineRule="exact"/>
        <w:rPr>
          <w:rFonts w:ascii="Arial" w:cs="Arial" w:eastAsia="Arial" w:hAnsi="Arial"/>
          <w:sz w:val="17"/>
          <w:szCs w:val="17"/>
          <w:color w:val="auto"/>
        </w:rPr>
      </w:pPr>
    </w:p>
    <w:p>
      <w:pPr>
        <w:ind w:left="1029" w:hanging="511"/>
        <w:spacing w:after="0"/>
        <w:tabs>
          <w:tab w:leader="none" w:pos="102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created or organised under the laws of the United States of America or of any state (including the District of Columbia) thereof; or</w:t>
      </w:r>
    </w:p>
    <w:p>
      <w:pPr>
        <w:spacing w:after="0" w:line="139" w:lineRule="exact"/>
        <w:rPr>
          <w:rFonts w:ascii="Arial" w:cs="Arial" w:eastAsia="Arial" w:hAnsi="Arial"/>
          <w:sz w:val="16"/>
          <w:szCs w:val="16"/>
          <w:color w:val="auto"/>
        </w:rPr>
      </w:pPr>
    </w:p>
    <w:p>
      <w:pPr>
        <w:ind w:left="1029" w:hanging="511"/>
        <w:spacing w:after="0" w:line="285" w:lineRule="auto"/>
        <w:tabs>
          <w:tab w:leader="none" w:pos="102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 US Treaty Lender that is entitled to receive payments under a Loan Document to which an exemption from deduction or withholding of any United States federal income taxes may apply, provided that such Lender has delivered in a timely manner to the Obligor making such payment two original copies of Internal Revenue Service Form W-8BEN or Form W-8BEN-E (or any other applicable or successor form) certifying that it is a resident of a foreign country with which the United States has a US Treaty; or</w:t>
      </w:r>
    </w:p>
    <w:p>
      <w:pPr>
        <w:spacing w:after="0" w:line="71" w:lineRule="exact"/>
        <w:rPr>
          <w:rFonts w:ascii="Arial" w:cs="Arial" w:eastAsia="Arial" w:hAnsi="Arial"/>
          <w:sz w:val="16"/>
          <w:szCs w:val="16"/>
          <w:color w:val="auto"/>
        </w:rPr>
      </w:pPr>
    </w:p>
    <w:p>
      <w:pPr>
        <w:ind w:left="1029" w:right="60" w:hanging="511"/>
        <w:spacing w:after="0" w:line="296" w:lineRule="auto"/>
        <w:tabs>
          <w:tab w:leader="none" w:pos="1029" w:val="left"/>
        </w:tabs>
        <w:numPr>
          <w:ilvl w:val="1"/>
          <w:numId w:val="224"/>
        </w:numPr>
        <w:rPr>
          <w:rFonts w:ascii="Arial" w:cs="Arial" w:eastAsia="Arial" w:hAnsi="Arial"/>
          <w:sz w:val="15"/>
          <w:szCs w:val="15"/>
          <w:color w:val="auto"/>
        </w:rPr>
      </w:pPr>
      <w:r>
        <w:rPr>
          <w:rFonts w:ascii="Arial" w:cs="Arial" w:eastAsia="Arial" w:hAnsi="Arial"/>
          <w:sz w:val="15"/>
          <w:szCs w:val="15"/>
          <w:color w:val="auto"/>
        </w:rPr>
        <w:t>entitled to receive payments under a Loan Document to which an exemption from deduction or withholding of any United States federal income taxes may apply, provided that such Lender has delivered in a timely manner to the Obligor making such payment (1) in the case of an exemption as a result of such payments being effectively connected with the conduct by such Lender of a trade or business within the United States, two original copies of Internal Revenue Service Form W-8ECI (or any other applicable or successor form) certifying that the payments made pursuant to a Loan Document are effectively connected with the conduct by that Lender of a trade or business within the United States, (2) in the case of an exemption as a result of such payments being portfolio interest under Sections 871 or 881 of the Code, two original copies of Internal Revenue Service Form W-8BEN, Form W-8BEN-E (or any other applicable or successor form), or (3) such other applicable form prescribed by the Internal Revenue Service certifying as to such Lender’s entitlement to an exemption from United States withholding tax with respect to all payments to be made to such Lender under a Loan Document;”</w:t>
      </w:r>
    </w:p>
    <w:p>
      <w:pPr>
        <w:spacing w:after="0" w:line="67" w:lineRule="exact"/>
        <w:rPr>
          <w:sz w:val="20"/>
          <w:szCs w:val="20"/>
          <w:color w:val="auto"/>
        </w:rPr>
      </w:pPr>
    </w:p>
    <w:p>
      <w:pPr>
        <w:ind w:left="509" w:right="120" w:hanging="509"/>
        <w:spacing w:after="0" w:line="284" w:lineRule="auto"/>
        <w:tabs>
          <w:tab w:leader="none" w:pos="50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 clause 11.6.1 of the Original Facility Agreement a new definition of “US Treaty Lender” shall be inserted in the correct alphabetical order of defined terms as follows:</w:t>
      </w:r>
    </w:p>
    <w:p>
      <w:pPr>
        <w:spacing w:after="0" w:line="49" w:lineRule="exact"/>
        <w:rPr>
          <w:rFonts w:ascii="Arial" w:cs="Arial" w:eastAsia="Arial" w:hAnsi="Arial"/>
          <w:sz w:val="17"/>
          <w:szCs w:val="17"/>
          <w:color w:val="auto"/>
        </w:rPr>
      </w:pPr>
    </w:p>
    <w:p>
      <w:pPr>
        <w:ind w:left="529"/>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US Treaty Lender</w:t>
      </w:r>
      <w:r>
        <w:rPr>
          <w:rFonts w:ascii="Arial" w:cs="Arial" w:eastAsia="Arial" w:hAnsi="Arial"/>
          <w:sz w:val="17"/>
          <w:szCs w:val="17"/>
          <w:color w:val="auto"/>
        </w:rPr>
        <w:t xml:space="preserve"> means a Lender which is treated as a resident of a US Treaty State for the purposes of the US Treaty.”</w:t>
      </w:r>
    </w:p>
    <w:p>
      <w:pPr>
        <w:spacing w:after="0" w:line="134" w:lineRule="exact"/>
        <w:rPr>
          <w:rFonts w:ascii="Arial" w:cs="Arial" w:eastAsia="Arial" w:hAnsi="Arial"/>
          <w:sz w:val="17"/>
          <w:szCs w:val="17"/>
          <w:color w:val="auto"/>
        </w:rPr>
      </w:pPr>
    </w:p>
    <w:p>
      <w:pPr>
        <w:ind w:left="509" w:right="260" w:hanging="509"/>
        <w:spacing w:after="0" w:line="284" w:lineRule="auto"/>
        <w:tabs>
          <w:tab w:leader="none" w:pos="50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 clause 11.6.1 of the Original Facility Agreement a new definition of “US Treaty State” shall be inserted in the correct alphabetical order of defined terms as follows:</w:t>
      </w:r>
    </w:p>
    <w:p>
      <w:pPr>
        <w:spacing w:after="0" w:line="49" w:lineRule="exact"/>
        <w:rPr>
          <w:rFonts w:ascii="Arial" w:cs="Arial" w:eastAsia="Arial" w:hAnsi="Arial"/>
          <w:sz w:val="17"/>
          <w:szCs w:val="17"/>
          <w:color w:val="auto"/>
        </w:rPr>
      </w:pPr>
    </w:p>
    <w:p>
      <w:pPr>
        <w:ind w:left="529"/>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US Treaty State</w:t>
      </w:r>
      <w:r>
        <w:rPr>
          <w:rFonts w:ascii="Arial" w:cs="Arial" w:eastAsia="Arial" w:hAnsi="Arial"/>
          <w:sz w:val="17"/>
          <w:szCs w:val="17"/>
          <w:color w:val="auto"/>
        </w:rPr>
        <w:t>” means a jurisdiction having a double taxation agreement (a “</w:t>
      </w:r>
      <w:r>
        <w:rPr>
          <w:rFonts w:ascii="Arial" w:cs="Arial" w:eastAsia="Arial" w:hAnsi="Arial"/>
          <w:sz w:val="17"/>
          <w:szCs w:val="17"/>
          <w:b w:val="1"/>
          <w:bCs w:val="1"/>
          <w:color w:val="auto"/>
        </w:rPr>
        <w:t>US Treaty</w:t>
      </w:r>
      <w:r>
        <w:rPr>
          <w:rFonts w:ascii="Arial" w:cs="Arial" w:eastAsia="Arial" w:hAnsi="Arial"/>
          <w:sz w:val="17"/>
          <w:szCs w:val="17"/>
          <w:color w:val="auto"/>
        </w:rPr>
        <w:t>”) with the United States of America.”</w:t>
      </w:r>
    </w:p>
    <w:p>
      <w:pPr>
        <w:spacing w:after="0" w:line="160"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529"/>
          </w:cols>
          <w:pgMar w:left="671" w:top="269" w:right="699" w:bottom="1440" w:gutter="0" w:footer="0" w:header="0"/>
        </w:sectPr>
      </w:pPr>
    </w:p>
    <w:bookmarkStart w:id="259" w:name="page260"/>
    <w:bookmarkEnd w:id="259"/>
    <w:p>
      <w:pPr>
        <w:ind w:left="509" w:hanging="509"/>
        <w:spacing w:after="0"/>
        <w:tabs>
          <w:tab w:leader="none" w:pos="509" w:val="left"/>
        </w:tabs>
        <w:numPr>
          <w:ilvl w:val="0"/>
          <w:numId w:val="2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in clause 11.6.2 of the Original Facility Agreement the word “Borrower” shall be deleted and replaced with “Obligor”;</w:t>
      </w:r>
    </w:p>
    <w:p>
      <w:pPr>
        <w:spacing w:after="0" w:line="128" w:lineRule="exact"/>
        <w:rPr>
          <w:rFonts w:ascii="Arial" w:cs="Arial" w:eastAsia="Arial" w:hAnsi="Arial"/>
          <w:sz w:val="17"/>
          <w:szCs w:val="17"/>
          <w:color w:val="auto"/>
        </w:rPr>
      </w:pPr>
    </w:p>
    <w:p>
      <w:pPr>
        <w:ind w:left="509" w:hanging="509"/>
        <w:spacing w:after="0"/>
        <w:tabs>
          <w:tab w:leader="none" w:pos="50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 new clause 11.6.4 shall be inserted into the Original Facility Agreement in the correct numerical order as follows:</w:t>
      </w:r>
    </w:p>
    <w:p>
      <w:pPr>
        <w:spacing w:after="0" w:line="115" w:lineRule="exact"/>
        <w:rPr>
          <w:rFonts w:ascii="Arial" w:cs="Arial" w:eastAsia="Arial" w:hAnsi="Arial"/>
          <w:sz w:val="17"/>
          <w:szCs w:val="17"/>
          <w:color w:val="auto"/>
        </w:rPr>
      </w:pPr>
    </w:p>
    <w:p>
      <w:pPr>
        <w:ind w:left="529" w:right="120"/>
        <w:spacing w:after="0" w:line="284" w:lineRule="auto"/>
        <w:rPr>
          <w:rFonts w:ascii="Arial" w:cs="Arial" w:eastAsia="Arial" w:hAnsi="Arial"/>
          <w:sz w:val="17"/>
          <w:szCs w:val="17"/>
          <w:color w:val="auto"/>
        </w:rPr>
      </w:pPr>
      <w:r>
        <w:rPr>
          <w:rFonts w:ascii="Arial" w:cs="Arial" w:eastAsia="Arial" w:hAnsi="Arial"/>
          <w:sz w:val="17"/>
          <w:szCs w:val="17"/>
          <w:color w:val="auto"/>
        </w:rPr>
        <w:t>“A payment shall not be increased under Clause 11.6.2 above by reason of a Tax Deduction on account of Tax imposed by the United States of America, if on the date on which the payment falls due:</w:t>
      </w:r>
    </w:p>
    <w:p>
      <w:pPr>
        <w:spacing w:after="0" w:line="68" w:lineRule="exact"/>
        <w:rPr>
          <w:rFonts w:ascii="Arial" w:cs="Arial" w:eastAsia="Arial" w:hAnsi="Arial"/>
          <w:sz w:val="17"/>
          <w:szCs w:val="17"/>
          <w:color w:val="auto"/>
        </w:rPr>
      </w:pPr>
    </w:p>
    <w:p>
      <w:pPr>
        <w:ind w:left="1029" w:hanging="511"/>
        <w:spacing w:after="0" w:line="264" w:lineRule="auto"/>
        <w:tabs>
          <w:tab w:leader="none" w:pos="1029"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the payment could have been made to the relevant Lender without the Tax Deduction if the Lender had been a US Qualifying Lender, but on that date that Lender is not or has ceased to be a US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85" w:lineRule="exact"/>
        <w:rPr>
          <w:rFonts w:ascii="Arial" w:cs="Arial" w:eastAsia="Arial" w:hAnsi="Arial"/>
          <w:sz w:val="17"/>
          <w:szCs w:val="17"/>
          <w:color w:val="auto"/>
        </w:rPr>
      </w:pPr>
    </w:p>
    <w:p>
      <w:pPr>
        <w:ind w:left="1029" w:right="80" w:hanging="511"/>
        <w:spacing w:after="0" w:line="316" w:lineRule="auto"/>
        <w:tabs>
          <w:tab w:leader="none" w:pos="1029"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the relevant Lender is a US Treaty Lender and the Obligor making the payment is able to demonstrate that the payment could have been made to the Lender without the Tax Deduction had that Lender complied with its obligations under Clause 11.6.5 below.”</w:t>
      </w:r>
    </w:p>
    <w:p>
      <w:pPr>
        <w:spacing w:after="0" w:line="46" w:lineRule="exact"/>
        <w:rPr>
          <w:rFonts w:ascii="Arial" w:cs="Arial" w:eastAsia="Arial" w:hAnsi="Arial"/>
          <w:sz w:val="16"/>
          <w:szCs w:val="16"/>
          <w:color w:val="auto"/>
        </w:rPr>
      </w:pPr>
    </w:p>
    <w:p>
      <w:pPr>
        <w:ind w:left="509" w:right="160" w:hanging="509"/>
        <w:spacing w:after="0" w:line="284" w:lineRule="auto"/>
        <w:tabs>
          <w:tab w:leader="none" w:pos="50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 clause 11.6.5(a) (as renumbered following the insertion of new clause 11.6.4 pursuant to paragraph (dd) above), after each reference to “UK Treaty Lender” insert “or US Treaty Lender”;</w:t>
      </w:r>
    </w:p>
    <w:p>
      <w:pPr>
        <w:spacing w:after="0" w:line="68" w:lineRule="exact"/>
        <w:rPr>
          <w:rFonts w:ascii="Arial" w:cs="Arial" w:eastAsia="Arial" w:hAnsi="Arial"/>
          <w:sz w:val="17"/>
          <w:szCs w:val="17"/>
          <w:color w:val="auto"/>
        </w:rPr>
      </w:pPr>
    </w:p>
    <w:p>
      <w:pPr>
        <w:ind w:left="509" w:right="820" w:hanging="509"/>
        <w:spacing w:after="0" w:line="284" w:lineRule="auto"/>
        <w:tabs>
          <w:tab w:leader="none" w:pos="50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new definitions shall be inserted into clause 17.1 (</w:t>
      </w:r>
      <w:r>
        <w:rPr>
          <w:rFonts w:ascii="Arial" w:cs="Arial" w:eastAsia="Arial" w:hAnsi="Arial"/>
          <w:sz w:val="17"/>
          <w:szCs w:val="17"/>
          <w:i w:val="1"/>
          <w:iCs w:val="1"/>
          <w:color w:val="auto"/>
        </w:rPr>
        <w:t>Definitions</w:t>
      </w:r>
      <w:r>
        <w:rPr>
          <w:rFonts w:ascii="Arial" w:cs="Arial" w:eastAsia="Arial" w:hAnsi="Arial"/>
          <w:sz w:val="17"/>
          <w:szCs w:val="17"/>
          <w:color w:val="auto"/>
        </w:rPr>
        <w:t>) of the Original Facility Agreement as follows (which shall be inserted alphabetically within clause 17.1 (</w:t>
      </w:r>
      <w:r>
        <w:rPr>
          <w:rFonts w:ascii="Arial" w:cs="Arial" w:eastAsia="Arial" w:hAnsi="Arial"/>
          <w:sz w:val="17"/>
          <w:szCs w:val="17"/>
          <w:i w:val="1"/>
          <w:iCs w:val="1"/>
          <w:color w:val="auto"/>
        </w:rPr>
        <w:t>Definitions</w:t>
      </w:r>
      <w:r>
        <w:rPr>
          <w:rFonts w:ascii="Arial" w:cs="Arial" w:eastAsia="Arial" w:hAnsi="Arial"/>
          <w:sz w:val="17"/>
          <w:szCs w:val="17"/>
          <w:color w:val="auto"/>
        </w:rPr>
        <w:t>)):</w:t>
      </w:r>
    </w:p>
    <w:p>
      <w:pPr>
        <w:sectPr>
          <w:pgSz w:w="11900" w:h="16838" w:orient="portrait"/>
          <w:cols w:equalWidth="0" w:num="1">
            <w:col w:w="10509"/>
          </w:cols>
          <w:pgMar w:left="671" w:top="270" w:right="719" w:bottom="1440" w:gutter="0" w:footer="0" w:header="0"/>
        </w:sectPr>
      </w:pPr>
    </w:p>
    <w:p>
      <w:pPr>
        <w:spacing w:after="0" w:line="179" w:lineRule="exact"/>
        <w:rPr>
          <w:sz w:val="20"/>
          <w:szCs w:val="20"/>
          <w:color w:val="auto"/>
        </w:rPr>
      </w:pPr>
    </w:p>
    <w:p>
      <w:pPr>
        <w:ind w:left="529"/>
        <w:spacing w:after="0"/>
        <w:rPr>
          <w:sz w:val="20"/>
          <w:szCs w:val="20"/>
          <w:color w:val="auto"/>
        </w:rPr>
      </w:pPr>
      <w:r>
        <w:rPr>
          <w:rFonts w:ascii="Arial" w:cs="Arial" w:eastAsia="Arial" w:hAnsi="Arial"/>
          <w:sz w:val="15"/>
          <w:szCs w:val="15"/>
          <w:b w:val="1"/>
          <w:bCs w:val="1"/>
          <w:color w:val="auto"/>
        </w:rPr>
        <w:t>Celgene Option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exclusive option granted by OncoMed Target to Celgene Corporation (“</w:t>
      </w:r>
      <w:r>
        <w:rPr>
          <w:rFonts w:ascii="Arial" w:cs="Arial" w:eastAsia="Arial" w:hAnsi="Arial"/>
          <w:sz w:val="17"/>
          <w:szCs w:val="17"/>
          <w:b w:val="1"/>
          <w:bCs w:val="1"/>
          <w:color w:val="auto"/>
        </w:rPr>
        <w:t>Celgene</w:t>
      </w:r>
      <w:r>
        <w:rPr>
          <w:rFonts w:ascii="Arial" w:cs="Arial" w:eastAsia="Arial" w:hAnsi="Arial"/>
          <w:sz w:val="17"/>
          <w:szCs w:val="17"/>
          <w:color w:val="auto"/>
        </w:rPr>
        <w:t>”) in relation to OncoMed Target’s etigilimab product, pursuant to the Master Research and Collaboration Agreement by and among OncoMed Target, Celgene Corporation and Celgene Alpine Investment Company, II, LLC dated 2 December 2013;</w:t>
      </w:r>
    </w:p>
    <w:p>
      <w:pPr>
        <w:spacing w:after="0" w:line="66" w:lineRule="exact"/>
        <w:rPr>
          <w:sz w:val="20"/>
          <w:szCs w:val="20"/>
          <w:color w:val="auto"/>
        </w:rPr>
      </w:pPr>
    </w:p>
    <w:p>
      <w:pPr>
        <w:sectPr>
          <w:pgSz w:w="11900" w:h="16838" w:orient="portrait"/>
          <w:cols w:equalWidth="0" w:num="2">
            <w:col w:w="2729" w:space="720"/>
            <w:col w:w="7060"/>
          </w:cols>
          <w:pgMar w:left="671" w:top="270" w:right="719" w:bottom="1440" w:gutter="0" w:footer="0" w:header="0"/>
          <w:type w:val="continuous"/>
        </w:sectPr>
      </w:pPr>
    </w:p>
    <w:p>
      <w:pPr>
        <w:ind w:left="529"/>
        <w:spacing w:after="0"/>
        <w:rPr>
          <w:sz w:val="20"/>
          <w:szCs w:val="20"/>
          <w:color w:val="auto"/>
        </w:rPr>
      </w:pPr>
      <w:r>
        <w:rPr>
          <w:rFonts w:ascii="Arial" w:cs="Arial" w:eastAsia="Arial" w:hAnsi="Arial"/>
          <w:sz w:val="15"/>
          <w:szCs w:val="15"/>
          <w:b w:val="1"/>
          <w:bCs w:val="1"/>
          <w:color w:val="auto"/>
        </w:rPr>
        <w:t>NAVI Licence</w:t>
      </w:r>
    </w:p>
    <w:p>
      <w:pPr>
        <w:spacing w:after="0" w:line="20" w:lineRule="exact"/>
        <w:rPr>
          <w:sz w:val="20"/>
          <w:szCs w:val="20"/>
          <w:color w:val="auto"/>
        </w:rPr>
      </w:pPr>
      <w:r>
        <w:rPr>
          <w:sz w:val="20"/>
          <w:szCs w:val="20"/>
          <w:color w:val="auto"/>
        </w:rPr>
        <w:br w:type="column"/>
      </w:r>
    </w:p>
    <w:p>
      <w:pPr>
        <w:ind w:right="120"/>
        <w:spacing w:after="0" w:line="284" w:lineRule="auto"/>
        <w:rPr>
          <w:sz w:val="20"/>
          <w:szCs w:val="20"/>
          <w:color w:val="auto"/>
        </w:rPr>
      </w:pPr>
      <w:r>
        <w:rPr>
          <w:rFonts w:ascii="Arial" w:cs="Arial" w:eastAsia="Arial" w:hAnsi="Arial"/>
          <w:sz w:val="17"/>
          <w:szCs w:val="17"/>
          <w:color w:val="auto"/>
        </w:rPr>
        <w:t>any exclusive licence from OncoMed Target to NAVI Sub in respect of Oncomed Target’s etigilimab product;</w:t>
      </w:r>
    </w:p>
    <w:p>
      <w:pPr>
        <w:spacing w:after="0" w:line="49" w:lineRule="exact"/>
        <w:rPr>
          <w:sz w:val="20"/>
          <w:szCs w:val="20"/>
          <w:color w:val="auto"/>
        </w:rPr>
      </w:pPr>
    </w:p>
    <w:p>
      <w:pPr>
        <w:sectPr>
          <w:pgSz w:w="11900" w:h="16838" w:orient="portrait"/>
          <w:cols w:equalWidth="0" w:num="2">
            <w:col w:w="2729" w:space="720"/>
            <w:col w:w="7060"/>
          </w:cols>
          <w:pgMar w:left="671" w:top="270" w:right="719" w:bottom="1440" w:gutter="0" w:footer="0" w:header="0"/>
          <w:type w:val="continuous"/>
        </w:sectPr>
      </w:pPr>
    </w:p>
    <w:p>
      <w:pPr>
        <w:ind w:left="529"/>
        <w:spacing w:after="0"/>
        <w:rPr>
          <w:sz w:val="20"/>
          <w:szCs w:val="20"/>
          <w:color w:val="auto"/>
        </w:rPr>
      </w:pPr>
      <w:r>
        <w:rPr>
          <w:rFonts w:ascii="Arial" w:cs="Arial" w:eastAsia="Arial" w:hAnsi="Arial"/>
          <w:sz w:val="16"/>
          <w:szCs w:val="16"/>
          <w:b w:val="1"/>
          <w:bCs w:val="1"/>
          <w:color w:val="auto"/>
        </w:rPr>
        <w:t>NAVI Sub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NAVI Subsidiary, Inc., a Delaware corporation;</w:t>
      </w:r>
    </w:p>
    <w:p>
      <w:pPr>
        <w:spacing w:after="0" w:line="132" w:lineRule="exact"/>
        <w:rPr>
          <w:sz w:val="20"/>
          <w:szCs w:val="20"/>
          <w:color w:val="auto"/>
        </w:rPr>
      </w:pPr>
    </w:p>
    <w:p>
      <w:pPr>
        <w:sectPr>
          <w:pgSz w:w="11900" w:h="16838" w:orient="portrait"/>
          <w:cols w:equalWidth="0" w:num="2">
            <w:col w:w="2729" w:space="720"/>
            <w:col w:w="7060"/>
          </w:cols>
          <w:pgMar w:left="671" w:top="270" w:right="719" w:bottom="1440" w:gutter="0" w:footer="0" w:header="0"/>
          <w:type w:val="continuous"/>
        </w:sectPr>
      </w:pPr>
    </w:p>
    <w:p>
      <w:pPr>
        <w:ind w:left="529"/>
        <w:spacing w:after="0"/>
        <w:rPr>
          <w:sz w:val="20"/>
          <w:szCs w:val="20"/>
          <w:color w:val="auto"/>
        </w:rPr>
      </w:pPr>
      <w:r>
        <w:rPr>
          <w:rFonts w:ascii="Arial" w:cs="Arial" w:eastAsia="Arial" w:hAnsi="Arial"/>
          <w:sz w:val="15"/>
          <w:szCs w:val="15"/>
          <w:b w:val="1"/>
          <w:bCs w:val="1"/>
          <w:color w:val="auto"/>
        </w:rPr>
        <w:t>Mereo US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Mereo US Holdings Inc;</w:t>
      </w:r>
    </w:p>
    <w:p>
      <w:pPr>
        <w:spacing w:after="0" w:line="166" w:lineRule="exact"/>
        <w:rPr>
          <w:sz w:val="20"/>
          <w:szCs w:val="20"/>
          <w:color w:val="auto"/>
        </w:rPr>
      </w:pPr>
    </w:p>
    <w:p>
      <w:pPr>
        <w:sectPr>
          <w:pgSz w:w="11900" w:h="16838" w:orient="portrait"/>
          <w:cols w:equalWidth="0" w:num="2">
            <w:col w:w="2729" w:space="720"/>
            <w:col w:w="7060"/>
          </w:cols>
          <w:pgMar w:left="671" w:top="270" w:right="719" w:bottom="1440" w:gutter="0" w:footer="0" w:header="0"/>
          <w:type w:val="continuous"/>
        </w:sectPr>
      </w:pPr>
    </w:p>
    <w:p>
      <w:pPr>
        <w:jc w:val="center"/>
        <w:ind w:right="-48"/>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509"/>
          </w:cols>
          <w:pgMar w:left="671" w:top="270" w:right="719" w:bottom="1440" w:gutter="0" w:footer="0" w:header="0"/>
          <w:type w:val="continuous"/>
        </w:sectPr>
      </w:pPr>
    </w:p>
    <w:bookmarkStart w:id="260" w:name="page261"/>
    <w:bookmarkEnd w:id="260"/>
    <w:p>
      <w:pPr>
        <w:ind w:right="160"/>
        <w:spacing w:after="0" w:line="291" w:lineRule="auto"/>
        <w:rPr>
          <w:sz w:val="20"/>
          <w:szCs w:val="20"/>
          <w:color w:val="auto"/>
        </w:rPr>
      </w:pPr>
      <w:r>
        <w:rPr>
          <w:rFonts w:ascii="Arial" w:cs="Arial" w:eastAsia="Arial" w:hAnsi="Arial"/>
          <w:sz w:val="17"/>
          <w:szCs w:val="17"/>
          <w:b w:val="1"/>
          <w:bCs w:val="1"/>
          <w:color w:val="auto"/>
        </w:rPr>
        <w:t>OncoMed Acquisition CVR Agreement</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a Contingent Value Rights Agreement between the Borrower and Computershare Inc., substantially in the form submitted to the U.S. Securities and Exchange Commission on or around the date of the OncoMed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-2473325</wp:posOffset>
            </wp:positionH>
            <wp:positionV relativeFrom="paragraph">
              <wp:posOffset>-499110</wp:posOffset>
            </wp:positionV>
            <wp:extent cx="729424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200" w:space="720"/>
            <w:col w:w="7040"/>
          </w:cols>
          <w:pgMar w:left="1200" w:top="263" w:right="739" w:bottom="1440" w:gutter="0" w:footer="0" w:header="0"/>
        </w:sectPr>
      </w:pPr>
    </w:p>
    <w:p>
      <w:pPr>
        <w:spacing w:after="0"/>
        <w:rPr>
          <w:sz w:val="20"/>
          <w:szCs w:val="20"/>
          <w:color w:val="auto"/>
        </w:rPr>
      </w:pPr>
      <w:r>
        <w:rPr>
          <w:rFonts w:ascii="Arial" w:cs="Arial" w:eastAsia="Arial" w:hAnsi="Arial"/>
          <w:sz w:val="15"/>
          <w:szCs w:val="15"/>
          <w:b w:val="1"/>
          <w:bCs w:val="1"/>
          <w:color w:val="auto"/>
        </w:rPr>
        <w:t>OncoMed Acquisition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date on which Closing (as defined in the OncMed Merger Agreement) occurs;</w:t>
      </w:r>
    </w:p>
    <w:p>
      <w:pPr>
        <w:spacing w:after="0" w:line="132" w:lineRule="exact"/>
        <w:rPr>
          <w:sz w:val="20"/>
          <w:szCs w:val="20"/>
          <w:color w:val="auto"/>
        </w:rPr>
      </w:pPr>
    </w:p>
    <w:p>
      <w:pPr>
        <w:sectPr>
          <w:pgSz w:w="11900" w:h="16838" w:orient="portrait"/>
          <w:cols w:equalWidth="0" w:num="2">
            <w:col w:w="2200" w:space="720"/>
            <w:col w:w="7040"/>
          </w:cols>
          <w:pgMar w:left="1200" w:top="263"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OncoMed Existing CVR Agreement</w:t>
      </w:r>
    </w:p>
    <w:p>
      <w:pPr>
        <w:spacing w:after="0" w:line="20" w:lineRule="exact"/>
        <w:rPr>
          <w:sz w:val="20"/>
          <w:szCs w:val="20"/>
          <w:color w:val="auto"/>
        </w:rPr>
      </w:pPr>
      <w:r>
        <w:rPr>
          <w:sz w:val="20"/>
          <w:szCs w:val="20"/>
          <w:color w:val="auto"/>
        </w:rPr>
        <w:br w:type="column"/>
      </w:r>
    </w:p>
    <w:p>
      <w:pPr>
        <w:ind w:right="180"/>
        <w:spacing w:after="0" w:line="284" w:lineRule="auto"/>
        <w:rPr>
          <w:sz w:val="20"/>
          <w:szCs w:val="20"/>
          <w:color w:val="auto"/>
        </w:rPr>
      </w:pPr>
      <w:r>
        <w:rPr>
          <w:rFonts w:ascii="Arial" w:cs="Arial" w:eastAsia="Arial" w:hAnsi="Arial"/>
          <w:sz w:val="17"/>
          <w:szCs w:val="17"/>
          <w:color w:val="auto"/>
        </w:rPr>
        <w:t>a Contingent Value Rights Agreement between the OncoMed Target and Computershare Inc., dated 14 March 2019.</w:t>
      </w:r>
    </w:p>
    <w:p>
      <w:pPr>
        <w:spacing w:after="0" w:line="49" w:lineRule="exact"/>
        <w:rPr>
          <w:sz w:val="20"/>
          <w:szCs w:val="20"/>
          <w:color w:val="auto"/>
        </w:rPr>
      </w:pPr>
    </w:p>
    <w:p>
      <w:pPr>
        <w:sectPr>
          <w:pgSz w:w="11900" w:h="16838" w:orient="portrait"/>
          <w:cols w:equalWidth="0" w:num="2">
            <w:col w:w="2640" w:space="280"/>
            <w:col w:w="7040"/>
          </w:cols>
          <w:pgMar w:left="1200" w:top="263"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OncoMed Merger Agreement</w:t>
      </w:r>
    </w:p>
    <w:p>
      <w:pPr>
        <w:spacing w:after="0" w:line="20" w:lineRule="exact"/>
        <w:rPr>
          <w:sz w:val="20"/>
          <w:szCs w:val="20"/>
          <w:color w:val="auto"/>
        </w:rPr>
      </w:pPr>
      <w:r>
        <w:rPr>
          <w:sz w:val="20"/>
          <w:szCs w:val="20"/>
          <w:color w:val="auto"/>
        </w:rPr>
        <w:br w:type="column"/>
      </w:r>
    </w:p>
    <w:p>
      <w:pPr>
        <w:ind w:right="80"/>
        <w:spacing w:after="0" w:line="316" w:lineRule="auto"/>
        <w:rPr>
          <w:sz w:val="20"/>
          <w:szCs w:val="20"/>
          <w:color w:val="auto"/>
        </w:rPr>
      </w:pPr>
      <w:r>
        <w:rPr>
          <w:rFonts w:ascii="Arial" w:cs="Arial" w:eastAsia="Arial" w:hAnsi="Arial"/>
          <w:sz w:val="16"/>
          <w:szCs w:val="16"/>
          <w:color w:val="auto"/>
        </w:rPr>
        <w:t>the Agreement and Plan of Merger and Reorganisation between the Borrower, OncoMed Acquisition Holdco and Mereo Mergerco One Inc., and OncoMed Target dated 5 December 2018;</w:t>
      </w:r>
    </w:p>
    <w:p>
      <w:pPr>
        <w:spacing w:after="0" w:line="27" w:lineRule="exact"/>
        <w:rPr>
          <w:sz w:val="20"/>
          <w:szCs w:val="20"/>
          <w:color w:val="auto"/>
        </w:rPr>
      </w:pPr>
    </w:p>
    <w:p>
      <w:pPr>
        <w:sectPr>
          <w:pgSz w:w="11900" w:h="16838" w:orient="portrait"/>
          <w:cols w:equalWidth="0" w:num="2">
            <w:col w:w="2200" w:space="720"/>
            <w:col w:w="7040"/>
          </w:cols>
          <w:pgMar w:left="1200" w:top="263"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OncoMed Restricted Assets</w:t>
      </w:r>
    </w:p>
    <w:p>
      <w:pPr>
        <w:spacing w:after="0" w:line="20" w:lineRule="exact"/>
        <w:rPr>
          <w:sz w:val="20"/>
          <w:szCs w:val="20"/>
          <w:color w:val="auto"/>
        </w:rPr>
      </w:pPr>
      <w:r>
        <w:rPr>
          <w:sz w:val="20"/>
          <w:szCs w:val="20"/>
          <w:color w:val="auto"/>
        </w:rPr>
        <w:br w:type="column"/>
      </w:r>
    </w:p>
    <w:p>
      <w:pPr>
        <w:ind w:right="40"/>
        <w:spacing w:after="0" w:line="269" w:lineRule="auto"/>
        <w:rPr>
          <w:sz w:val="20"/>
          <w:szCs w:val="20"/>
          <w:color w:val="auto"/>
        </w:rPr>
      </w:pPr>
      <w:r>
        <w:rPr>
          <w:rFonts w:ascii="Arial" w:cs="Arial" w:eastAsia="Arial" w:hAnsi="Arial"/>
          <w:sz w:val="17"/>
          <w:szCs w:val="17"/>
          <w:color w:val="auto"/>
        </w:rPr>
        <w:t>any asset or right subject to any restriction pursuant to the NAVI Licence and/or the Celgene Option that precludes inter alia, the granting of third party security over such asset or right or the proceeds of any such asset or right;</w:t>
      </w:r>
    </w:p>
    <w:p>
      <w:pPr>
        <w:spacing w:after="0" w:line="62" w:lineRule="exact"/>
        <w:rPr>
          <w:sz w:val="20"/>
          <w:szCs w:val="20"/>
          <w:color w:val="auto"/>
        </w:rPr>
      </w:pPr>
    </w:p>
    <w:p>
      <w:pPr>
        <w:sectPr>
          <w:pgSz w:w="11900" w:h="16838" w:orient="portrait"/>
          <w:cols w:equalWidth="0" w:num="2">
            <w:col w:w="2200" w:space="720"/>
            <w:col w:w="7040"/>
          </w:cols>
          <w:pgMar w:left="1200" w:top="263"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OncoMed Target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OncoMed Pharmaceuticals Inc;</w:t>
      </w:r>
    </w:p>
    <w:p>
      <w:pPr>
        <w:spacing w:after="0" w:line="132" w:lineRule="exact"/>
        <w:rPr>
          <w:sz w:val="20"/>
          <w:szCs w:val="20"/>
          <w:color w:val="auto"/>
        </w:rPr>
      </w:pPr>
    </w:p>
    <w:p>
      <w:pPr>
        <w:sectPr>
          <w:pgSz w:w="11900" w:h="16838" w:orient="portrait"/>
          <w:cols w:equalWidth="0" w:num="2">
            <w:col w:w="2200" w:space="720"/>
            <w:col w:w="7040"/>
          </w:cols>
          <w:pgMar w:left="1200" w:top="263" w:right="7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Permitted Distribution</w:t>
      </w:r>
    </w:p>
    <w:p>
      <w:pPr>
        <w:spacing w:after="0" w:line="20" w:lineRule="exact"/>
        <w:rPr>
          <w:sz w:val="20"/>
          <w:szCs w:val="20"/>
          <w:color w:val="auto"/>
        </w:rPr>
      </w:pPr>
      <w:r>
        <w:rPr>
          <w:sz w:val="20"/>
          <w:szCs w:val="20"/>
          <w:color w:val="auto"/>
        </w:rPr>
        <w:br w:type="column"/>
      </w:r>
    </w:p>
    <w:p>
      <w:pPr>
        <w:ind w:hanging="344"/>
        <w:spacing w:after="0" w:line="269" w:lineRule="auto"/>
        <w:rPr>
          <w:sz w:val="20"/>
          <w:szCs w:val="20"/>
          <w:color w:val="auto"/>
        </w:rPr>
      </w:pPr>
      <w:r>
        <w:rPr>
          <w:rFonts w:ascii="Arial" w:cs="Arial" w:eastAsia="Arial" w:hAnsi="Arial"/>
          <w:sz w:val="17"/>
          <w:szCs w:val="17"/>
          <w:color w:val="auto"/>
        </w:rPr>
        <w:t>(a) any dividends or distributions by an Obligor or a Subsidiary of an Obligor in respect of long term incentive plans or employee and officer shares schemes in operation in respect of an Obligor or Subsidiary of an Obligor.</w:t>
      </w:r>
    </w:p>
    <w:p>
      <w:pPr>
        <w:spacing w:after="0" w:line="68" w:lineRule="exact"/>
        <w:rPr>
          <w:sz w:val="20"/>
          <w:szCs w:val="20"/>
          <w:color w:val="auto"/>
        </w:rPr>
      </w:pPr>
    </w:p>
    <w:p>
      <w:pPr>
        <w:sectPr>
          <w:pgSz w:w="11900" w:h="16838" w:orient="portrait"/>
          <w:cols w:equalWidth="0" w:num="2">
            <w:col w:w="2540" w:space="720"/>
            <w:col w:w="6700"/>
          </w:cols>
          <w:pgMar w:left="1200" w:top="263" w:right="739" w:bottom="1440" w:gutter="0" w:footer="0" w:header="0"/>
          <w:type w:val="continuous"/>
        </w:sectPr>
      </w:pPr>
    </w:p>
    <w:p>
      <w:pPr>
        <w:ind w:left="3260" w:right="40" w:hanging="344"/>
        <w:spacing w:after="0" w:line="269" w:lineRule="auto"/>
        <w:rPr>
          <w:sz w:val="20"/>
          <w:szCs w:val="20"/>
          <w:color w:val="auto"/>
        </w:rPr>
      </w:pPr>
      <w:r>
        <w:rPr>
          <w:rFonts w:ascii="Arial" w:cs="Arial" w:eastAsia="Arial" w:hAnsi="Arial"/>
          <w:sz w:val="17"/>
          <w:szCs w:val="17"/>
          <w:color w:val="auto"/>
        </w:rPr>
        <w:t>(b) any payment (including any payment by way of cash, issuance of shares or other payment in kind) required to be made in accordance with the OncoMed Acquisition CVR Agreement and/or the OncoMed Existing CVR Agreement;</w:t>
      </w:r>
    </w:p>
    <w:p>
      <w:pPr>
        <w:sectPr>
          <w:pgSz w:w="11900" w:h="16838" w:orient="portrait"/>
          <w:cols w:equalWidth="0" w:num="1">
            <w:col w:w="9960"/>
          </w:cols>
          <w:pgMar w:left="1200" w:top="263" w:right="7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Security Agreement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a security agreement between Mereo US Holdings and OncoMed Target and NAVI Sub (as grantors) and the Security Agent (as security agent).</w:t>
      </w:r>
    </w:p>
    <w:p>
      <w:pPr>
        <w:spacing w:after="0" w:line="94" w:lineRule="exact"/>
        <w:rPr>
          <w:sz w:val="20"/>
          <w:szCs w:val="20"/>
          <w:color w:val="auto"/>
        </w:rPr>
      </w:pPr>
    </w:p>
    <w:p>
      <w:pPr>
        <w:sectPr>
          <w:pgSz w:w="11900" w:h="16838" w:orient="portrait"/>
          <w:cols w:equalWidth="0" w:num="2">
            <w:col w:w="2200" w:space="720"/>
            <w:col w:w="7040"/>
          </w:cols>
          <w:pgMar w:left="1200" w:top="263" w:right="739" w:bottom="1440" w:gutter="0" w:footer="0" w:header="0"/>
          <w:type w:val="continuous"/>
        </w:sectPr>
      </w:pPr>
    </w:p>
    <w:p>
      <w:pPr>
        <w:jc w:val="center"/>
        <w:ind w:right="46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960"/>
          </w:cols>
          <w:pgMar w:left="1200" w:top="263" w:right="739" w:bottom="1440" w:gutter="0" w:footer="0" w:header="0"/>
          <w:type w:val="continuous"/>
        </w:sectPr>
      </w:pPr>
    </w:p>
    <w:bookmarkStart w:id="261" w:name="page262"/>
    <w:bookmarkEnd w:id="261"/>
    <w:p>
      <w:pPr>
        <w:ind w:left="509" w:right="240" w:hanging="509"/>
        <w:spacing w:after="0" w:line="284" w:lineRule="auto"/>
        <w:tabs>
          <w:tab w:leader="none" w:pos="509" w:val="left"/>
        </w:tabs>
        <w:numPr>
          <w:ilvl w:val="0"/>
          <w:numId w:val="2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the definition of “GAAP” in clause 17.1 (</w:t>
      </w:r>
      <w:r>
        <w:rPr>
          <w:rFonts w:ascii="Arial" w:cs="Arial" w:eastAsia="Arial" w:hAnsi="Arial"/>
          <w:sz w:val="17"/>
          <w:szCs w:val="17"/>
          <w:i w:val="1"/>
          <w:iCs w:val="1"/>
          <w:color w:val="auto"/>
        </w:rPr>
        <w:t>Definitions</w:t>
      </w:r>
      <w:r>
        <w:rPr>
          <w:rFonts w:ascii="Arial" w:cs="Arial" w:eastAsia="Arial" w:hAnsi="Arial"/>
          <w:sz w:val="17"/>
          <w:szCs w:val="17"/>
          <w:color w:val="auto"/>
        </w:rPr>
        <w:t>) of the Original Facility Agreement shall be deleted in its entirety and replaced with the following:</w:t>
      </w:r>
    </w:p>
    <w:p>
      <w:pPr>
        <w:spacing w:after="0" w:line="49" w:lineRule="exact"/>
        <w:rPr>
          <w:rFonts w:ascii="Arial" w:cs="Arial" w:eastAsia="Arial" w:hAnsi="Arial"/>
          <w:sz w:val="17"/>
          <w:szCs w:val="17"/>
          <w:color w:val="auto"/>
        </w:rPr>
      </w:pPr>
    </w:p>
    <w:p>
      <w:pPr>
        <w:ind w:left="529"/>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w:t>
      </w:r>
    </w:p>
    <w:p>
      <w:pPr>
        <w:spacing w:after="0" w:line="134" w:lineRule="exact"/>
        <w:rPr>
          <w:rFonts w:ascii="Arial" w:cs="Arial" w:eastAsia="Arial" w:hAnsi="Arial"/>
          <w:sz w:val="17"/>
          <w:szCs w:val="17"/>
          <w:color w:val="auto"/>
        </w:rPr>
      </w:pPr>
    </w:p>
    <w:p>
      <w:pPr>
        <w:ind w:left="1029" w:right="200" w:hanging="511"/>
        <w:spacing w:after="0" w:line="354" w:lineRule="auto"/>
        <w:tabs>
          <w:tab w:leader="none" w:pos="1029" w:val="left"/>
        </w:tabs>
        <w:numPr>
          <w:ilvl w:val="1"/>
          <w:numId w:val="227"/>
        </w:numPr>
        <w:rPr>
          <w:rFonts w:ascii="Arial" w:cs="Arial" w:eastAsia="Arial" w:hAnsi="Arial"/>
          <w:sz w:val="15"/>
          <w:szCs w:val="15"/>
          <w:color w:val="auto"/>
        </w:rPr>
      </w:pPr>
      <w:r>
        <w:rPr>
          <w:rFonts w:ascii="Arial" w:cs="Arial" w:eastAsia="Arial" w:hAnsi="Arial"/>
          <w:sz w:val="15"/>
          <w:szCs w:val="15"/>
          <w:color w:val="auto"/>
        </w:rPr>
        <w:t>in respect of any Obligor other than Mereo US Holdings or any of its Subsidiaries (and in respect of all Obligors to the extent Group consolidated financial statements are required), generally accepted accounting principles in the United Kingdom, including IFRS; and</w:t>
      </w:r>
    </w:p>
    <w:p>
      <w:pPr>
        <w:spacing w:after="0" w:line="22" w:lineRule="exact"/>
        <w:rPr>
          <w:rFonts w:ascii="Arial" w:cs="Arial" w:eastAsia="Arial" w:hAnsi="Arial"/>
          <w:sz w:val="15"/>
          <w:szCs w:val="15"/>
          <w:color w:val="auto"/>
        </w:rPr>
      </w:pPr>
    </w:p>
    <w:p>
      <w:pPr>
        <w:ind w:left="1029" w:right="60" w:hanging="511"/>
        <w:spacing w:after="0" w:line="284" w:lineRule="auto"/>
        <w:tabs>
          <w:tab w:leader="none" w:pos="1029" w:val="left"/>
        </w:tabs>
        <w:numPr>
          <w:ilvl w:val="1"/>
          <w:numId w:val="227"/>
        </w:numPr>
        <w:rPr>
          <w:rFonts w:ascii="Arial" w:cs="Arial" w:eastAsia="Arial" w:hAnsi="Arial"/>
          <w:sz w:val="17"/>
          <w:szCs w:val="17"/>
          <w:color w:val="auto"/>
        </w:rPr>
      </w:pPr>
      <w:r>
        <w:rPr>
          <w:rFonts w:ascii="Arial" w:cs="Arial" w:eastAsia="Arial" w:hAnsi="Arial"/>
          <w:sz w:val="17"/>
          <w:szCs w:val="17"/>
          <w:color w:val="auto"/>
        </w:rPr>
        <w:t>in respect of Mereo US Holdings or any of its Subsidiaries (if applicable), generally accepted accounting principles in the United States, including IFRS;</w:t>
      </w:r>
    </w:p>
    <w:p>
      <w:pPr>
        <w:spacing w:after="0" w:line="68" w:lineRule="exact"/>
        <w:rPr>
          <w:rFonts w:ascii="Arial" w:cs="Arial" w:eastAsia="Arial" w:hAnsi="Arial"/>
          <w:sz w:val="17"/>
          <w:szCs w:val="17"/>
          <w:color w:val="auto"/>
        </w:rPr>
      </w:pPr>
    </w:p>
    <w:p>
      <w:pPr>
        <w:ind w:left="509" w:hanging="509"/>
        <w:spacing w:after="0" w:line="264" w:lineRule="auto"/>
        <w:tabs>
          <w:tab w:leader="none" w:pos="50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definition of “Indebtedness” in clause 17.1 (</w:t>
      </w:r>
      <w:r>
        <w:rPr>
          <w:rFonts w:ascii="Arial" w:cs="Arial" w:eastAsia="Arial" w:hAnsi="Arial"/>
          <w:sz w:val="17"/>
          <w:szCs w:val="17"/>
          <w:i w:val="1"/>
          <w:iCs w:val="1"/>
          <w:color w:val="auto"/>
        </w:rPr>
        <w:t>Definitions</w:t>
      </w:r>
      <w:r>
        <w:rPr>
          <w:rFonts w:ascii="Arial" w:cs="Arial" w:eastAsia="Arial" w:hAnsi="Arial"/>
          <w:sz w:val="17"/>
          <w:szCs w:val="17"/>
          <w:color w:val="auto"/>
        </w:rPr>
        <w:t>) shall be amended by deleting the words “capital lease obligations” and replacing them with: “the amount of any liability in respect of any lease or hire purchase contract which would, in accordance with GAAP, be treated as a balance sheet liability (other than any liability in respect of a lease or hire purchase contract which would, in accordance with GAAP in force on 28 September 2018, have been treated as an operating lease)”;</w:t>
      </w:r>
    </w:p>
    <w:p>
      <w:pPr>
        <w:spacing w:after="0" w:line="85" w:lineRule="exact"/>
        <w:rPr>
          <w:rFonts w:ascii="Arial" w:cs="Arial" w:eastAsia="Arial" w:hAnsi="Arial"/>
          <w:sz w:val="17"/>
          <w:szCs w:val="17"/>
          <w:color w:val="auto"/>
        </w:rPr>
      </w:pPr>
    </w:p>
    <w:p>
      <w:pPr>
        <w:ind w:left="509" w:right="60" w:hanging="509"/>
        <w:spacing w:after="0" w:line="284" w:lineRule="auto"/>
        <w:tabs>
          <w:tab w:leader="none" w:pos="50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paragraph (b) of the definition of “Permitted Disposal” in clause 17.1 (</w:t>
      </w:r>
      <w:r>
        <w:rPr>
          <w:rFonts w:ascii="Arial" w:cs="Arial" w:eastAsia="Arial" w:hAnsi="Arial"/>
          <w:sz w:val="17"/>
          <w:szCs w:val="17"/>
          <w:i w:val="1"/>
          <w:iCs w:val="1"/>
          <w:color w:val="auto"/>
        </w:rPr>
        <w:t>Definitions</w:t>
      </w:r>
      <w:r>
        <w:rPr>
          <w:rFonts w:ascii="Arial" w:cs="Arial" w:eastAsia="Arial" w:hAnsi="Arial"/>
          <w:sz w:val="17"/>
          <w:szCs w:val="17"/>
          <w:color w:val="auto"/>
        </w:rPr>
        <w:t>) shall be amended by adding: “Permitted Distribution, ” after “a Permitted Lien,”</w:t>
      </w:r>
    </w:p>
    <w:p>
      <w:pPr>
        <w:spacing w:after="0" w:line="68" w:lineRule="exact"/>
        <w:rPr>
          <w:rFonts w:ascii="Arial" w:cs="Arial" w:eastAsia="Arial" w:hAnsi="Arial"/>
          <w:sz w:val="17"/>
          <w:szCs w:val="17"/>
          <w:color w:val="auto"/>
        </w:rPr>
      </w:pPr>
    </w:p>
    <w:p>
      <w:pPr>
        <w:ind w:left="509" w:right="60" w:hanging="509"/>
        <w:spacing w:after="0" w:line="284" w:lineRule="auto"/>
        <w:tabs>
          <w:tab w:leader="none" w:pos="50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paragraph (c) of the definition of “Permitted Disposal” in clause 17.1 (</w:t>
      </w:r>
      <w:r>
        <w:rPr>
          <w:rFonts w:ascii="Arial" w:cs="Arial" w:eastAsia="Arial" w:hAnsi="Arial"/>
          <w:sz w:val="17"/>
          <w:szCs w:val="17"/>
          <w:i w:val="1"/>
          <w:iCs w:val="1"/>
          <w:color w:val="auto"/>
        </w:rPr>
        <w:t>Definitions</w:t>
      </w:r>
      <w:r>
        <w:rPr>
          <w:rFonts w:ascii="Arial" w:cs="Arial" w:eastAsia="Arial" w:hAnsi="Arial"/>
          <w:sz w:val="17"/>
          <w:szCs w:val="17"/>
          <w:color w:val="auto"/>
        </w:rPr>
        <w:t>) shall be amended by adding: “or US Security Agreement (as applicable)” after the word “Debenture”;</w:t>
      </w:r>
    </w:p>
    <w:p>
      <w:pPr>
        <w:spacing w:after="0" w:line="68" w:lineRule="exact"/>
        <w:rPr>
          <w:rFonts w:ascii="Arial" w:cs="Arial" w:eastAsia="Arial" w:hAnsi="Arial"/>
          <w:sz w:val="17"/>
          <w:szCs w:val="17"/>
          <w:color w:val="auto"/>
        </w:rPr>
      </w:pPr>
    </w:p>
    <w:p>
      <w:pPr>
        <w:ind w:left="509" w:right="160" w:hanging="509"/>
        <w:spacing w:after="0" w:line="284" w:lineRule="auto"/>
        <w:tabs>
          <w:tab w:leader="none" w:pos="50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new paragraph (e) to be added to the definition of “Permitted Disposal” which reads: any payment or disposal made pursuant to the OncoMed Existing CVR Agreement, the OncoMed Acquisition CVR Agreement and/or the Celgene Option;</w:t>
      </w:r>
    </w:p>
    <w:p>
      <w:pPr>
        <w:spacing w:after="0" w:line="68" w:lineRule="exact"/>
        <w:rPr>
          <w:rFonts w:ascii="Arial" w:cs="Arial" w:eastAsia="Arial" w:hAnsi="Arial"/>
          <w:sz w:val="17"/>
          <w:szCs w:val="17"/>
          <w:color w:val="auto"/>
        </w:rPr>
      </w:pPr>
    </w:p>
    <w:p>
      <w:pPr>
        <w:ind w:left="509" w:right="20" w:hanging="509"/>
        <w:spacing w:after="0" w:line="316" w:lineRule="auto"/>
        <w:tabs>
          <w:tab w:leader="none" w:pos="50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paragraph (e) of the definition of “Permitted Disposal” in clause 17.1 (</w:t>
      </w:r>
      <w:r>
        <w:rPr>
          <w:rFonts w:ascii="Arial" w:cs="Arial" w:eastAsia="Arial" w:hAnsi="Arial"/>
          <w:sz w:val="16"/>
          <w:szCs w:val="16"/>
          <w:i w:val="1"/>
          <w:iCs w:val="1"/>
          <w:color w:val="auto"/>
        </w:rPr>
        <w:t>Definitions</w:t>
      </w:r>
      <w:r>
        <w:rPr>
          <w:rFonts w:ascii="Arial" w:cs="Arial" w:eastAsia="Arial" w:hAnsi="Arial"/>
          <w:sz w:val="16"/>
          <w:szCs w:val="16"/>
          <w:color w:val="auto"/>
        </w:rPr>
        <w:t>) to be renumbered as “f” (and the reference therein to “(d)” to be replaced with “(e)” and shall be amended by deleting the words and number: “£250,000” and replacing them with: “£500,000”;</w:t>
      </w:r>
    </w:p>
    <w:p>
      <w:pPr>
        <w:spacing w:after="0" w:line="46" w:lineRule="exact"/>
        <w:rPr>
          <w:rFonts w:ascii="Arial" w:cs="Arial" w:eastAsia="Arial" w:hAnsi="Arial"/>
          <w:sz w:val="16"/>
          <w:szCs w:val="16"/>
          <w:color w:val="auto"/>
        </w:rPr>
      </w:pPr>
    </w:p>
    <w:p>
      <w:pPr>
        <w:ind w:left="509" w:right="460" w:hanging="509"/>
        <w:spacing w:after="0" w:line="284" w:lineRule="auto"/>
        <w:tabs>
          <w:tab w:leader="none" w:pos="50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paragraph (d) of the definition of “Permitted Guarantee” in clause 17.1 (</w:t>
      </w:r>
      <w:r>
        <w:rPr>
          <w:rFonts w:ascii="Arial" w:cs="Arial" w:eastAsia="Arial" w:hAnsi="Arial"/>
          <w:sz w:val="17"/>
          <w:szCs w:val="17"/>
          <w:i w:val="1"/>
          <w:iCs w:val="1"/>
          <w:color w:val="auto"/>
        </w:rPr>
        <w:t>Definitions</w:t>
      </w:r>
      <w:r>
        <w:rPr>
          <w:rFonts w:ascii="Arial" w:cs="Arial" w:eastAsia="Arial" w:hAnsi="Arial"/>
          <w:sz w:val="17"/>
          <w:szCs w:val="17"/>
          <w:color w:val="auto"/>
        </w:rPr>
        <w:t>) shall be amended by deleting the words and number: “£250,000” and replacing them with: “£500,000”;</w:t>
      </w:r>
    </w:p>
    <w:p>
      <w:pPr>
        <w:spacing w:after="0" w:line="68" w:lineRule="exact"/>
        <w:rPr>
          <w:rFonts w:ascii="Arial" w:cs="Arial" w:eastAsia="Arial" w:hAnsi="Arial"/>
          <w:sz w:val="17"/>
          <w:szCs w:val="17"/>
          <w:color w:val="auto"/>
        </w:rPr>
      </w:pPr>
    </w:p>
    <w:p>
      <w:pPr>
        <w:ind w:left="509" w:right="220" w:hanging="509"/>
        <w:spacing w:after="0" w:line="284" w:lineRule="auto"/>
        <w:tabs>
          <w:tab w:leader="none" w:pos="50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paragraph (m) of the definition of “Permitted Indebtedness” in clause 17.1 (</w:t>
      </w:r>
      <w:r>
        <w:rPr>
          <w:rFonts w:ascii="Arial" w:cs="Arial" w:eastAsia="Arial" w:hAnsi="Arial"/>
          <w:sz w:val="17"/>
          <w:szCs w:val="17"/>
          <w:i w:val="1"/>
          <w:iCs w:val="1"/>
          <w:color w:val="auto"/>
        </w:rPr>
        <w:t>Definitions</w:t>
      </w:r>
      <w:r>
        <w:rPr>
          <w:rFonts w:ascii="Arial" w:cs="Arial" w:eastAsia="Arial" w:hAnsi="Arial"/>
          <w:sz w:val="17"/>
          <w:szCs w:val="17"/>
          <w:color w:val="auto"/>
        </w:rPr>
        <w:t>) shall be amended by deleting the words and number: “£250,000” and replacing them with: “£500,000”;</w:t>
      </w:r>
    </w:p>
    <w:p>
      <w:pPr>
        <w:spacing w:after="0" w:line="68" w:lineRule="exact"/>
        <w:rPr>
          <w:rFonts w:ascii="Arial" w:cs="Arial" w:eastAsia="Arial" w:hAnsi="Arial"/>
          <w:sz w:val="17"/>
          <w:szCs w:val="17"/>
          <w:color w:val="auto"/>
        </w:rPr>
      </w:pPr>
    </w:p>
    <w:p>
      <w:pPr>
        <w:ind w:left="509" w:right="380" w:hanging="509"/>
        <w:spacing w:after="0" w:line="284" w:lineRule="auto"/>
        <w:tabs>
          <w:tab w:leader="none" w:pos="50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paragraph (i) of the definition of “Permitted Investments” in clause 17.1 (</w:t>
      </w:r>
      <w:r>
        <w:rPr>
          <w:rFonts w:ascii="Arial" w:cs="Arial" w:eastAsia="Arial" w:hAnsi="Arial"/>
          <w:sz w:val="17"/>
          <w:szCs w:val="17"/>
          <w:i w:val="1"/>
          <w:iCs w:val="1"/>
          <w:color w:val="auto"/>
        </w:rPr>
        <w:t>Definitions</w:t>
      </w:r>
      <w:r>
        <w:rPr>
          <w:rFonts w:ascii="Arial" w:cs="Arial" w:eastAsia="Arial" w:hAnsi="Arial"/>
          <w:sz w:val="17"/>
          <w:szCs w:val="17"/>
          <w:color w:val="auto"/>
        </w:rPr>
        <w:t>) shall be amended by deleting the words and number: “£250,000” and replacing them with: “£500,000”;</w:t>
      </w:r>
    </w:p>
    <w:p>
      <w:pPr>
        <w:spacing w:after="0" w:line="94" w:lineRule="exact"/>
        <w:rPr>
          <w:sz w:val="20"/>
          <w:szCs w:val="20"/>
          <w:color w:val="auto"/>
        </w:rPr>
      </w:pPr>
    </w:p>
    <w:p>
      <w:pPr>
        <w:jc w:val="center"/>
        <w:ind w:right="-88"/>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489"/>
          </w:cols>
          <w:pgMar w:left="671" w:top="269" w:right="739" w:bottom="1440" w:gutter="0" w:footer="0" w:header="0"/>
        </w:sectPr>
      </w:pPr>
    </w:p>
    <w:bookmarkStart w:id="262" w:name="page263"/>
    <w:bookmarkEnd w:id="262"/>
    <w:p>
      <w:pPr>
        <w:ind w:left="509" w:right="20" w:hanging="509"/>
        <w:spacing w:after="0" w:line="284" w:lineRule="auto"/>
        <w:tabs>
          <w:tab w:leader="none" w:pos="509" w:val="left"/>
        </w:tabs>
        <w:numPr>
          <w:ilvl w:val="0"/>
          <w:numId w:val="2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paragraph (i) of the definition of “Permitted Investments” in clause 17.1 (</w:t>
      </w:r>
      <w:r>
        <w:rPr>
          <w:rFonts w:ascii="Arial" w:cs="Arial" w:eastAsia="Arial" w:hAnsi="Arial"/>
          <w:sz w:val="17"/>
          <w:szCs w:val="17"/>
          <w:i w:val="1"/>
          <w:iCs w:val="1"/>
          <w:color w:val="auto"/>
        </w:rPr>
        <w:t>Definitions</w:t>
      </w:r>
      <w:r>
        <w:rPr>
          <w:rFonts w:ascii="Arial" w:cs="Arial" w:eastAsia="Arial" w:hAnsi="Arial"/>
          <w:sz w:val="17"/>
          <w:szCs w:val="17"/>
          <w:color w:val="auto"/>
        </w:rPr>
        <w:t>) shall be amended by deleting the words and number: “£250,000” and replacing them with: “£500,000”;</w:t>
      </w:r>
    </w:p>
    <w:p>
      <w:pPr>
        <w:spacing w:after="0" w:line="68" w:lineRule="exact"/>
        <w:rPr>
          <w:rFonts w:ascii="Arial" w:cs="Arial" w:eastAsia="Arial" w:hAnsi="Arial"/>
          <w:sz w:val="17"/>
          <w:szCs w:val="17"/>
          <w:color w:val="auto"/>
        </w:rPr>
      </w:pPr>
    </w:p>
    <w:p>
      <w:pPr>
        <w:ind w:left="509" w:hanging="509"/>
        <w:spacing w:after="0"/>
        <w:tabs>
          <w:tab w:leader="none" w:pos="509" w:val="left"/>
        </w:tabs>
        <w:numPr>
          <w:ilvl w:val="0"/>
          <w:numId w:val="228"/>
        </w:numPr>
        <w:rPr>
          <w:rFonts w:ascii="Arial" w:cs="Arial" w:eastAsia="Arial" w:hAnsi="Arial"/>
          <w:sz w:val="15"/>
          <w:szCs w:val="15"/>
          <w:color w:val="auto"/>
        </w:rPr>
      </w:pPr>
      <w:r>
        <w:rPr>
          <w:rFonts w:ascii="Arial" w:cs="Arial" w:eastAsia="Arial" w:hAnsi="Arial"/>
          <w:sz w:val="15"/>
          <w:szCs w:val="15"/>
          <w:color w:val="auto"/>
        </w:rPr>
        <w:t>paragraph (c) of the definition of “Permitted Liens” in clause 17.1 (Definitions) shall be amended by deleting the words and number: “Two</w:t>
      </w:r>
    </w:p>
    <w:p>
      <w:pPr>
        <w:spacing w:after="0" w:line="47" w:lineRule="exact"/>
        <w:rPr>
          <w:rFonts w:ascii="Arial" w:cs="Arial" w:eastAsia="Arial" w:hAnsi="Arial"/>
          <w:sz w:val="15"/>
          <w:szCs w:val="15"/>
          <w:color w:val="auto"/>
        </w:rPr>
      </w:pPr>
    </w:p>
    <w:p>
      <w:pPr>
        <w:ind w:left="509"/>
        <w:spacing w:after="0"/>
        <w:rPr>
          <w:rFonts w:ascii="Arial" w:cs="Arial" w:eastAsia="Arial" w:hAnsi="Arial"/>
          <w:sz w:val="15"/>
          <w:szCs w:val="15"/>
          <w:color w:val="auto"/>
        </w:rPr>
      </w:pPr>
      <w:r>
        <w:rPr>
          <w:rFonts w:ascii="Arial" w:cs="Arial" w:eastAsia="Arial" w:hAnsi="Arial"/>
          <w:sz w:val="16"/>
          <w:szCs w:val="16"/>
          <w:color w:val="auto"/>
        </w:rPr>
        <w:t>Hundred and Fifty Thousand Sterling (£250,000)” and replacing them with: “Fife Hundred Thousand Pounds Sterling (£500,000)”;</w:t>
      </w:r>
    </w:p>
    <w:p>
      <w:pPr>
        <w:spacing w:after="0" w:line="127" w:lineRule="exact"/>
        <w:rPr>
          <w:rFonts w:ascii="Arial" w:cs="Arial" w:eastAsia="Arial" w:hAnsi="Arial"/>
          <w:sz w:val="15"/>
          <w:szCs w:val="15"/>
          <w:color w:val="auto"/>
        </w:rPr>
      </w:pPr>
    </w:p>
    <w:p>
      <w:pPr>
        <w:ind w:left="509" w:right="60" w:hanging="509"/>
        <w:spacing w:after="0" w:line="316" w:lineRule="auto"/>
        <w:tabs>
          <w:tab w:leader="none" w:pos="50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paragraph (g) of the definition of “Permitted Liens” in clause 17.1 (</w:t>
      </w:r>
      <w:r>
        <w:rPr>
          <w:rFonts w:ascii="Arial" w:cs="Arial" w:eastAsia="Arial" w:hAnsi="Arial"/>
          <w:sz w:val="16"/>
          <w:szCs w:val="16"/>
          <w:i w:val="1"/>
          <w:iCs w:val="1"/>
          <w:color w:val="auto"/>
        </w:rPr>
        <w:t>Definitions</w:t>
      </w:r>
      <w:r>
        <w:rPr>
          <w:rFonts w:ascii="Arial" w:cs="Arial" w:eastAsia="Arial" w:hAnsi="Arial"/>
          <w:sz w:val="16"/>
          <w:szCs w:val="16"/>
          <w:color w:val="auto"/>
        </w:rPr>
        <w:t>) shall be amended by adding “or in respect of any amounts subject of a Permitted Distribution in accordance with paragraph (b) of the definition of Permitted Distribution” after “Obligor”;</w:t>
      </w:r>
    </w:p>
    <w:p>
      <w:pPr>
        <w:spacing w:after="0" w:line="46" w:lineRule="exact"/>
        <w:rPr>
          <w:rFonts w:ascii="Arial" w:cs="Arial" w:eastAsia="Arial" w:hAnsi="Arial"/>
          <w:sz w:val="16"/>
          <w:szCs w:val="16"/>
          <w:color w:val="auto"/>
        </w:rPr>
      </w:pPr>
    </w:p>
    <w:p>
      <w:pPr>
        <w:ind w:left="509" w:hanging="509"/>
        <w:spacing w:after="0"/>
        <w:tabs>
          <w:tab w:leader="none" w:pos="509" w:val="left"/>
        </w:tabs>
        <w:numPr>
          <w:ilvl w:val="0"/>
          <w:numId w:val="228"/>
        </w:numPr>
        <w:rPr>
          <w:rFonts w:ascii="Arial" w:cs="Arial" w:eastAsia="Arial" w:hAnsi="Arial"/>
          <w:sz w:val="15"/>
          <w:szCs w:val="15"/>
          <w:color w:val="auto"/>
        </w:rPr>
      </w:pPr>
      <w:r>
        <w:rPr>
          <w:rFonts w:ascii="Arial" w:cs="Arial" w:eastAsia="Arial" w:hAnsi="Arial"/>
          <w:sz w:val="15"/>
          <w:szCs w:val="15"/>
          <w:color w:val="auto"/>
        </w:rPr>
        <w:t>paragraph (h) of the definition of “Permitted Liens” in clause 17.1 (</w:t>
      </w:r>
      <w:r>
        <w:rPr>
          <w:rFonts w:ascii="Arial" w:cs="Arial" w:eastAsia="Arial" w:hAnsi="Arial"/>
          <w:sz w:val="15"/>
          <w:szCs w:val="15"/>
          <w:i w:val="1"/>
          <w:iCs w:val="1"/>
          <w:color w:val="auto"/>
        </w:rPr>
        <w:t>Definitions</w:t>
      </w:r>
      <w:r>
        <w:rPr>
          <w:rFonts w:ascii="Arial" w:cs="Arial" w:eastAsia="Arial" w:hAnsi="Arial"/>
          <w:sz w:val="15"/>
          <w:szCs w:val="15"/>
          <w:color w:val="auto"/>
        </w:rPr>
        <w:t>) shall be amended by deleting the words and number: “one</w:t>
      </w:r>
    </w:p>
    <w:p>
      <w:pPr>
        <w:spacing w:after="0" w:line="47" w:lineRule="exact"/>
        <w:rPr>
          <w:rFonts w:ascii="Arial" w:cs="Arial" w:eastAsia="Arial" w:hAnsi="Arial"/>
          <w:sz w:val="15"/>
          <w:szCs w:val="15"/>
          <w:color w:val="auto"/>
        </w:rPr>
      </w:pPr>
    </w:p>
    <w:p>
      <w:pPr>
        <w:ind w:left="509"/>
        <w:spacing w:after="0"/>
        <w:rPr>
          <w:rFonts w:ascii="Arial" w:cs="Arial" w:eastAsia="Arial" w:hAnsi="Arial"/>
          <w:sz w:val="15"/>
          <w:szCs w:val="15"/>
          <w:color w:val="auto"/>
        </w:rPr>
      </w:pPr>
      <w:r>
        <w:rPr>
          <w:rFonts w:ascii="Arial" w:cs="Arial" w:eastAsia="Arial" w:hAnsi="Arial"/>
          <w:sz w:val="16"/>
          <w:szCs w:val="16"/>
          <w:color w:val="auto"/>
        </w:rPr>
        <w:t>hundred thousand pounds Sterling £100,000” and replacing them with: “Two Hundred Thousand Pounds Sterling (£200,000)”; and</w:t>
      </w:r>
    </w:p>
    <w:p>
      <w:pPr>
        <w:spacing w:after="0" w:line="127" w:lineRule="exact"/>
        <w:rPr>
          <w:rFonts w:ascii="Arial" w:cs="Arial" w:eastAsia="Arial" w:hAnsi="Arial"/>
          <w:sz w:val="15"/>
          <w:szCs w:val="15"/>
          <w:color w:val="auto"/>
        </w:rPr>
      </w:pPr>
    </w:p>
    <w:p>
      <w:pPr>
        <w:ind w:left="509" w:hanging="509"/>
        <w:spacing w:after="0"/>
        <w:tabs>
          <w:tab w:leader="none" w:pos="50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definition of “Security Documents” in clause 17.1 (</w:t>
      </w:r>
      <w:r>
        <w:rPr>
          <w:rFonts w:ascii="Arial" w:cs="Arial" w:eastAsia="Arial" w:hAnsi="Arial"/>
          <w:sz w:val="16"/>
          <w:szCs w:val="16"/>
          <w:i w:val="1"/>
          <w:iCs w:val="1"/>
          <w:color w:val="auto"/>
        </w:rPr>
        <w:t>Definitions</w:t>
      </w:r>
      <w:r>
        <w:rPr>
          <w:rFonts w:ascii="Arial" w:cs="Arial" w:eastAsia="Arial" w:hAnsi="Arial"/>
          <w:sz w:val="16"/>
          <w:szCs w:val="16"/>
          <w:color w:val="auto"/>
        </w:rPr>
        <w:t>) shall be amended by deleting the words: “(vii) the IP Agreement” and</w:t>
      </w:r>
    </w:p>
    <w:p>
      <w:pPr>
        <w:spacing w:after="0" w:line="35" w:lineRule="exact"/>
        <w:rPr>
          <w:rFonts w:ascii="Arial" w:cs="Arial" w:eastAsia="Arial" w:hAnsi="Arial"/>
          <w:sz w:val="16"/>
          <w:szCs w:val="16"/>
          <w:color w:val="auto"/>
        </w:rPr>
      </w:pPr>
    </w:p>
    <w:p>
      <w:pPr>
        <w:ind w:left="509"/>
        <w:spacing w:after="0"/>
        <w:rPr>
          <w:rFonts w:ascii="Arial" w:cs="Arial" w:eastAsia="Arial" w:hAnsi="Arial"/>
          <w:sz w:val="16"/>
          <w:szCs w:val="16"/>
          <w:color w:val="auto"/>
        </w:rPr>
      </w:pPr>
      <w:r>
        <w:rPr>
          <w:rFonts w:ascii="Arial" w:cs="Arial" w:eastAsia="Arial" w:hAnsi="Arial"/>
          <w:sz w:val="17"/>
          <w:szCs w:val="17"/>
          <w:color w:val="auto"/>
        </w:rPr>
        <w:t>replacing them with: “(vii) the US Security Agreement; and (viii) the IP Agreement”.</w:t>
      </w:r>
    </w:p>
    <w:p>
      <w:pPr>
        <w:spacing w:after="0" w:line="142" w:lineRule="exact"/>
        <w:rPr>
          <w:sz w:val="20"/>
          <w:szCs w:val="20"/>
          <w:color w:val="auto"/>
        </w:rPr>
      </w:pPr>
    </w:p>
    <w:p>
      <w:pPr>
        <w:jc w:val="center"/>
        <w:ind w:right="-448"/>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129"/>
          </w:cols>
          <w:pgMar w:left="671" w:top="269" w:right="1099" w:bottom="1440" w:gutter="0" w:footer="0" w:header="0"/>
        </w:sectPr>
      </w:pPr>
    </w:p>
    <w:bookmarkStart w:id="263" w:name="page264"/>
    <w:bookmarkEnd w:id="263"/>
    <w:p>
      <w:pPr>
        <w:jc w:val="center"/>
        <w:ind w:right="5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SCHEDULE 6</w:t>
      </w:r>
    </w:p>
    <w:p>
      <w:pPr>
        <w:spacing w:after="0" w:line="30" w:lineRule="exact"/>
        <w:rPr>
          <w:sz w:val="20"/>
          <w:szCs w:val="20"/>
          <w:color w:val="auto"/>
        </w:rPr>
      </w:pPr>
    </w:p>
    <w:p>
      <w:pPr>
        <w:jc w:val="center"/>
        <w:ind w:right="520"/>
        <w:spacing w:after="0"/>
        <w:rPr>
          <w:sz w:val="20"/>
          <w:szCs w:val="20"/>
          <w:color w:val="auto"/>
        </w:rPr>
      </w:pPr>
      <w:r>
        <w:rPr>
          <w:rFonts w:ascii="Arial" w:cs="Arial" w:eastAsia="Arial" w:hAnsi="Arial"/>
          <w:sz w:val="17"/>
          <w:szCs w:val="17"/>
          <w:b w:val="1"/>
          <w:bCs w:val="1"/>
          <w:color w:val="auto"/>
        </w:rPr>
        <w:t>REPAYMENT SCHEDULE</w:t>
      </w:r>
    </w:p>
    <w:p>
      <w:pPr>
        <w:sectPr>
          <w:pgSz w:w="11900" w:h="16838" w:orient="portrait"/>
          <w:cols w:equalWidth="0" w:num="1">
            <w:col w:w="11080"/>
          </w:cols>
          <w:pgMar w:left="680" w:top="264" w:right="139" w:bottom="1440" w:gutter="0" w:footer="0" w:header="0"/>
        </w:sect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99"/>
              </w:rPr>
              <w:t>Payment</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131"/>
              <w:spacing w:after="0"/>
              <w:rPr>
                <w:sz w:val="20"/>
                <w:szCs w:val="20"/>
                <w:color w:val="auto"/>
              </w:rPr>
            </w:pPr>
            <w:r>
              <w:rPr>
                <w:rFonts w:ascii="Arial" w:cs="Arial" w:eastAsia="Arial" w:hAnsi="Arial"/>
                <w:sz w:val="14"/>
                <w:szCs w:val="14"/>
                <w:b w:val="1"/>
                <w:bCs w:val="1"/>
                <w:color w:val="auto"/>
              </w:rPr>
              <w:t>Advance</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Due</w:t>
            </w:r>
          </w:p>
        </w:tc>
        <w:tc>
          <w:tcPr>
            <w:tcW w:w="1020" w:type="dxa"/>
            <w:vAlign w:val="bottom"/>
          </w:tcPr>
          <w:p>
            <w:pPr>
              <w:jc w:val="right"/>
              <w:ind w:right="151"/>
              <w:spacing w:after="0"/>
              <w:rPr>
                <w:sz w:val="20"/>
                <w:szCs w:val="20"/>
                <w:color w:val="auto"/>
              </w:rPr>
            </w:pPr>
            <w:r>
              <w:rPr>
                <w:rFonts w:ascii="Arial" w:cs="Arial" w:eastAsia="Arial" w:hAnsi="Arial"/>
                <w:sz w:val="14"/>
                <w:szCs w:val="14"/>
                <w:b w:val="1"/>
                <w:bCs w:val="1"/>
                <w:color w:val="auto"/>
              </w:rPr>
              <w:t>Drawdown</w:t>
            </w:r>
          </w:p>
        </w:tc>
        <w:tc>
          <w:tcPr>
            <w:tcW w:w="860" w:type="dxa"/>
            <w:vAlign w:val="bottom"/>
          </w:tcPr>
          <w:p>
            <w:pPr>
              <w:jc w:val="right"/>
              <w:ind w:right="251"/>
              <w:spacing w:after="0"/>
              <w:rPr>
                <w:sz w:val="20"/>
                <w:szCs w:val="20"/>
                <w:color w:val="auto"/>
              </w:rPr>
            </w:pPr>
            <w:r>
              <w:rPr>
                <w:rFonts w:ascii="Arial" w:cs="Arial" w:eastAsia="Arial" w:hAnsi="Arial"/>
                <w:sz w:val="14"/>
                <w:szCs w:val="14"/>
                <w:b w:val="1"/>
                <w:bCs w:val="1"/>
                <w:color w:val="auto"/>
              </w:rPr>
              <w:t>Fees</w:t>
            </w:r>
          </w:p>
        </w:tc>
        <w:tc>
          <w:tcPr>
            <w:tcW w:w="860" w:type="dxa"/>
            <w:vAlign w:val="bottom"/>
          </w:tcPr>
          <w:p>
            <w:pPr>
              <w:jc w:val="right"/>
              <w:ind w:right="131"/>
              <w:spacing w:after="0"/>
              <w:rPr>
                <w:sz w:val="20"/>
                <w:szCs w:val="20"/>
                <w:color w:val="auto"/>
              </w:rPr>
            </w:pPr>
            <w:r>
              <w:rPr>
                <w:rFonts w:ascii="Arial" w:cs="Arial" w:eastAsia="Arial" w:hAnsi="Arial"/>
                <w:sz w:val="14"/>
                <w:szCs w:val="14"/>
                <w:b w:val="1"/>
                <w:bCs w:val="1"/>
                <w:color w:val="auto"/>
              </w:rPr>
              <w:t>Payment</w:t>
            </w:r>
          </w:p>
        </w:tc>
        <w:tc>
          <w:tcPr>
            <w:tcW w:w="860" w:type="dxa"/>
            <w:vAlign w:val="bottom"/>
          </w:tcPr>
          <w:p>
            <w:pPr>
              <w:jc w:val="right"/>
              <w:ind w:right="171"/>
              <w:spacing w:after="0"/>
              <w:rPr>
                <w:sz w:val="20"/>
                <w:szCs w:val="20"/>
                <w:color w:val="auto"/>
              </w:rPr>
            </w:pPr>
            <w:r>
              <w:rPr>
                <w:rFonts w:ascii="Arial" w:cs="Arial" w:eastAsia="Arial" w:hAnsi="Arial"/>
                <w:sz w:val="14"/>
                <w:szCs w:val="14"/>
                <w:b w:val="1"/>
                <w:bCs w:val="1"/>
                <w:color w:val="auto"/>
              </w:rPr>
              <w:t>Capital</w:t>
            </w:r>
          </w:p>
        </w:tc>
        <w:tc>
          <w:tcPr>
            <w:tcW w:w="780" w:type="dxa"/>
            <w:vAlign w:val="bottom"/>
          </w:tcPr>
          <w:p>
            <w:pPr>
              <w:jc w:val="right"/>
              <w:ind w:right="111"/>
              <w:spacing w:after="0"/>
              <w:rPr>
                <w:sz w:val="20"/>
                <w:szCs w:val="20"/>
                <w:color w:val="auto"/>
              </w:rPr>
            </w:pPr>
            <w:r>
              <w:rPr>
                <w:rFonts w:ascii="Arial" w:cs="Arial" w:eastAsia="Arial" w:hAnsi="Arial"/>
                <w:sz w:val="14"/>
                <w:szCs w:val="14"/>
                <w:b w:val="1"/>
                <w:bCs w:val="1"/>
                <w:color w:val="auto"/>
              </w:rPr>
              <w:t>Interest</w:t>
            </w:r>
          </w:p>
        </w:tc>
        <w:tc>
          <w:tcPr>
            <w:tcW w:w="880" w:type="dxa"/>
            <w:vAlign w:val="bottom"/>
          </w:tcPr>
          <w:p>
            <w:pPr>
              <w:jc w:val="right"/>
              <w:ind w:right="51"/>
              <w:spacing w:after="0"/>
              <w:rPr>
                <w:sz w:val="20"/>
                <w:szCs w:val="20"/>
                <w:color w:val="auto"/>
              </w:rPr>
            </w:pPr>
            <w:r>
              <w:rPr>
                <w:rFonts w:ascii="Arial" w:cs="Arial" w:eastAsia="Arial" w:hAnsi="Arial"/>
                <w:sz w:val="14"/>
                <w:szCs w:val="14"/>
                <w:b w:val="1"/>
                <w:bCs w:val="1"/>
                <w:color w:val="auto"/>
              </w:rPr>
              <w:t>Drawdown</w:t>
            </w:r>
          </w:p>
        </w:tc>
      </w:tr>
      <w:tr>
        <w:trPr>
          <w:trHeight w:val="184"/>
        </w:trPr>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5"/>
              </w:rPr>
              <w:t>-20,000,000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Oct-2018</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w w:val="95"/>
              </w:rPr>
              <w:t>(20,455,000.00)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102,275.00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960,097.28</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(455,000.00)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8"/>
              </w:rPr>
              <w:t>Nov-2018</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8"/>
              </w:rPr>
              <w:t>Dec-2018</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Jan-2019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Feb-2019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Mar-2019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Apr-2019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6"/>
              </w:rPr>
              <w:t>May-2019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Jun-2019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Jul-2019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8"/>
              </w:rPr>
              <w:t>Aug-2019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8"/>
              </w:rPr>
              <w:t>Sep-2019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Oct-2019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8"/>
              </w:rPr>
              <w:t>Nov-2019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8"/>
              </w:rPr>
              <w:t>Dec-2019</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144,889.58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Jan-2020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1,432,069.72</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Feb-2020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1,297,323.96</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134,745.76</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Mar-2020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1,306,513.34</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125,556.38</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Apr-2020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1,315,767 81</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116,301.91</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6"/>
              </w:rPr>
              <w:t>May-2020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1,325,087.83</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6"/>
              </w:rPr>
              <w:t>106,981.89</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Jun-2020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1,334,473.87</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97,595.85</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Jul-2020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1,343,926.39</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88,143.32</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8"/>
              </w:rPr>
              <w:t>Aug-2020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1,353,445.87</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78,623.85</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8"/>
              </w:rPr>
              <w:t>Sep-2020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1,363,032.78</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69,036.94</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Oct-2020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1,372,687.50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59,382.12</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8"/>
              </w:rPr>
              <w:t>Nov-2020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1,382,410.80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49,658.92</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w w:val="98"/>
              </w:rPr>
              <w:t>Dec-2020</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1,392,202.88</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39,866.84</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Jan-2021</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1,402,064.31</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30,005.40</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42"/>
        </w:trPr>
        <w:tc>
          <w:tcPr>
            <w:tcW w:w="620" w:type="dxa"/>
            <w:vAlign w:val="bottom"/>
          </w:tcPr>
          <w:p>
            <w:pPr>
              <w:spacing w:after="0" w:line="143" w:lineRule="exact"/>
              <w:rPr>
                <w:sz w:val="20"/>
                <w:szCs w:val="20"/>
                <w:color w:val="auto"/>
              </w:rPr>
            </w:pPr>
            <w:r>
              <w:rPr>
                <w:rFonts w:ascii="Arial" w:cs="Arial" w:eastAsia="Arial" w:hAnsi="Arial"/>
                <w:sz w:val="14"/>
                <w:szCs w:val="14"/>
                <w:color w:val="auto"/>
              </w:rPr>
              <w:t>Feb-2021</w:t>
            </w:r>
          </w:p>
        </w:tc>
        <w:tc>
          <w:tcPr>
            <w:tcW w:w="102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3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1,411,995.60</w:t>
            </w:r>
          </w:p>
        </w:tc>
        <w:tc>
          <w:tcPr>
            <w:tcW w:w="7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20,074.12</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r>
      <w:tr>
        <w:trPr>
          <w:trHeight w:val="175"/>
        </w:trPr>
        <w:tc>
          <w:tcPr>
            <w:tcW w:w="620" w:type="dxa"/>
            <w:vAlign w:val="bottom"/>
          </w:tcPr>
          <w:p>
            <w:pPr>
              <w:spacing w:after="0"/>
              <w:rPr>
                <w:sz w:val="20"/>
                <w:szCs w:val="20"/>
                <w:color w:val="auto"/>
              </w:rPr>
            </w:pPr>
            <w:r>
              <w:rPr>
                <w:rFonts w:ascii="Arial" w:cs="Arial" w:eastAsia="Arial" w:hAnsi="Arial"/>
                <w:sz w:val="14"/>
                <w:szCs w:val="14"/>
                <w:color w:val="auto"/>
              </w:rPr>
              <w:t>Mar-2021</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w w:val="92"/>
              </w:rPr>
              <w:t>2,147,775.00</w:t>
            </w:r>
          </w:p>
        </w:tc>
        <w:tc>
          <w:tcPr>
            <w:tcW w:w="860" w:type="dxa"/>
            <w:vAlign w:val="bottom"/>
          </w:tcPr>
          <w:p>
            <w:pPr>
              <w:jc w:val="right"/>
              <w:spacing w:after="0"/>
              <w:rPr>
                <w:sz w:val="20"/>
                <w:szCs w:val="20"/>
                <w:color w:val="auto"/>
              </w:rPr>
            </w:pPr>
            <w:r>
              <w:rPr>
                <w:rFonts w:ascii="Arial" w:cs="Arial" w:eastAsia="Arial" w:hAnsi="Arial"/>
                <w:sz w:val="14"/>
                <w:szCs w:val="14"/>
                <w:color w:val="auto"/>
                <w:w w:val="98"/>
              </w:rPr>
              <w:t>(960,097.28)</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w w:val="92"/>
              </w:rPr>
              <w:t>1,421,997.24</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10,072.48</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-2844800</wp:posOffset>
            </wp:positionV>
            <wp:extent cx="7041515" cy="1231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041515" cy="123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-2631440</wp:posOffset>
            </wp:positionV>
            <wp:extent cx="7041515" cy="901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-2450465</wp:posOffset>
            </wp:positionV>
            <wp:extent cx="7041515" cy="901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-2269490</wp:posOffset>
            </wp:positionV>
            <wp:extent cx="7041515" cy="901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-2088515</wp:posOffset>
            </wp:positionV>
            <wp:extent cx="7041515" cy="901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-1907540</wp:posOffset>
            </wp:positionV>
            <wp:extent cx="7041515" cy="901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-1726565</wp:posOffset>
            </wp:positionV>
            <wp:extent cx="7041515" cy="901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-1546225</wp:posOffset>
            </wp:positionV>
            <wp:extent cx="7041515" cy="901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-1365250</wp:posOffset>
            </wp:positionV>
            <wp:extent cx="7041515" cy="901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-1184275</wp:posOffset>
            </wp:positionV>
            <wp:extent cx="7041515" cy="901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-1003300</wp:posOffset>
            </wp:positionV>
            <wp:extent cx="7041515" cy="901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041515" cy="901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-641350</wp:posOffset>
            </wp:positionV>
            <wp:extent cx="7041515" cy="901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041515" cy="901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041515" cy="901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7041515" cy="90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41515" cy="901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7041515" cy="90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right"/>
              <w:ind w:right="11"/>
              <w:spacing w:after="0"/>
              <w:rPr>
                <w:sz w:val="20"/>
                <w:szCs w:val="20"/>
                <w:color w:val="auto"/>
              </w:rPr>
            </w:pPr>
            <w:r>
              <w:rPr>
                <w:rFonts w:ascii="Arial" w:cs="Arial" w:eastAsia="Arial" w:hAnsi="Arial"/>
                <w:sz w:val="14"/>
                <w:szCs w:val="14"/>
                <w:b w:val="1"/>
                <w:bCs w:val="1"/>
                <w:color w:val="auto"/>
                <w:w w:val="90"/>
              </w:rPr>
              <w:t>Old final payment</w:t>
            </w:r>
          </w:p>
        </w:tc>
        <w:tc>
          <w:tcPr>
            <w:tcW w:w="880" w:type="dxa"/>
            <w:vAlign w:val="bottom"/>
          </w:tcPr>
          <w:p>
            <w:pPr>
              <w:spacing w:after="0"/>
              <w:rPr>
                <w:sz w:val="14"/>
                <w:szCs w:val="14"/>
                <w:color w:val="auto"/>
              </w:rPr>
            </w:pPr>
          </w:p>
        </w:tc>
        <w:tc>
          <w:tcPr>
            <w:tcW w:w="860" w:type="dxa"/>
            <w:vAlign w:val="bottom"/>
          </w:tcPr>
          <w:p>
            <w:pPr>
              <w:jc w:val="right"/>
              <w:ind w:right="151"/>
              <w:spacing w:after="0"/>
              <w:rPr>
                <w:sz w:val="20"/>
                <w:szCs w:val="20"/>
                <w:color w:val="auto"/>
              </w:rPr>
            </w:pPr>
            <w:r>
              <w:rPr>
                <w:rFonts w:ascii="Arial" w:cs="Arial" w:eastAsia="Arial" w:hAnsi="Arial"/>
                <w:sz w:val="14"/>
                <w:szCs w:val="14"/>
                <w:b w:val="1"/>
                <w:bCs w:val="1"/>
                <w:color w:val="auto"/>
              </w:rPr>
              <w:t>Advance</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1160" w:type="dxa"/>
            <w:vAlign w:val="bottom"/>
          </w:tcPr>
          <w:p>
            <w:pPr>
              <w:jc w:val="right"/>
              <w:ind w:right="451"/>
              <w:spacing w:after="0"/>
              <w:rPr>
                <w:sz w:val="20"/>
                <w:szCs w:val="20"/>
                <w:color w:val="auto"/>
              </w:rPr>
            </w:pPr>
            <w:r>
              <w:rPr>
                <w:rFonts w:ascii="Arial" w:cs="Arial" w:eastAsia="Arial" w:hAnsi="Arial"/>
                <w:sz w:val="14"/>
                <w:szCs w:val="14"/>
                <w:b w:val="1"/>
                <w:bCs w:val="1"/>
                <w:color w:val="auto"/>
              </w:rPr>
              <w:t>due</w:t>
            </w:r>
          </w:p>
        </w:tc>
        <w:tc>
          <w:tcPr>
            <w:tcW w:w="880" w:type="dxa"/>
            <w:vAlign w:val="bottom"/>
          </w:tcPr>
          <w:p>
            <w:pPr>
              <w:jc w:val="right"/>
              <w:ind w:right="271"/>
              <w:spacing w:after="0"/>
              <w:rPr>
                <w:sz w:val="20"/>
                <w:szCs w:val="20"/>
                <w:color w:val="auto"/>
              </w:rPr>
            </w:pPr>
            <w:r>
              <w:rPr>
                <w:rFonts w:ascii="Arial" w:cs="Arial" w:eastAsia="Arial" w:hAnsi="Arial"/>
                <w:sz w:val="14"/>
                <w:szCs w:val="14"/>
                <w:b w:val="1"/>
                <w:bCs w:val="1"/>
                <w:color w:val="auto"/>
              </w:rPr>
              <w:t>Fees</w:t>
            </w:r>
          </w:p>
        </w:tc>
        <w:tc>
          <w:tcPr>
            <w:tcW w:w="860" w:type="dxa"/>
            <w:vAlign w:val="bottom"/>
          </w:tcPr>
          <w:p>
            <w:pPr>
              <w:jc w:val="right"/>
              <w:ind w:right="151"/>
              <w:spacing w:after="0"/>
              <w:rPr>
                <w:sz w:val="20"/>
                <w:szCs w:val="20"/>
                <w:color w:val="auto"/>
              </w:rPr>
            </w:pPr>
            <w:r>
              <w:rPr>
                <w:rFonts w:ascii="Arial" w:cs="Arial" w:eastAsia="Arial" w:hAnsi="Arial"/>
                <w:sz w:val="14"/>
                <w:szCs w:val="14"/>
                <w:b w:val="1"/>
                <w:bCs w:val="1"/>
                <w:color w:val="auto"/>
              </w:rPr>
              <w:t>Payment</w:t>
            </w:r>
          </w:p>
        </w:tc>
        <w:tc>
          <w:tcPr>
            <w:tcW w:w="860" w:type="dxa"/>
            <w:vAlign w:val="bottom"/>
          </w:tcPr>
          <w:p>
            <w:pPr>
              <w:jc w:val="right"/>
              <w:ind w:right="171"/>
              <w:spacing w:after="0"/>
              <w:rPr>
                <w:sz w:val="20"/>
                <w:szCs w:val="20"/>
                <w:color w:val="auto"/>
              </w:rPr>
            </w:pPr>
            <w:r>
              <w:rPr>
                <w:rFonts w:ascii="Arial" w:cs="Arial" w:eastAsia="Arial" w:hAnsi="Arial"/>
                <w:sz w:val="14"/>
                <w:szCs w:val="14"/>
                <w:b w:val="1"/>
                <w:bCs w:val="1"/>
                <w:color w:val="auto"/>
              </w:rPr>
              <w:t>Capital</w:t>
            </w:r>
          </w:p>
        </w:tc>
        <w:tc>
          <w:tcPr>
            <w:tcW w:w="760" w:type="dxa"/>
            <w:vAlign w:val="bottom"/>
          </w:tcPr>
          <w:p>
            <w:pPr>
              <w:jc w:val="right"/>
              <w:ind w:right="91"/>
              <w:spacing w:after="0"/>
              <w:rPr>
                <w:sz w:val="20"/>
                <w:szCs w:val="20"/>
                <w:color w:val="auto"/>
              </w:rPr>
            </w:pPr>
            <w:r>
              <w:rPr>
                <w:rFonts w:ascii="Arial" w:cs="Arial" w:eastAsia="Arial" w:hAnsi="Arial"/>
                <w:sz w:val="14"/>
                <w:szCs w:val="14"/>
                <w:b w:val="1"/>
                <w:bCs w:val="1"/>
                <w:color w:val="auto"/>
              </w:rPr>
              <w:t>Interest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1"/>
              </w:rPr>
              <w:t>Net paym</w:t>
            </w:r>
          </w:p>
        </w:tc>
      </w:tr>
      <w:tr>
        <w:trPr>
          <w:trHeight w:val="184"/>
        </w:trPr>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jc w:val="right"/>
              <w:ind w:right="51"/>
              <w:spacing w:after="0"/>
              <w:rPr>
                <w:sz w:val="20"/>
                <w:szCs w:val="20"/>
                <w:color w:val="auto"/>
              </w:rPr>
            </w:pPr>
            <w:r>
              <w:rPr>
                <w:rFonts w:ascii="Arial" w:cs="Arial" w:eastAsia="Arial" w:hAnsi="Arial"/>
                <w:sz w:val="16"/>
                <w:szCs w:val="16"/>
                <w:color w:val="auto"/>
              </w:rPr>
              <w:t>741,403</w:t>
            </w: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42"/>
        </w:trPr>
        <w:tc>
          <w:tcPr>
            <w:tcW w:w="11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455,000.00</w:t>
            </w: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102,275.00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218,694.60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465,85</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144,889.58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144,88</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1,432,069.72</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0.00</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1,297,323.96</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134,745.76</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1,306,513.34</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125,556.38</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1,315,767.81</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116,301.91</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1,325,087.83</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w w:val="96"/>
              </w:rPr>
              <w:t>106,981.89</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1,334,473.87</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97,595.85</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1,343,926.39</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88,143.32</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1,353,445.87</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78,623.85</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1,363,032.78</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69,036.94</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1,372,687.60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59,382.12</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1,382,410.80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49,658.92</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1,392,202.88</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39,866.84</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1,402,064.31</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30,005.40</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42"/>
        </w:trPr>
        <w:tc>
          <w:tcPr>
            <w:tcW w:w="1160" w:type="dxa"/>
            <w:vAlign w:val="bottom"/>
          </w:tcPr>
          <w:p>
            <w:pPr>
              <w:spacing w:after="0"/>
              <w:rPr>
                <w:sz w:val="12"/>
                <w:szCs w:val="12"/>
                <w:color w:val="auto"/>
              </w:rPr>
            </w:pPr>
          </w:p>
        </w:tc>
        <w:tc>
          <w:tcPr>
            <w:tcW w:w="880" w:type="dxa"/>
            <w:vAlign w:val="bottom"/>
          </w:tcPr>
          <w:p>
            <w:pPr>
              <w:jc w:val="right"/>
              <w:ind w:right="1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51"/>
              <w:spacing w:after="0" w:line="143" w:lineRule="exact"/>
              <w:rPr>
                <w:sz w:val="20"/>
                <w:szCs w:val="20"/>
                <w:color w:val="auto"/>
              </w:rPr>
            </w:pPr>
            <w:r>
              <w:rPr>
                <w:rFonts w:ascii="Arial" w:cs="Arial" w:eastAsia="Arial" w:hAnsi="Arial"/>
                <w:sz w:val="14"/>
                <w:szCs w:val="14"/>
                <w:color w:val="auto"/>
              </w:rPr>
              <w:t>0.00</w:t>
            </w:r>
          </w:p>
        </w:tc>
        <w:tc>
          <w:tcPr>
            <w:tcW w:w="860" w:type="dxa"/>
            <w:vAlign w:val="bottom"/>
          </w:tcPr>
          <w:p>
            <w:pPr>
              <w:jc w:val="right"/>
              <w:ind w:right="11"/>
              <w:spacing w:after="0" w:line="143" w:lineRule="exact"/>
              <w:rPr>
                <w:sz w:val="20"/>
                <w:szCs w:val="20"/>
                <w:color w:val="auto"/>
              </w:rPr>
            </w:pPr>
            <w:r>
              <w:rPr>
                <w:rFonts w:ascii="Arial" w:cs="Arial" w:eastAsia="Arial" w:hAnsi="Arial"/>
                <w:sz w:val="14"/>
                <w:szCs w:val="14"/>
                <w:color w:val="auto"/>
                <w:w w:val="92"/>
              </w:rPr>
              <w:t>1,411,995.60</w:t>
            </w: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20,074.12</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1,432,06</w:t>
            </w:r>
          </w:p>
        </w:tc>
      </w:tr>
      <w:tr>
        <w:trPr>
          <w:trHeight w:val="175"/>
        </w:trPr>
        <w:tc>
          <w:tcPr>
            <w:tcW w:w="11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w w:val="95"/>
              </w:rPr>
              <w:t>2,147,775.00</w:t>
            </w:r>
          </w:p>
        </w:tc>
        <w:tc>
          <w:tcPr>
            <w:tcW w:w="860" w:type="dxa"/>
            <w:vAlign w:val="bottom"/>
          </w:tcPr>
          <w:p>
            <w:pPr>
              <w:jc w:val="right"/>
              <w:spacing w:after="0"/>
              <w:rPr>
                <w:sz w:val="20"/>
                <w:szCs w:val="20"/>
                <w:color w:val="auto"/>
              </w:rPr>
            </w:pPr>
            <w:r>
              <w:rPr>
                <w:rFonts w:ascii="Arial" w:cs="Arial" w:eastAsia="Arial" w:hAnsi="Arial"/>
                <w:sz w:val="14"/>
                <w:szCs w:val="14"/>
                <w:color w:val="auto"/>
                <w:w w:val="98"/>
              </w:rPr>
              <w:t>(960,097.28)</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w w:val="92"/>
              </w:rPr>
              <w:t>1,421,997.24</w:t>
            </w:r>
          </w:p>
        </w:tc>
        <w:tc>
          <w:tcPr>
            <w:tcW w:w="760" w:type="dxa"/>
            <w:vAlign w:val="bottom"/>
          </w:tcPr>
          <w:p>
            <w:pPr>
              <w:jc w:val="right"/>
              <w:spacing w:after="0"/>
              <w:rPr>
                <w:sz w:val="20"/>
                <w:szCs w:val="20"/>
                <w:color w:val="auto"/>
              </w:rPr>
            </w:pPr>
            <w:r>
              <w:rPr>
                <w:rFonts w:ascii="Arial" w:cs="Arial" w:eastAsia="Arial" w:hAnsi="Arial"/>
                <w:sz w:val="14"/>
                <w:szCs w:val="14"/>
                <w:color w:val="auto"/>
              </w:rPr>
              <w:t>10,072.48</w:t>
            </w:r>
          </w:p>
        </w:tc>
        <w:tc>
          <w:tcPr>
            <w:tcW w:w="600" w:type="dxa"/>
            <w:vAlign w:val="bottom"/>
          </w:tcPr>
          <w:p>
            <w:pPr>
              <w:jc w:val="right"/>
              <w:spacing w:after="0"/>
              <w:rPr>
                <w:sz w:val="20"/>
                <w:szCs w:val="20"/>
                <w:color w:val="auto"/>
              </w:rPr>
            </w:pPr>
            <w:r>
              <w:rPr>
                <w:rFonts w:ascii="Arial" w:cs="Arial" w:eastAsia="Arial" w:hAnsi="Arial"/>
                <w:sz w:val="14"/>
                <w:szCs w:val="14"/>
                <w:color w:val="auto"/>
              </w:rPr>
              <w:t>2,619,74</w:t>
            </w:r>
          </w:p>
        </w:tc>
      </w:tr>
    </w:tbl>
    <w:p>
      <w:pPr>
        <w:spacing w:after="0" w:line="116" w:lineRule="exact"/>
        <w:rPr>
          <w:sz w:val="20"/>
          <w:szCs w:val="20"/>
          <w:color w:val="auto"/>
        </w:rPr>
      </w:pPr>
    </w:p>
    <w:p>
      <w:pPr>
        <w:sectPr>
          <w:pgSz w:w="11900" w:h="16838" w:orient="portrait"/>
          <w:cols w:equalWidth="0" w:num="2">
            <w:col w:w="5880" w:space="80"/>
            <w:col w:w="5120"/>
          </w:cols>
          <w:pgMar w:left="680" w:top="264" w:right="139" w:bottom="1440" w:gutter="0" w:footer="0" w:header="0"/>
          <w:type w:val="continuous"/>
        </w:sectPr>
      </w:pPr>
    </w:p>
    <w:p>
      <w:pPr>
        <w:jc w:val="center"/>
        <w:ind w:right="54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080"/>
          </w:cols>
          <w:pgMar w:left="680" w:top="264" w:right="139" w:bottom="1440" w:gutter="0" w:footer="0" w:header="0"/>
          <w:type w:val="continuous"/>
        </w:sectPr>
      </w:pPr>
    </w:p>
    <w:bookmarkStart w:id="264" w:name="page265"/>
    <w:bookmarkEnd w:id="26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4"/>
          </w:tcPr>
          <w:p>
            <w:pPr>
              <w:jc w:val="right"/>
              <w:ind w:right="8"/>
              <w:spacing w:after="0"/>
              <w:rPr>
                <w:sz w:val="20"/>
                <w:szCs w:val="20"/>
                <w:color w:val="auto"/>
              </w:rPr>
            </w:pPr>
            <w:r>
              <w:rPr>
                <w:rFonts w:ascii="Arial" w:cs="Arial" w:eastAsia="Arial" w:hAnsi="Arial"/>
                <w:sz w:val="17"/>
                <w:szCs w:val="17"/>
                <w:b w:val="1"/>
                <w:bCs w:val="1"/>
                <w:color w:val="auto"/>
              </w:rPr>
              <w:t>SCHEDULE 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6"/>
          </w:tcPr>
          <w:p>
            <w:pPr>
              <w:jc w:val="right"/>
              <w:ind w:right="320"/>
              <w:spacing w:after="0"/>
              <w:rPr>
                <w:sz w:val="20"/>
                <w:szCs w:val="20"/>
                <w:color w:val="auto"/>
              </w:rPr>
            </w:pPr>
            <w:r>
              <w:rPr>
                <w:rFonts w:ascii="Arial" w:cs="Arial" w:eastAsia="Arial" w:hAnsi="Arial"/>
                <w:sz w:val="17"/>
                <w:szCs w:val="17"/>
                <w:b w:val="1"/>
                <w:bCs w:val="1"/>
                <w:color w:val="auto"/>
              </w:rPr>
              <w:t>NET CASH CALCULATION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460" w:type="dxa"/>
            <w:vAlign w:val="bottom"/>
            <w:gridSpan w:val="5"/>
          </w:tcPr>
          <w:p>
            <w:pPr>
              <w:spacing w:after="0"/>
              <w:rPr>
                <w:sz w:val="20"/>
                <w:szCs w:val="20"/>
                <w:color w:val="auto"/>
              </w:rPr>
            </w:pPr>
            <w:r>
              <w:rPr>
                <w:rFonts w:ascii="Arial" w:cs="Arial" w:eastAsia="Arial" w:hAnsi="Arial"/>
                <w:sz w:val="17"/>
                <w:szCs w:val="17"/>
                <w:b w:val="1"/>
                <w:bCs w:val="1"/>
                <w:color w:val="auto"/>
              </w:rPr>
              <w:t>NET CASH SCHEDULE EXAMPLE</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Feb-19</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Unaudited Balance Sheet</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Feb-19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67"/>
              <w:spacing w:after="0" w:line="123" w:lineRule="exact"/>
              <w:rPr>
                <w:sz w:val="20"/>
                <w:szCs w:val="20"/>
                <w:color w:val="auto"/>
              </w:rPr>
            </w:pPr>
            <w:r>
              <w:rPr>
                <w:rFonts w:ascii="Arial" w:cs="Arial" w:eastAsia="Arial" w:hAnsi="Arial"/>
                <w:sz w:val="14"/>
                <w:szCs w:val="14"/>
                <w:b w:val="1"/>
                <w:bCs w:val="1"/>
                <w:color w:val="auto"/>
                <w:w w:val="98"/>
              </w:rPr>
              <w:t>Balance Sheet</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2"/>
              <w:spacing w:after="0" w:line="123" w:lineRule="exact"/>
              <w:rPr>
                <w:sz w:val="20"/>
                <w:szCs w:val="20"/>
                <w:color w:val="auto"/>
              </w:rPr>
            </w:pPr>
            <w:r>
              <w:rPr>
                <w:rFonts w:ascii="Arial" w:cs="Arial" w:eastAsia="Arial" w:hAnsi="Arial"/>
                <w:sz w:val="14"/>
                <w:szCs w:val="14"/>
                <w:b w:val="1"/>
                <w:bCs w:val="1"/>
                <w:color w:val="auto"/>
                <w:w w:val="92"/>
              </w:rPr>
              <w:t>Net Cash</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Assets</w:t>
            </w:r>
          </w:p>
        </w:tc>
        <w:tc>
          <w:tcPr>
            <w:tcW w:w="66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40" w:type="dxa"/>
            <w:vAlign w:val="bottom"/>
            <w:gridSpan w:val="4"/>
          </w:tcPr>
          <w:p>
            <w:pPr>
              <w:ind w:left="240"/>
              <w:spacing w:after="0" w:line="124" w:lineRule="exact"/>
              <w:rPr>
                <w:sz w:val="20"/>
                <w:szCs w:val="20"/>
                <w:color w:val="auto"/>
              </w:rPr>
            </w:pPr>
            <w:r>
              <w:rPr>
                <w:rFonts w:ascii="Arial" w:cs="Arial" w:eastAsia="Arial" w:hAnsi="Arial"/>
                <w:sz w:val="14"/>
                <w:szCs w:val="14"/>
                <w:color w:val="auto"/>
              </w:rPr>
              <w:t>Cash and cash equivalents</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4"/>
          </w:tcPr>
          <w:p>
            <w:pPr>
              <w:ind w:left="240"/>
              <w:spacing w:after="0"/>
              <w:rPr>
                <w:sz w:val="20"/>
                <w:szCs w:val="20"/>
                <w:color w:val="auto"/>
              </w:rPr>
            </w:pPr>
            <w:r>
              <w:rPr>
                <w:rFonts w:ascii="Arial" w:cs="Arial" w:eastAsia="Arial" w:hAnsi="Arial"/>
                <w:sz w:val="14"/>
                <w:szCs w:val="14"/>
                <w:color w:val="auto"/>
              </w:rPr>
              <w:t>Marketable securities</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20" w:type="dxa"/>
            <w:vAlign w:val="bottom"/>
            <w:gridSpan w:val="2"/>
          </w:tcPr>
          <w:p>
            <w:pPr>
              <w:spacing w:after="0"/>
              <w:rPr>
                <w:sz w:val="12"/>
                <w:szCs w:val="12"/>
                <w:color w:val="auto"/>
              </w:rPr>
            </w:pPr>
          </w:p>
        </w:tc>
        <w:tc>
          <w:tcPr>
            <w:tcW w:w="182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gridSpan w:val="4"/>
            <w:shd w:val="clear" w:color="auto" w:fill="CCEEFF"/>
          </w:tcPr>
          <w:p>
            <w:pPr>
              <w:spacing w:after="0" w:line="120" w:lineRule="exact"/>
              <w:rPr>
                <w:sz w:val="20"/>
                <w:szCs w:val="20"/>
                <w:color w:val="auto"/>
              </w:rPr>
            </w:pPr>
            <w:r>
              <w:rPr>
                <w:rFonts w:ascii="Arial" w:cs="Arial" w:eastAsia="Arial" w:hAnsi="Arial"/>
                <w:sz w:val="13"/>
                <w:szCs w:val="13"/>
                <w:b w:val="1"/>
                <w:bCs w:val="1"/>
                <w:color w:val="auto"/>
              </w:rPr>
              <w:t>TOTAL Cash, cash equivalents and short term</w:t>
            </w:r>
          </w:p>
        </w:tc>
        <w:tc>
          <w:tcPr>
            <w:tcW w:w="38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57"/>
              <w:spacing w:after="0" w:line="120" w:lineRule="exact"/>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3"/>
                <w:szCs w:val="13"/>
                <w:color w:val="auto"/>
              </w:rPr>
              <w:t>54.1</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3"/>
                <w:szCs w:val="13"/>
                <w:color w:val="auto"/>
              </w:rPr>
              <w:t>54.1</w:t>
            </w:r>
          </w:p>
        </w:tc>
        <w:tc>
          <w:tcPr>
            <w:tcW w:w="1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40" w:type="dxa"/>
            <w:vAlign w:val="bottom"/>
            <w:gridSpan w:val="4"/>
            <w:shd w:val="clear" w:color="auto" w:fill="CCEEFF"/>
          </w:tcPr>
          <w:p>
            <w:pPr>
              <w:ind w:left="100"/>
              <w:spacing w:after="0"/>
              <w:rPr>
                <w:sz w:val="20"/>
                <w:szCs w:val="20"/>
                <w:color w:val="auto"/>
              </w:rPr>
            </w:pPr>
            <w:r>
              <w:rPr>
                <w:rFonts w:ascii="Arial" w:cs="Arial" w:eastAsia="Arial" w:hAnsi="Arial"/>
                <w:sz w:val="14"/>
                <w:szCs w:val="14"/>
                <w:b w:val="1"/>
                <w:bCs w:val="1"/>
                <w:color w:val="auto"/>
              </w:rPr>
              <w:t>investments</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440" w:type="dxa"/>
            <w:vAlign w:val="bottom"/>
            <w:gridSpan w:val="4"/>
          </w:tcPr>
          <w:p>
            <w:pPr>
              <w:ind w:left="240"/>
              <w:spacing w:after="0"/>
              <w:rPr>
                <w:sz w:val="20"/>
                <w:szCs w:val="20"/>
                <w:color w:val="auto"/>
              </w:rPr>
            </w:pPr>
            <w:r>
              <w:rPr>
                <w:rFonts w:ascii="Arial" w:cs="Arial" w:eastAsia="Arial" w:hAnsi="Arial"/>
                <w:sz w:val="14"/>
                <w:szCs w:val="14"/>
                <w:color w:val="auto"/>
              </w:rPr>
              <w:t>Accounts receivable</w:t>
            </w: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0.9</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rPr>
              <w:t>All current prepaid assets</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40" w:type="dxa"/>
            <w:vAlign w:val="bottom"/>
            <w:gridSpan w:val="4"/>
            <w:shd w:val="clear" w:color="auto" w:fill="CCEEFF"/>
          </w:tcPr>
          <w:p>
            <w:pPr>
              <w:ind w:left="240"/>
              <w:spacing w:after="0" w:line="152"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Prepaid expenses and deposits)</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1"/>
        </w:trPr>
        <w:tc>
          <w:tcPr>
            <w:tcW w:w="20" w:type="dxa"/>
            <w:vAlign w:val="bottom"/>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30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drawing>
          <wp:anchor simplePos="0" relativeHeight="251657728" behindDoc="1" locked="0" layoutInCell="0" allowOverlap="1">
            <wp:simplePos x="0" y="0"/>
            <wp:positionH relativeFrom="column">
              <wp:posOffset>4196080</wp:posOffset>
            </wp:positionH>
            <wp:positionV relativeFrom="paragraph">
              <wp:posOffset>-1997710</wp:posOffset>
            </wp:positionV>
            <wp:extent cx="66040" cy="67506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66040" cy="675068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-1997710</wp:posOffset>
            </wp:positionV>
            <wp:extent cx="254635" cy="67506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254635" cy="675068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Other assets</w:t>
            </w:r>
          </w:p>
        </w:tc>
        <w:tc>
          <w:tcPr>
            <w:tcW w:w="6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0.7</w:t>
            </w:r>
          </w:p>
        </w:tc>
      </w:tr>
      <w:tr>
        <w:trPr>
          <w:trHeight w:val="158"/>
        </w:trPr>
        <w:tc>
          <w:tcPr>
            <w:tcW w:w="20" w:type="dxa"/>
            <w:vAlign w:val="bottom"/>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76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4"/>
                <w:szCs w:val="14"/>
                <w:b w:val="1"/>
                <w:bCs w:val="1"/>
                <w:color w:val="auto"/>
                <w:w w:val="87"/>
              </w:rPr>
              <w:t>(Income tax receivable and long term deposits)</w:t>
            </w:r>
          </w:p>
        </w:tc>
        <w:tc>
          <w:tcPr>
            <w:tcW w:w="8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3820" w:type="dxa"/>
            <w:vAlign w:val="bottom"/>
            <w:gridSpan w:val="3"/>
          </w:tcPr>
          <w:p>
            <w:pPr>
              <w:ind w:left="240"/>
              <w:spacing w:after="0"/>
              <w:rPr>
                <w:sz w:val="20"/>
                <w:szCs w:val="20"/>
                <w:color w:val="auto"/>
              </w:rPr>
            </w:pPr>
            <w:r>
              <w:rPr>
                <w:rFonts w:ascii="Arial" w:cs="Arial" w:eastAsia="Arial" w:hAnsi="Arial"/>
                <w:sz w:val="14"/>
                <w:szCs w:val="14"/>
                <w:color w:val="auto"/>
              </w:rPr>
              <w:t>Fixed Assets (NET BOOK VALUE)</w:t>
            </w:r>
          </w:p>
        </w:tc>
        <w:tc>
          <w:tcPr>
            <w:tcW w:w="66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EXCLUDED</w:t>
            </w:r>
          </w:p>
        </w:tc>
      </w:tr>
      <w:tr>
        <w:trPr>
          <w:trHeight w:val="116"/>
        </w:trPr>
        <w:tc>
          <w:tcPr>
            <w:tcW w:w="260" w:type="dxa"/>
            <w:vAlign w:val="bottom"/>
            <w:gridSpan w:val="2"/>
          </w:tcPr>
          <w:p>
            <w:pPr>
              <w:spacing w:after="0"/>
              <w:rPr>
                <w:sz w:val="10"/>
                <w:szCs w:val="10"/>
                <w:color w:val="auto"/>
              </w:rPr>
            </w:pPr>
          </w:p>
        </w:tc>
        <w:tc>
          <w:tcPr>
            <w:tcW w:w="2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382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receivables, prepaid and other assets</w:t>
            </w:r>
          </w:p>
        </w:tc>
        <w:tc>
          <w:tcPr>
            <w:tcW w:w="660" w:type="dxa"/>
            <w:vAlign w:val="bottom"/>
            <w:shd w:val="clear" w:color="auto" w:fill="CCEEFF"/>
          </w:tcPr>
          <w:p>
            <w:pPr>
              <w:jc w:val="right"/>
              <w:ind w:right="511"/>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4.0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82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Total assets</w:t>
            </w:r>
          </w:p>
        </w:tc>
        <w:tc>
          <w:tcPr>
            <w:tcW w:w="660" w:type="dxa"/>
            <w:vAlign w:val="bottom"/>
            <w:tcBorders>
              <w:top w:val="single" w:sz="8" w:color="auto"/>
              <w:bottom w:val="single" w:sz="8" w:color="auto"/>
            </w:tcBorders>
          </w:tcPr>
          <w:p>
            <w:pPr>
              <w:jc w:val="right"/>
              <w:ind w:right="511"/>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2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6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06"/>
        </w:trPr>
        <w:tc>
          <w:tcPr>
            <w:tcW w:w="20" w:type="dxa"/>
            <w:vAlign w:val="bottom"/>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7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60" w:type="dxa"/>
            <w:vAlign w:val="bottom"/>
            <w:gridSpan w:val="2"/>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spacing w:after="0"/>
              <w:rPr>
                <w:sz w:val="9"/>
                <w:szCs w:val="9"/>
                <w:color w:val="auto"/>
              </w:rPr>
            </w:pPr>
          </w:p>
        </w:tc>
      </w:tr>
      <w:tr>
        <w:trPr>
          <w:trHeight w:val="175"/>
        </w:trPr>
        <w:tc>
          <w:tcPr>
            <w:tcW w:w="20" w:type="dxa"/>
            <w:vAlign w:val="bottom"/>
          </w:tcPr>
          <w:p>
            <w:pPr>
              <w:spacing w:after="0"/>
              <w:rPr>
                <w:sz w:val="15"/>
                <w:szCs w:val="15"/>
                <w:color w:val="auto"/>
              </w:rPr>
            </w:pPr>
          </w:p>
        </w:tc>
        <w:tc>
          <w:tcPr>
            <w:tcW w:w="3820" w:type="dxa"/>
            <w:vAlign w:val="bottom"/>
            <w:gridSpan w:val="3"/>
          </w:tcPr>
          <w:p>
            <w:pPr>
              <w:ind w:left="240"/>
              <w:spacing w:after="0"/>
              <w:rPr>
                <w:sz w:val="20"/>
                <w:szCs w:val="20"/>
                <w:color w:val="auto"/>
              </w:rPr>
            </w:pPr>
            <w:r>
              <w:rPr>
                <w:rFonts w:ascii="Arial" w:cs="Arial" w:eastAsia="Arial" w:hAnsi="Arial"/>
                <w:sz w:val="14"/>
                <w:szCs w:val="14"/>
                <w:color w:val="auto"/>
              </w:rPr>
              <w:t>Accounts Payable</w:t>
            </w:r>
          </w:p>
        </w:tc>
        <w:tc>
          <w:tcPr>
            <w:tcW w:w="66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r>
      <w:tr>
        <w:trPr>
          <w:trHeight w:val="40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820" w:type="dxa"/>
            <w:vAlign w:val="bottom"/>
            <w:gridSpan w:val="3"/>
            <w:shd w:val="clear" w:color="auto" w:fill="CCEEFF"/>
          </w:tcPr>
          <w:p>
            <w:pPr>
              <w:ind w:left="240"/>
              <w:spacing w:after="0" w:line="143" w:lineRule="exact"/>
              <w:rPr>
                <w:sz w:val="20"/>
                <w:szCs w:val="20"/>
                <w:color w:val="auto"/>
              </w:rPr>
            </w:pPr>
            <w:r>
              <w:rPr>
                <w:rFonts w:ascii="Arial" w:cs="Arial" w:eastAsia="Arial" w:hAnsi="Arial"/>
                <w:sz w:val="14"/>
                <w:szCs w:val="14"/>
                <w:color w:val="auto"/>
              </w:rPr>
              <w:t>Accrued Clinical Liabilities</w:t>
            </w:r>
          </w:p>
        </w:tc>
        <w:tc>
          <w:tcPr>
            <w:tcW w:w="6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(2.3)</w:t>
            </w:r>
          </w:p>
        </w:tc>
      </w:tr>
      <w:tr>
        <w:trPr>
          <w:trHeight w:val="175"/>
        </w:trPr>
        <w:tc>
          <w:tcPr>
            <w:tcW w:w="20" w:type="dxa"/>
            <w:vAlign w:val="bottom"/>
          </w:tcPr>
          <w:p>
            <w:pPr>
              <w:spacing w:after="0"/>
              <w:rPr>
                <w:sz w:val="15"/>
                <w:szCs w:val="15"/>
                <w:color w:val="auto"/>
              </w:rPr>
            </w:pPr>
          </w:p>
        </w:tc>
        <w:tc>
          <w:tcPr>
            <w:tcW w:w="3820" w:type="dxa"/>
            <w:vAlign w:val="bottom"/>
            <w:gridSpan w:val="3"/>
          </w:tcPr>
          <w:p>
            <w:pPr>
              <w:ind w:left="240"/>
              <w:spacing w:after="0"/>
              <w:rPr>
                <w:sz w:val="20"/>
                <w:szCs w:val="20"/>
                <w:color w:val="auto"/>
              </w:rPr>
            </w:pPr>
            <w:r>
              <w:rPr>
                <w:rFonts w:ascii="Arial" w:cs="Arial" w:eastAsia="Arial" w:hAnsi="Arial"/>
                <w:sz w:val="14"/>
                <w:szCs w:val="14"/>
                <w:color w:val="auto"/>
              </w:rPr>
              <w:t>Accrued Liabilities</w:t>
            </w:r>
          </w:p>
        </w:tc>
        <w:tc>
          <w:tcPr>
            <w:tcW w:w="66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REDUCED by accrued VACATION for retained</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1"/>
        </w:trPr>
        <w:tc>
          <w:tcPr>
            <w:tcW w:w="34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employees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60" w:type="dxa"/>
            <w:vAlign w:val="bottom"/>
          </w:tcPr>
          <w:p>
            <w:pPr>
              <w:ind w:left="260"/>
              <w:spacing w:after="0" w:line="143" w:lineRule="exact"/>
              <w:rPr>
                <w:sz w:val="20"/>
                <w:szCs w:val="20"/>
                <w:color w:val="auto"/>
              </w:rPr>
            </w:pPr>
            <w:r>
              <w:rPr>
                <w:rFonts w:ascii="Arial" w:cs="Arial" w:eastAsia="Arial" w:hAnsi="Arial"/>
                <w:sz w:val="14"/>
                <w:szCs w:val="14"/>
                <w:color w:val="auto"/>
              </w:rPr>
              <w:t>Deferred revenue (short term and long term)</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0.3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Deferred rent (short term and long term)</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4.4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w w:val="94"/>
              </w:rPr>
              <w:t>EXCLUDED</w:t>
            </w:r>
          </w:p>
        </w:tc>
        <w:tc>
          <w:tcPr>
            <w:tcW w:w="0" w:type="dxa"/>
            <w:vAlign w:val="bottom"/>
          </w:tcPr>
          <w:p>
            <w:pPr>
              <w:spacing w:after="0"/>
              <w:rPr>
                <w:sz w:val="1"/>
                <w:szCs w:val="1"/>
                <w:color w:val="auto"/>
              </w:rPr>
            </w:pPr>
          </w:p>
        </w:tc>
      </w:tr>
      <w:tr>
        <w:trPr>
          <w:trHeight w:val="175"/>
        </w:trPr>
        <w:tc>
          <w:tcPr>
            <w:tcW w:w="3460" w:type="dxa"/>
            <w:vAlign w:val="bottom"/>
          </w:tcPr>
          <w:p>
            <w:pPr>
              <w:ind w:left="260"/>
              <w:spacing w:after="0"/>
              <w:rPr>
                <w:sz w:val="20"/>
                <w:szCs w:val="20"/>
                <w:color w:val="auto"/>
              </w:rPr>
            </w:pPr>
            <w:r>
              <w:rPr>
                <w:rFonts w:ascii="Arial" w:cs="Arial" w:eastAsia="Arial" w:hAnsi="Arial"/>
                <w:sz w:val="14"/>
                <w:szCs w:val="14"/>
                <w:color w:val="auto"/>
              </w:rPr>
              <w:t>Accrued Transaction Fees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0.4</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10"/>
        </w:trPr>
        <w:tc>
          <w:tcPr>
            <w:tcW w:w="3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Accrued Severance liabilities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0.7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3460" w:type="dxa"/>
            <w:vAlign w:val="bottom"/>
          </w:tcPr>
          <w:p>
            <w:pPr>
              <w:ind w:left="260"/>
              <w:spacing w:after="0" w:line="143" w:lineRule="exact"/>
              <w:rPr>
                <w:sz w:val="20"/>
                <w:szCs w:val="20"/>
                <w:color w:val="auto"/>
              </w:rPr>
            </w:pPr>
            <w:r>
              <w:rPr>
                <w:rFonts w:ascii="Arial" w:cs="Arial" w:eastAsia="Arial" w:hAnsi="Arial"/>
                <w:sz w:val="14"/>
                <w:szCs w:val="14"/>
                <w:color w:val="auto"/>
              </w:rPr>
              <w:t>Accrued Tenant liabilities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0.4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Unpaid D&amp;O Tail Insurance</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TOTAL LIABILITIES</w:t>
            </w:r>
          </w:p>
        </w:tc>
        <w:tc>
          <w:tcPr>
            <w:tcW w:w="38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10.7</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Stockholders’ equity (deficit)</w:t>
            </w:r>
          </w:p>
        </w:tc>
        <w:tc>
          <w:tcPr>
            <w:tcW w:w="4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47.4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w w:val="94"/>
              </w:rPr>
              <w:t>EXCLUDED</w:t>
            </w: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stockholders’ equity (deficit)</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58.1</w:t>
            </w: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46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NET CASH BALANCE</w:t>
            </w:r>
          </w:p>
        </w:tc>
        <w:tc>
          <w:tcPr>
            <w:tcW w:w="3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b w:val="1"/>
                <w:bCs w:val="1"/>
                <w:color w:val="auto"/>
                <w:w w:val="97"/>
              </w:rPr>
              <w:t>NET CASH BALANCE</w:t>
            </w: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Potential upsides</w:t>
            </w: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4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540"/>
              <w:spacing w:after="0" w:line="143" w:lineRule="exact"/>
              <w:rPr>
                <w:sz w:val="20"/>
                <w:szCs w:val="20"/>
                <w:color w:val="auto"/>
              </w:rPr>
            </w:pPr>
            <w:r>
              <w:rPr>
                <w:rFonts w:ascii="Arial" w:cs="Arial" w:eastAsia="Arial" w:hAnsi="Arial"/>
                <w:sz w:val="14"/>
                <w:szCs w:val="14"/>
                <w:color w:val="auto"/>
              </w:rPr>
              <w:t>Equipment, tumor bank and assets sale</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460" w:type="dxa"/>
            <w:vAlign w:val="bottom"/>
          </w:tcPr>
          <w:p>
            <w:pPr>
              <w:ind w:left="540"/>
              <w:spacing w:after="0" w:line="143" w:lineRule="exact"/>
              <w:rPr>
                <w:sz w:val="20"/>
                <w:szCs w:val="20"/>
                <w:color w:val="auto"/>
              </w:rPr>
            </w:pPr>
            <w:r>
              <w:rPr>
                <w:rFonts w:ascii="Arial" w:cs="Arial" w:eastAsia="Arial" w:hAnsi="Arial"/>
                <w:sz w:val="14"/>
                <w:szCs w:val="14"/>
                <w:color w:val="auto"/>
              </w:rPr>
              <w:t>Tumor Bank Sale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540"/>
              <w:spacing w:after="0" w:line="143" w:lineRule="exact"/>
              <w:rPr>
                <w:sz w:val="20"/>
                <w:szCs w:val="20"/>
                <w:color w:val="auto"/>
              </w:rPr>
            </w:pPr>
            <w:r>
              <w:rPr>
                <w:rFonts w:ascii="Arial" w:cs="Arial" w:eastAsia="Arial" w:hAnsi="Arial"/>
                <w:sz w:val="14"/>
                <w:szCs w:val="14"/>
                <w:color w:val="auto"/>
              </w:rPr>
              <w:t>GOG Credit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8"/>
        </w:trPr>
        <w:tc>
          <w:tcPr>
            <w:tcW w:w="3460" w:type="dxa"/>
            <w:vAlign w:val="bottom"/>
          </w:tcPr>
          <w:p>
            <w:pPr>
              <w:ind w:left="820"/>
              <w:spacing w:after="0" w:line="149" w:lineRule="exact"/>
              <w:rPr>
                <w:sz w:val="20"/>
                <w:szCs w:val="20"/>
                <w:color w:val="auto"/>
              </w:rPr>
            </w:pPr>
            <w:r>
              <w:rPr>
                <w:rFonts w:ascii="Arial" w:cs="Arial" w:eastAsia="Arial" w:hAnsi="Arial"/>
                <w:sz w:val="14"/>
                <w:szCs w:val="14"/>
                <w:b w:val="1"/>
                <w:bCs w:val="1"/>
                <w:color w:val="auto"/>
              </w:rPr>
              <w:t>Total Credits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b w:val="1"/>
                <w:bCs w:val="1"/>
                <w:color w:val="auto"/>
              </w:rPr>
              <w:t>Projected additional cash burn Q1 2019 OpEx</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ind w:left="540"/>
              <w:spacing w:after="0" w:line="143" w:lineRule="exact"/>
              <w:rPr>
                <w:sz w:val="20"/>
                <w:szCs w:val="20"/>
                <w:color w:val="auto"/>
              </w:rPr>
            </w:pPr>
            <w:r>
              <w:rPr>
                <w:rFonts w:ascii="Arial" w:cs="Arial" w:eastAsia="Arial" w:hAnsi="Arial"/>
                <w:sz w:val="14"/>
                <w:szCs w:val="14"/>
                <w:color w:val="auto"/>
              </w:rPr>
              <w:t>additional OpEx in March</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540"/>
              <w:spacing w:after="0" w:line="143" w:lineRule="exact"/>
              <w:rPr>
                <w:sz w:val="20"/>
                <w:szCs w:val="20"/>
                <w:color w:val="auto"/>
              </w:rPr>
            </w:pPr>
            <w:r>
              <w:rPr>
                <w:rFonts w:ascii="Arial" w:cs="Arial" w:eastAsia="Arial" w:hAnsi="Arial"/>
                <w:sz w:val="14"/>
                <w:szCs w:val="14"/>
                <w:color w:val="auto"/>
              </w:rPr>
              <w:t>additional OpEx in April up to closing</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3460" w:type="dxa"/>
            <w:vAlign w:val="bottom"/>
          </w:tcPr>
          <w:p>
            <w:pPr>
              <w:ind w:left="540"/>
              <w:spacing w:after="0" w:line="143" w:lineRule="exact"/>
              <w:rPr>
                <w:sz w:val="20"/>
                <w:szCs w:val="20"/>
                <w:color w:val="auto"/>
              </w:rPr>
            </w:pPr>
            <w:r>
              <w:rPr>
                <w:rFonts w:ascii="Arial" w:cs="Arial" w:eastAsia="Arial" w:hAnsi="Arial"/>
                <w:sz w:val="14"/>
                <w:szCs w:val="14"/>
                <w:color w:val="auto"/>
              </w:rPr>
              <w:t>additional projected transaction fees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ind w:left="540"/>
              <w:spacing w:after="0" w:line="143" w:lineRule="exact"/>
              <w:rPr>
                <w:sz w:val="20"/>
                <w:szCs w:val="20"/>
                <w:color w:val="auto"/>
              </w:rPr>
            </w:pPr>
            <w:r>
              <w:rPr>
                <w:rFonts w:ascii="Arial" w:cs="Arial" w:eastAsia="Arial" w:hAnsi="Arial"/>
                <w:sz w:val="14"/>
                <w:szCs w:val="14"/>
                <w:color w:val="auto"/>
              </w:rPr>
              <w:t>additional severance liability</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Total additional costs</w:t>
            </w: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4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ADJUSTED NET CASH BALANCE</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b w:val="1"/>
                <w:bCs w:val="1"/>
                <w:color w:val="auto"/>
              </w:rPr>
              <w:t>37.8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1951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2195195"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cash and money market fund</w:t>
      </w:r>
    </w:p>
    <w:p>
      <w:pPr>
        <w:ind w:right="200"/>
        <w:spacing w:after="0" w:line="227" w:lineRule="auto"/>
        <w:rPr>
          <w:sz w:val="20"/>
          <w:szCs w:val="20"/>
          <w:color w:val="auto"/>
        </w:rPr>
      </w:pPr>
      <w:r>
        <w:rPr>
          <w:rFonts w:ascii="Arial" w:cs="Arial" w:eastAsia="Arial" w:hAnsi="Arial"/>
          <w:sz w:val="14"/>
          <w:szCs w:val="14"/>
          <w:color w:val="auto"/>
        </w:rPr>
        <w:t>all other short term investments, including accrued interest income</w:t>
      </w:r>
    </w:p>
    <w:p>
      <w:pPr>
        <w:spacing w:after="0" w:line="150" w:lineRule="exact"/>
        <w:rPr>
          <w:sz w:val="20"/>
          <w:szCs w:val="20"/>
          <w:color w:val="auto"/>
        </w:rPr>
      </w:pPr>
    </w:p>
    <w:p>
      <w:pPr>
        <w:spacing w:after="0" w:line="348" w:lineRule="auto"/>
        <w:rPr>
          <w:sz w:val="20"/>
          <w:szCs w:val="20"/>
          <w:color w:val="auto"/>
        </w:rPr>
      </w:pPr>
      <w:r>
        <w:rPr>
          <w:rFonts w:ascii="Arial" w:cs="Arial" w:eastAsia="Arial" w:hAnsi="Arial"/>
          <w:sz w:val="12"/>
          <w:szCs w:val="12"/>
          <w:color w:val="auto"/>
        </w:rPr>
        <w:t xml:space="preserve">cash and money market fund and other short term investments </w:t>
      </w:r>
      <w:r>
        <w:rPr>
          <w:rFonts w:ascii="Arial" w:cs="Arial" w:eastAsia="Arial" w:hAnsi="Arial"/>
          <w:sz w:val="12"/>
          <w:szCs w:val="12"/>
          <w:b w:val="1"/>
          <w:bCs w:val="1"/>
          <w:u w:val="single" w:color="auto"/>
          <w:color w:val="auto"/>
        </w:rPr>
        <w:t>Accounts receivables</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but not limited to</w:t>
      </w:r>
    </w:p>
    <w:p>
      <w:pPr>
        <w:ind w:left="200" w:hanging="200"/>
        <w:spacing w:after="0" w:line="212" w:lineRule="auto"/>
        <w:tabs>
          <w:tab w:leader="none" w:pos="20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$0.3M landlord approved TIA reimbursement</w:t>
      </w:r>
    </w:p>
    <w:p>
      <w:pPr>
        <w:ind w:right="100"/>
        <w:spacing w:after="0" w:line="250" w:lineRule="auto"/>
        <w:tabs>
          <w:tab w:leader="none" w:pos="196" w:val="left"/>
        </w:tabs>
        <w:numPr>
          <w:ilvl w:val="0"/>
          <w:numId w:val="229"/>
        </w:numPr>
        <w:rPr>
          <w:rFonts w:ascii="Arial" w:cs="Arial" w:eastAsia="Arial" w:hAnsi="Arial"/>
          <w:sz w:val="13"/>
          <w:szCs w:val="13"/>
          <w:color w:val="auto"/>
        </w:rPr>
      </w:pPr>
      <w:r>
        <w:rPr>
          <w:rFonts w:ascii="Arial" w:cs="Arial" w:eastAsia="Arial" w:hAnsi="Arial"/>
          <w:sz w:val="13"/>
          <w:szCs w:val="13"/>
          <w:color w:val="auto"/>
        </w:rPr>
        <w:t>$0.6M Celgene TIGIT clinical biomarker reimbursement (Celgene payment received in mid-March)</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Prepaid expenses</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but not limited to,</w:t>
      </w:r>
    </w:p>
    <w:p>
      <w:pPr>
        <w:ind w:left="200" w:hanging="200"/>
        <w:spacing w:after="0"/>
        <w:tabs>
          <w:tab w:leader="none" w:pos="200" w:val="left"/>
        </w:tabs>
        <w:numPr>
          <w:ilvl w:val="0"/>
          <w:numId w:val="230"/>
        </w:numPr>
        <w:rPr>
          <w:rFonts w:ascii="Arial" w:cs="Arial" w:eastAsia="Arial" w:hAnsi="Arial"/>
          <w:sz w:val="12"/>
          <w:szCs w:val="12"/>
          <w:color w:val="auto"/>
        </w:rPr>
      </w:pPr>
      <w:r>
        <w:rPr>
          <w:rFonts w:ascii="Arial" w:cs="Arial" w:eastAsia="Arial" w:hAnsi="Arial"/>
          <w:sz w:val="12"/>
          <w:szCs w:val="12"/>
          <w:color w:val="auto"/>
        </w:rPr>
        <w:t>$425k prepaid commercial/cargo/clinical/EPL insurances</w:t>
      </w:r>
    </w:p>
    <w:p>
      <w:pPr>
        <w:spacing w:after="0" w:line="4" w:lineRule="exact"/>
        <w:rPr>
          <w:rFonts w:ascii="Arial" w:cs="Arial" w:eastAsia="Arial" w:hAnsi="Arial"/>
          <w:sz w:val="12"/>
          <w:szCs w:val="12"/>
          <w:color w:val="auto"/>
        </w:rPr>
      </w:pPr>
    </w:p>
    <w:p>
      <w:pPr>
        <w:ind w:right="300"/>
        <w:spacing w:after="0" w:line="212" w:lineRule="auto"/>
        <w:tabs>
          <w:tab w:leader="none" w:pos="196" w:val="left"/>
        </w:tabs>
        <w:numPr>
          <w:ilvl w:val="0"/>
          <w:numId w:val="230"/>
        </w:numPr>
        <w:rPr>
          <w:rFonts w:ascii="Arial" w:cs="Arial" w:eastAsia="Arial" w:hAnsi="Arial"/>
          <w:sz w:val="14"/>
          <w:szCs w:val="14"/>
          <w:color w:val="auto"/>
        </w:rPr>
      </w:pPr>
      <w:r>
        <w:rPr>
          <w:rFonts w:ascii="Arial" w:cs="Arial" w:eastAsia="Arial" w:hAnsi="Arial"/>
          <w:sz w:val="14"/>
          <w:szCs w:val="14"/>
          <w:color w:val="auto"/>
        </w:rPr>
        <w:t>$115K prepaid maintenance contracts (e.g. faclity, IT network, servers, Emails, IP, etc.)</w:t>
      </w:r>
    </w:p>
    <w:p>
      <w:pPr>
        <w:ind w:right="220"/>
        <w:spacing w:after="0" w:line="247" w:lineRule="auto"/>
        <w:tabs>
          <w:tab w:leader="none" w:pos="196" w:val="left"/>
        </w:tabs>
        <w:numPr>
          <w:ilvl w:val="0"/>
          <w:numId w:val="230"/>
        </w:numPr>
        <w:rPr>
          <w:rFonts w:ascii="Arial" w:cs="Arial" w:eastAsia="Arial" w:hAnsi="Arial"/>
          <w:sz w:val="12"/>
          <w:szCs w:val="12"/>
          <w:color w:val="auto"/>
        </w:rPr>
      </w:pPr>
      <w:r>
        <w:rPr>
          <w:rFonts w:ascii="Arial" w:cs="Arial" w:eastAsia="Arial" w:hAnsi="Arial"/>
          <w:sz w:val="12"/>
          <w:szCs w:val="12"/>
          <w:color w:val="auto"/>
        </w:rPr>
        <w:t>$58K prepaid annual licenses/Nasdaq (e.g. accounting, manufacturing, regulatory/clinical annual licenses)</w:t>
      </w:r>
    </w:p>
    <w:p>
      <w:pPr>
        <w:ind w:left="200" w:hanging="200"/>
        <w:spacing w:after="0" w:line="212" w:lineRule="auto"/>
        <w:tabs>
          <w:tab w:leader="none" w:pos="20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$601K clinical study deposits</w:t>
      </w:r>
    </w:p>
    <w:p>
      <w:pPr>
        <w:ind w:left="200" w:hanging="200"/>
        <w:spacing w:after="0"/>
        <w:tabs>
          <w:tab w:leader="none" w:pos="20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$550 IRS tax refund in 2019</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Income tax receivable</w:t>
      </w:r>
    </w:p>
    <w:p>
      <w:pPr>
        <w:ind w:left="200" w:hanging="200"/>
        <w:spacing w:after="0" w:line="212" w:lineRule="auto"/>
        <w:tabs>
          <w:tab w:leader="none" w:pos="20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IRS tax refund in 2021 $550K</w:t>
      </w:r>
    </w:p>
    <w:p>
      <w:pPr>
        <w:ind w:left="200" w:hanging="200"/>
        <w:spacing w:after="0" w:line="231" w:lineRule="auto"/>
        <w:tabs>
          <w:tab w:leader="none" w:pos="20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$0.2M PG&amp;E and other deposits</w:t>
      </w:r>
    </w:p>
    <w:p>
      <w:pPr>
        <w:ind w:right="200"/>
        <w:spacing w:after="0" w:line="227" w:lineRule="auto"/>
        <w:rPr>
          <w:sz w:val="20"/>
          <w:szCs w:val="20"/>
          <w:color w:val="auto"/>
        </w:rPr>
      </w:pPr>
      <w:r>
        <w:rPr>
          <w:rFonts w:ascii="Arial" w:cs="Arial" w:eastAsia="Arial" w:hAnsi="Arial"/>
          <w:sz w:val="14"/>
          <w:szCs w:val="14"/>
          <w:color w:val="auto"/>
        </w:rPr>
        <w:t>LHI amortization life adjusted to December 2019 (planned facility relocation)</w:t>
      </w:r>
    </w:p>
    <w:p>
      <w:pPr>
        <w:spacing w:after="0" w:line="353" w:lineRule="exact"/>
        <w:rPr>
          <w:sz w:val="20"/>
          <w:szCs w:val="20"/>
          <w:color w:val="auto"/>
        </w:rPr>
      </w:pPr>
    </w:p>
    <w:p>
      <w:pPr>
        <w:ind w:right="680"/>
        <w:spacing w:after="0" w:line="220" w:lineRule="auto"/>
        <w:rPr>
          <w:sz w:val="20"/>
          <w:szCs w:val="20"/>
          <w:color w:val="auto"/>
        </w:rPr>
      </w:pPr>
      <w:r>
        <w:rPr>
          <w:rFonts w:ascii="Arial" w:cs="Arial" w:eastAsia="Arial" w:hAnsi="Arial"/>
          <w:sz w:val="14"/>
          <w:szCs w:val="14"/>
          <w:b w:val="1"/>
          <w:bCs w:val="1"/>
          <w:color w:val="auto"/>
        </w:rPr>
        <w:t>MINUS - ACCOUNTS PAYABLE, ACCRUED LIABILITIES AND EXPENSES Accounts Payable</w:t>
      </w:r>
    </w:p>
    <w:p>
      <w:pPr>
        <w:spacing w:after="0" w:line="213" w:lineRule="auto"/>
        <w:rPr>
          <w:sz w:val="20"/>
          <w:szCs w:val="20"/>
          <w:color w:val="auto"/>
        </w:rPr>
      </w:pPr>
      <w:r>
        <w:rPr>
          <w:rFonts w:ascii="Arial" w:cs="Arial" w:eastAsia="Arial" w:hAnsi="Arial"/>
          <w:sz w:val="14"/>
          <w:szCs w:val="14"/>
          <w:color w:val="auto"/>
        </w:rPr>
        <w:t>ordinary course of business timing of payment</w:t>
      </w:r>
    </w:p>
    <w:p>
      <w:pPr>
        <w:ind w:right="80"/>
        <w:spacing w:after="0" w:line="221" w:lineRule="auto"/>
        <w:rPr>
          <w:sz w:val="20"/>
          <w:szCs w:val="20"/>
          <w:color w:val="auto"/>
        </w:rPr>
      </w:pPr>
      <w:r>
        <w:rPr>
          <w:rFonts w:ascii="Arial" w:cs="Arial" w:eastAsia="Arial" w:hAnsi="Arial"/>
          <w:sz w:val="14"/>
          <w:szCs w:val="14"/>
          <w:b w:val="1"/>
          <w:bCs w:val="1"/>
          <w:u w:val="single" w:color="auto"/>
          <w:color w:val="auto"/>
        </w:rPr>
        <w:t>Accrued clinical liabilities</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 xml:space="preserve"> expenses incurred but not yet paid for</w:t>
      </w:r>
    </w:p>
    <w:p>
      <w:pPr>
        <w:ind w:left="200" w:hanging="200"/>
        <w:spacing w:after="0" w:line="230" w:lineRule="auto"/>
        <w:tabs>
          <w:tab w:leader="none" w:pos="20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$1.8M NAVI patient costs and CRO services accruals</w:t>
      </w:r>
    </w:p>
    <w:p>
      <w:pPr>
        <w:ind w:left="200" w:hanging="200"/>
        <w:spacing w:after="0" w:line="228" w:lineRule="auto"/>
        <w:tabs>
          <w:tab w:leader="none" w:pos="20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$0.4M TIGIT patient costs and CRO services accruals</w:t>
      </w:r>
    </w:p>
    <w:p>
      <w:pPr>
        <w:ind w:left="200" w:hanging="200"/>
        <w:spacing w:after="0"/>
        <w:tabs>
          <w:tab w:leader="none" w:pos="20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$0.1M GITRL patient costs and CRO services accruals</w:t>
      </w:r>
    </w:p>
    <w:p>
      <w:pPr>
        <w:spacing w:after="0" w:line="93" w:lineRule="exact"/>
        <w:rPr>
          <w:sz w:val="20"/>
          <w:szCs w:val="20"/>
          <w:color w:val="auto"/>
        </w:rPr>
      </w:pPr>
    </w:p>
    <w:p>
      <w:pPr>
        <w:ind w:right="180"/>
        <w:spacing w:after="0" w:line="224" w:lineRule="auto"/>
        <w:rPr>
          <w:sz w:val="20"/>
          <w:szCs w:val="20"/>
          <w:color w:val="auto"/>
        </w:rPr>
      </w:pPr>
      <w:r>
        <w:rPr>
          <w:rFonts w:ascii="Arial" w:cs="Arial" w:eastAsia="Arial" w:hAnsi="Arial"/>
          <w:sz w:val="14"/>
          <w:szCs w:val="14"/>
          <w:b w:val="1"/>
          <w:bCs w:val="1"/>
          <w:u w:val="single" w:color="auto"/>
          <w:color w:val="auto"/>
        </w:rPr>
        <w:t>Accrued Liabilities</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 xml:space="preserve"> expenses incurred but not yet paid for</w:t>
      </w:r>
    </w:p>
    <w:p>
      <w:pPr>
        <w:ind w:right="60"/>
        <w:spacing w:after="0" w:line="228" w:lineRule="auto"/>
        <w:rPr>
          <w:sz w:val="20"/>
          <w:szCs w:val="20"/>
          <w:color w:val="auto"/>
        </w:rPr>
      </w:pPr>
      <w:r>
        <w:rPr>
          <w:rFonts w:ascii="Arial" w:cs="Arial" w:eastAsia="Arial" w:hAnsi="Arial"/>
          <w:sz w:val="13"/>
          <w:szCs w:val="13"/>
          <w:color w:val="auto"/>
        </w:rPr>
        <w:t>ordinary business expenses incurred and accrued on the Cash Determination Time. Including, but not limited to</w:t>
      </w:r>
    </w:p>
    <w:p>
      <w:pPr>
        <w:ind w:left="200" w:hanging="200"/>
        <w:spacing w:after="0" w:line="213" w:lineRule="auto"/>
        <w:tabs>
          <w:tab w:leader="none" w:pos="20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$0.3M consulting</w:t>
      </w:r>
    </w:p>
    <w:p>
      <w:pPr>
        <w:ind w:left="200" w:hanging="200"/>
        <w:spacing w:after="0" w:line="212" w:lineRule="auto"/>
        <w:tabs>
          <w:tab w:leader="none" w:pos="20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$0.2M vacation</w:t>
      </w:r>
    </w:p>
    <w:p>
      <w:pPr>
        <w:ind w:left="200" w:hanging="200"/>
        <w:spacing w:after="0" w:line="231" w:lineRule="auto"/>
        <w:tabs>
          <w:tab w:leader="none" w:pos="20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$0.2M contract srvc, bonus, etc.</w:t>
      </w:r>
    </w:p>
    <w:p>
      <w:pPr>
        <w:ind w:right="60"/>
        <w:spacing w:after="0" w:line="212" w:lineRule="auto"/>
        <w:rPr>
          <w:sz w:val="20"/>
          <w:szCs w:val="20"/>
          <w:color w:val="auto"/>
        </w:rPr>
      </w:pPr>
      <w:r>
        <w:rPr>
          <w:rFonts w:ascii="Arial" w:cs="Arial" w:eastAsia="Arial" w:hAnsi="Arial"/>
          <w:sz w:val="14"/>
          <w:szCs w:val="14"/>
          <w:color w:val="auto"/>
        </w:rPr>
        <w:t>exclusion of the accrued vacation for any retained employees at the Determination Date</w:t>
      </w:r>
    </w:p>
    <w:p>
      <w:pPr>
        <w:ind w:right="1340"/>
        <w:spacing w:after="0" w:line="212" w:lineRule="auto"/>
        <w:rPr>
          <w:sz w:val="20"/>
          <w:szCs w:val="20"/>
          <w:color w:val="auto"/>
        </w:rPr>
      </w:pPr>
      <w:r>
        <w:rPr>
          <w:rFonts w:ascii="Arial" w:cs="Arial" w:eastAsia="Arial" w:hAnsi="Arial"/>
          <w:sz w:val="14"/>
          <w:szCs w:val="14"/>
          <w:color w:val="auto"/>
        </w:rPr>
        <w:t>Celgene TIGIT BM unearned revenue GAAP items - Non cash</w:t>
      </w:r>
    </w:p>
    <w:p>
      <w:pPr>
        <w:ind w:right="320"/>
        <w:spacing w:after="0" w:line="212" w:lineRule="auto"/>
        <w:rPr>
          <w:sz w:val="20"/>
          <w:szCs w:val="20"/>
          <w:color w:val="auto"/>
        </w:rPr>
      </w:pPr>
      <w:r>
        <w:rPr>
          <w:rFonts w:ascii="Arial" w:cs="Arial" w:eastAsia="Arial" w:hAnsi="Arial"/>
          <w:sz w:val="14"/>
          <w:szCs w:val="14"/>
          <w:color w:val="auto"/>
        </w:rPr>
        <w:t>current accrued expenses, including M&amp;A legal, banker, audit, advisor, accountants, tax fees, etc. current accrued severance</w:t>
      </w:r>
    </w:p>
    <w:p>
      <w:pPr>
        <w:spacing w:after="0" w:line="1" w:lineRule="exact"/>
        <w:rPr>
          <w:sz w:val="20"/>
          <w:szCs w:val="20"/>
          <w:color w:val="auto"/>
        </w:rPr>
      </w:pPr>
    </w:p>
    <w:p>
      <w:pPr>
        <w:ind w:right="260"/>
        <w:spacing w:after="0" w:line="291" w:lineRule="auto"/>
        <w:rPr>
          <w:sz w:val="20"/>
          <w:szCs w:val="20"/>
          <w:color w:val="auto"/>
        </w:rPr>
      </w:pPr>
      <w:r>
        <w:rPr>
          <w:rFonts w:ascii="Arial" w:cs="Arial" w:eastAsia="Arial" w:hAnsi="Arial"/>
          <w:sz w:val="12"/>
          <w:szCs w:val="12"/>
          <w:color w:val="auto"/>
        </w:rPr>
        <w:t>Subleased tenants security deposits and TIA pass thru included in below - additional projected Transaction Fees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Booked receivable $1.4M</w:t>
      </w:r>
    </w:p>
    <w:p>
      <w:pPr>
        <w:spacing w:after="0" w:line="212" w:lineRule="auto"/>
        <w:rPr>
          <w:sz w:val="20"/>
          <w:szCs w:val="20"/>
          <w:color w:val="auto"/>
        </w:rPr>
      </w:pPr>
      <w:r>
        <w:rPr>
          <w:rFonts w:ascii="Arial" w:cs="Arial" w:eastAsia="Arial" w:hAnsi="Arial"/>
          <w:sz w:val="14"/>
          <w:szCs w:val="14"/>
          <w:color w:val="auto"/>
        </w:rPr>
        <w:t>$2.6M Cash received</w:t>
      </w:r>
    </w:p>
    <w:p>
      <w:pPr>
        <w:spacing w:after="0"/>
        <w:rPr>
          <w:sz w:val="20"/>
          <w:szCs w:val="20"/>
          <w:color w:val="auto"/>
        </w:rPr>
      </w:pPr>
      <w:r>
        <w:rPr>
          <w:rFonts w:ascii="Arial" w:cs="Arial" w:eastAsia="Arial" w:hAnsi="Arial"/>
          <w:sz w:val="14"/>
          <w:szCs w:val="14"/>
          <w:color w:val="auto"/>
        </w:rPr>
        <w:t>Agreed with Milan</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per projections, pending</w:t>
      </w:r>
    </w:p>
    <w:p>
      <w:pPr>
        <w:spacing w:after="0" w:line="212" w:lineRule="auto"/>
        <w:rPr>
          <w:sz w:val="20"/>
          <w:szCs w:val="20"/>
          <w:color w:val="auto"/>
        </w:rPr>
      </w:pPr>
      <w:r>
        <w:rPr>
          <w:rFonts w:ascii="Arial" w:cs="Arial" w:eastAsia="Arial" w:hAnsi="Arial"/>
          <w:sz w:val="14"/>
          <w:szCs w:val="14"/>
          <w:color w:val="auto"/>
        </w:rPr>
        <w:t>per projections, pending</w:t>
      </w:r>
    </w:p>
    <w:p>
      <w:pPr>
        <w:spacing w:after="0" w:line="212" w:lineRule="auto"/>
        <w:rPr>
          <w:sz w:val="20"/>
          <w:szCs w:val="20"/>
          <w:color w:val="auto"/>
        </w:rPr>
      </w:pPr>
      <w:r>
        <w:rPr>
          <w:rFonts w:ascii="Arial" w:cs="Arial" w:eastAsia="Arial" w:hAnsi="Arial"/>
          <w:sz w:val="14"/>
          <w:szCs w:val="14"/>
          <w:color w:val="auto"/>
        </w:rPr>
        <w:t>legal, banker, and others</w:t>
      </w:r>
    </w:p>
    <w:p>
      <w:pPr>
        <w:spacing w:after="0"/>
        <w:rPr>
          <w:sz w:val="20"/>
          <w:szCs w:val="20"/>
          <w:color w:val="auto"/>
        </w:rPr>
      </w:pPr>
      <w:r>
        <w:rPr>
          <w:rFonts w:ascii="Arial" w:cs="Arial" w:eastAsia="Arial" w:hAnsi="Arial"/>
          <w:sz w:val="14"/>
          <w:szCs w:val="14"/>
          <w:color w:val="auto"/>
        </w:rPr>
        <w:t>Officers terminations at closing</w:t>
      </w:r>
    </w:p>
    <w:p>
      <w:pPr>
        <w:sectPr>
          <w:pgSz w:w="11900" w:h="16838" w:orient="portrait"/>
          <w:cols w:equalWidth="0" w:num="2">
            <w:col w:w="6720" w:space="380"/>
            <w:col w:w="3440"/>
          </w:cols>
          <w:pgMar w:left="680" w:top="264" w:right="679" w:bottom="1440" w:gutter="0" w:footer="0" w:header="0"/>
        </w:sectPr>
      </w:pPr>
    </w:p>
    <w:bookmarkStart w:id="265" w:name="page266"/>
    <w:bookmarkEnd w:id="265"/>
    <w:p>
      <w:pPr>
        <w:ind w:left="47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SIGNATURES</w:t>
      </w:r>
    </w:p>
    <w:p>
      <w:pPr>
        <w:sectPr>
          <w:pgSz w:w="11900" w:h="16838" w:orient="portrait"/>
          <w:cols w:equalWidth="0" w:num="1">
            <w:col w:w="9779"/>
          </w:cols>
          <w:pgMar w:left="680" w:top="264"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BORROWER</w:t>
      </w:r>
    </w:p>
    <w:p>
      <w:pPr>
        <w:spacing w:after="0" w:line="245"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 xml:space="preserve">EXECUTED as a DEED by </w:t>
      </w:r>
      <w:r>
        <w:rPr>
          <w:rFonts w:ascii="Arial" w:cs="Arial" w:eastAsia="Arial" w:hAnsi="Arial"/>
          <w:sz w:val="16"/>
          <w:szCs w:val="16"/>
          <w:b w:val="1"/>
          <w:bCs w:val="1"/>
          <w:color w:val="auto"/>
        </w:rPr>
        <w:t>MEREO BIOPHARMA GROUP PLC</w:t>
      </w:r>
      <w:r>
        <w:rPr>
          <w:rFonts w:ascii="Arial" w:cs="Arial" w:eastAsia="Arial" w:hAnsi="Arial"/>
          <w:sz w:val="16"/>
          <w:szCs w:val="16"/>
          <w:color w:val="auto"/>
        </w:rPr>
        <w:t xml:space="preserve"> acting by </w:t>
      </w:r>
      <w:r>
        <w:rPr>
          <w:rFonts w:ascii="Arial" w:cs="Arial" w:eastAsia="Arial" w:hAnsi="Arial"/>
          <w:sz w:val="16"/>
          <w:szCs w:val="16"/>
          <w:u w:val="single" w:color="auto"/>
          <w:color w:val="auto"/>
        </w:rPr>
        <w:t>Denise Scots-Knight</w:t>
      </w:r>
      <w:r>
        <w:rPr>
          <w:rFonts w:ascii="Arial" w:cs="Arial" w:eastAsia="Arial" w:hAnsi="Arial"/>
          <w:sz w:val="16"/>
          <w:szCs w:val="16"/>
          <w:color w:val="auto"/>
        </w:rPr>
        <w:t xml:space="preserve"> a director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Name: Shanna Pillado</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Address: 800 Chesapeake Drive</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Redwood City, CA 94063</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Occupation: Office 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29845</wp:posOffset>
            </wp:positionV>
            <wp:extent cx="321500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Director</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 Shanna Pillado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15240</wp:posOffset>
            </wp:positionV>
            <wp:extent cx="32150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30</w:t>
      </w:r>
    </w:p>
    <w:p>
      <w:pPr>
        <w:sectPr>
          <w:pgSz w:w="11900" w:h="16838" w:orient="portrait"/>
          <w:cols w:equalWidth="0" w:num="2">
            <w:col w:w="4820" w:space="260"/>
            <w:col w:w="4699"/>
          </w:cols>
          <w:pgMar w:left="680" w:top="264" w:right="1440" w:bottom="1440" w:gutter="0" w:footer="0" w:header="0"/>
          <w:type w:val="continuous"/>
        </w:sectPr>
      </w:pPr>
    </w:p>
    <w:bookmarkStart w:id="266" w:name="page267"/>
    <w:bookmarkEnd w:id="266"/>
    <w:p>
      <w:pPr>
        <w:spacing w:after="0"/>
        <w:rPr>
          <w:sz w:val="20"/>
          <w:szCs w:val="20"/>
          <w:color w:val="auto"/>
        </w:rPr>
      </w:pPr>
      <w:r>
        <w:rPr>
          <w:rFonts w:ascii="Arial" w:cs="Arial" w:eastAsia="Arial" w:hAnsi="Arial"/>
          <w:sz w:val="17"/>
          <w:szCs w:val="17"/>
          <w:b w:val="1"/>
          <w:bCs w:val="1"/>
          <w:color w:val="auto"/>
        </w:rPr>
        <w:t>THE GUARANTORS</w:t>
      </w:r>
    </w:p>
    <w:p>
      <w:pPr>
        <w:spacing w:after="0" w:line="24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EXECUTED as a DEED by </w:t>
      </w:r>
      <w:r>
        <w:rPr>
          <w:rFonts w:ascii="Arial" w:cs="Arial" w:eastAsia="Arial" w:hAnsi="Arial"/>
          <w:sz w:val="17"/>
          <w:szCs w:val="17"/>
          <w:b w:val="1"/>
          <w:bCs w:val="1"/>
          <w:color w:val="auto"/>
        </w:rPr>
        <w:t>MEREO BIOPHARMA 1 LIMITED</w:t>
      </w:r>
      <w:r>
        <w:rPr>
          <w:rFonts w:ascii="Arial" w:cs="Arial" w:eastAsia="Arial" w:hAnsi="Arial"/>
          <w:sz w:val="17"/>
          <w:szCs w:val="17"/>
          <w:color w:val="auto"/>
        </w:rPr>
        <w:t xml:space="preserve"> acting by </w:t>
      </w:r>
      <w:r>
        <w:rPr>
          <w:rFonts w:ascii="Arial" w:cs="Arial" w:eastAsia="Arial" w:hAnsi="Arial"/>
          <w:sz w:val="17"/>
          <w:szCs w:val="17"/>
          <w:u w:val="single" w:color="auto"/>
          <w:color w:val="auto"/>
        </w:rPr>
        <w:t>Richard Jones</w:t>
      </w:r>
      <w:r>
        <w:rPr>
          <w:rFonts w:ascii="Arial" w:cs="Arial" w:eastAsia="Arial" w:hAnsi="Arial"/>
          <w:sz w:val="17"/>
          <w:szCs w:val="17"/>
          <w:color w:val="auto"/>
        </w:rPr>
        <w:t xml:space="preserve"> a director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Name: Shanna Pillado</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Address: 800 Chesapeake Drive</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Redwood City, CA 94063</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Occupation: Office Manager</w:t>
      </w:r>
    </w:p>
    <w:p>
      <w:pPr>
        <w:spacing w:after="0" w:line="213"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EXECUTED as a DEED by </w:t>
      </w:r>
      <w:r>
        <w:rPr>
          <w:rFonts w:ascii="Arial" w:cs="Arial" w:eastAsia="Arial" w:hAnsi="Arial"/>
          <w:sz w:val="17"/>
          <w:szCs w:val="17"/>
          <w:b w:val="1"/>
          <w:bCs w:val="1"/>
          <w:color w:val="auto"/>
        </w:rPr>
        <w:t>MEREO BIOPHARMA 2 LIMITED</w:t>
      </w:r>
      <w:r>
        <w:rPr>
          <w:rFonts w:ascii="Arial" w:cs="Arial" w:eastAsia="Arial" w:hAnsi="Arial"/>
          <w:sz w:val="17"/>
          <w:szCs w:val="17"/>
          <w:color w:val="auto"/>
        </w:rPr>
        <w:t xml:space="preserve"> acting </w:t>
      </w:r>
      <w:r>
        <w:rPr>
          <w:rFonts w:ascii="Arial" w:cs="Arial" w:eastAsia="Arial" w:hAnsi="Arial"/>
          <w:sz w:val="17"/>
          <w:szCs w:val="17"/>
          <w:u w:val="single" w:color="auto"/>
          <w:color w:val="auto"/>
        </w:rPr>
        <w:t>Richard Jones</w:t>
      </w:r>
      <w:r>
        <w:rPr>
          <w:rFonts w:ascii="Arial" w:cs="Arial" w:eastAsia="Arial" w:hAnsi="Arial"/>
          <w:sz w:val="17"/>
          <w:szCs w:val="17"/>
          <w:color w:val="auto"/>
        </w:rPr>
        <w:t xml:space="preserve"> a director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Name: Shanna Pillado</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Address: 800 Chesapeake Drive</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Redwood City, CA 94063</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Occupation: Office 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-510540</wp:posOffset>
            </wp:positionV>
            <wp:extent cx="729424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22860</wp:posOffset>
            </wp:positionV>
            <wp:extent cx="31489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Director</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 Shanna Pillado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29845</wp:posOffset>
            </wp:positionV>
            <wp:extent cx="31489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22860</wp:posOffset>
            </wp:positionV>
            <wp:extent cx="314896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Director</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 Shanna Pillado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29845</wp:posOffset>
            </wp:positionV>
            <wp:extent cx="314896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31</w:t>
      </w:r>
    </w:p>
    <w:p>
      <w:pPr>
        <w:sectPr>
          <w:pgSz w:w="11900" w:h="16838" w:orient="portrait"/>
          <w:cols w:equalWidth="0" w:num="2">
            <w:col w:w="4700" w:space="380"/>
            <w:col w:w="4699"/>
          </w:cols>
          <w:pgMar w:left="680" w:top="264" w:right="1440"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13"/>
        </w:trPr>
        <w:tc>
          <w:tcPr>
            <w:tcW w:w="4880" w:type="dxa"/>
            <w:vAlign w:val="bottom"/>
            <w:gridSpan w:val="3"/>
          </w:tcPr>
          <w:p>
            <w:pPr>
              <w:spacing w:after="0"/>
              <w:rPr>
                <w:sz w:val="20"/>
                <w:szCs w:val="20"/>
                <w:color w:val="auto"/>
              </w:rPr>
            </w:pPr>
            <w:r>
              <w:rPr>
                <w:rFonts w:ascii="Arial" w:cs="Arial" w:eastAsia="Arial" w:hAnsi="Arial"/>
                <w:sz w:val="17"/>
                <w:szCs w:val="17"/>
                <w:color w:val="auto"/>
              </w:rPr>
              <w:t xml:space="preserve">EXECUTED as a DEED by </w:t>
            </w:r>
            <w:r>
              <w:rPr>
                <w:rFonts w:ascii="Arial" w:cs="Arial" w:eastAsia="Arial" w:hAnsi="Arial"/>
                <w:sz w:val="17"/>
                <w:szCs w:val="17"/>
                <w:b w:val="1"/>
                <w:bCs w:val="1"/>
                <w:color w:val="auto"/>
              </w:rPr>
              <w:t>MEREO BIOPHARMA 3 LIMITED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81"/>
        </w:trPr>
        <w:tc>
          <w:tcPr>
            <w:tcW w:w="4880" w:type="dxa"/>
            <w:vAlign w:val="bottom"/>
            <w:gridSpan w:val="3"/>
          </w:tcPr>
          <w:p>
            <w:pPr>
              <w:spacing w:after="0" w:line="180" w:lineRule="exact"/>
              <w:rPr>
                <w:sz w:val="20"/>
                <w:szCs w:val="20"/>
                <w:color w:val="auto"/>
              </w:rPr>
            </w:pPr>
            <w:r>
              <w:rPr>
                <w:rFonts w:ascii="Arial" w:cs="Arial" w:eastAsia="Arial" w:hAnsi="Arial"/>
                <w:sz w:val="17"/>
                <w:szCs w:val="17"/>
                <w:color w:val="auto"/>
              </w:rPr>
              <w:t>acting by Richard Jones a director in the presence of:</w:t>
            </w:r>
          </w:p>
        </w:tc>
        <w:tc>
          <w:tcPr>
            <w:tcW w:w="260" w:type="dxa"/>
            <w:vAlign w:val="bottom"/>
          </w:tcPr>
          <w:p>
            <w:pPr>
              <w:jc w:val="right"/>
              <w:spacing w:after="0" w:line="180" w:lineRule="exact"/>
              <w:rPr>
                <w:sz w:val="20"/>
                <w:szCs w:val="20"/>
                <w:color w:val="auto"/>
              </w:rPr>
            </w:pPr>
            <w:r>
              <w:rPr>
                <w:rFonts w:ascii="Arial" w:cs="Arial" w:eastAsia="Arial" w:hAnsi="Arial"/>
                <w:sz w:val="17"/>
                <w:szCs w:val="17"/>
                <w:color w:val="auto"/>
              </w:rPr>
              <w:t>)</w:t>
            </w:r>
          </w:p>
        </w:tc>
      </w:tr>
      <w:tr>
        <w:trPr>
          <w:trHeight w:val="214"/>
        </w:trPr>
        <w:tc>
          <w:tcPr>
            <w:tcW w:w="6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6"/>
          <w:szCs w:val="16"/>
          <w:color w:val="auto"/>
        </w:rPr>
        <w:t>/s/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22860</wp:posOffset>
            </wp:positionV>
            <wp:extent cx="314896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Director</w:t>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 Shanna Pillado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29845</wp:posOffset>
            </wp:positionV>
            <wp:extent cx="31489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4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Witness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80" w:type="dxa"/>
            <w:vAlign w:val="bottom"/>
            <w:gridSpan w:val="3"/>
          </w:tcPr>
          <w:p>
            <w:pPr>
              <w:spacing w:after="0"/>
              <w:rPr>
                <w:sz w:val="20"/>
                <w:szCs w:val="20"/>
                <w:color w:val="auto"/>
              </w:rPr>
            </w:pPr>
            <w:r>
              <w:rPr>
                <w:rFonts w:ascii="Arial" w:cs="Arial" w:eastAsia="Arial" w:hAnsi="Arial"/>
                <w:sz w:val="17"/>
                <w:szCs w:val="17"/>
                <w:color w:val="auto"/>
              </w:rPr>
              <w:t>Name: Shanna Pillado</w:t>
            </w:r>
          </w:p>
        </w:tc>
        <w:tc>
          <w:tcPr>
            <w:tcW w:w="260" w:type="dxa"/>
            <w:vAlign w:val="bottom"/>
          </w:tcPr>
          <w:p>
            <w:pPr>
              <w:spacing w:after="0"/>
              <w:rPr>
                <w:sz w:val="19"/>
                <w:szCs w:val="19"/>
                <w:color w:val="auto"/>
              </w:rPr>
            </w:pPr>
          </w:p>
        </w:tc>
      </w:tr>
      <w:tr>
        <w:trPr>
          <w:trHeight w:val="402"/>
        </w:trPr>
        <w:tc>
          <w:tcPr>
            <w:tcW w:w="4880" w:type="dxa"/>
            <w:vAlign w:val="bottom"/>
            <w:gridSpan w:val="3"/>
          </w:tcPr>
          <w:p>
            <w:pPr>
              <w:spacing w:after="0"/>
              <w:rPr>
                <w:sz w:val="20"/>
                <w:szCs w:val="20"/>
                <w:color w:val="auto"/>
              </w:rPr>
            </w:pPr>
            <w:r>
              <w:rPr>
                <w:rFonts w:ascii="Arial" w:cs="Arial" w:eastAsia="Arial" w:hAnsi="Arial"/>
                <w:sz w:val="17"/>
                <w:szCs w:val="17"/>
                <w:color w:val="auto"/>
              </w:rPr>
              <w:t>Address: 800 Chesapeake Drive</w:t>
            </w:r>
          </w:p>
        </w:tc>
        <w:tc>
          <w:tcPr>
            <w:tcW w:w="260" w:type="dxa"/>
            <w:vAlign w:val="bottom"/>
          </w:tcPr>
          <w:p>
            <w:pPr>
              <w:spacing w:after="0"/>
              <w:rPr>
                <w:sz w:val="24"/>
                <w:szCs w:val="24"/>
                <w:color w:val="auto"/>
              </w:rPr>
            </w:pPr>
          </w:p>
        </w:tc>
      </w:tr>
      <w:tr>
        <w:trPr>
          <w:trHeight w:val="220"/>
        </w:trPr>
        <w:tc>
          <w:tcPr>
            <w:tcW w:w="68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Redwood City, CA 94063</w:t>
            </w:r>
          </w:p>
        </w:tc>
        <w:tc>
          <w:tcPr>
            <w:tcW w:w="260" w:type="dxa"/>
            <w:vAlign w:val="bottom"/>
          </w:tcPr>
          <w:p>
            <w:pPr>
              <w:spacing w:after="0"/>
              <w:rPr>
                <w:sz w:val="19"/>
                <w:szCs w:val="19"/>
                <w:color w:val="auto"/>
              </w:rPr>
            </w:pPr>
          </w:p>
        </w:tc>
      </w:tr>
      <w:tr>
        <w:trPr>
          <w:trHeight w:val="427"/>
        </w:trPr>
        <w:tc>
          <w:tcPr>
            <w:tcW w:w="4880" w:type="dxa"/>
            <w:vAlign w:val="bottom"/>
            <w:gridSpan w:val="3"/>
          </w:tcPr>
          <w:p>
            <w:pPr>
              <w:spacing w:after="0"/>
              <w:rPr>
                <w:sz w:val="20"/>
                <w:szCs w:val="20"/>
                <w:color w:val="auto"/>
              </w:rPr>
            </w:pPr>
            <w:r>
              <w:rPr>
                <w:rFonts w:ascii="Arial" w:cs="Arial" w:eastAsia="Arial" w:hAnsi="Arial"/>
                <w:sz w:val="17"/>
                <w:szCs w:val="17"/>
                <w:color w:val="auto"/>
              </w:rPr>
              <w:t>Occupation: Office Manager</w:t>
            </w:r>
          </w:p>
        </w:tc>
        <w:tc>
          <w:tcPr>
            <w:tcW w:w="260" w:type="dxa"/>
            <w:vAlign w:val="bottom"/>
          </w:tcPr>
          <w:p>
            <w:pPr>
              <w:spacing w:after="0"/>
              <w:rPr>
                <w:sz w:val="24"/>
                <w:szCs w:val="24"/>
                <w:color w:val="auto"/>
              </w:rPr>
            </w:pPr>
          </w:p>
        </w:tc>
      </w:tr>
      <w:tr>
        <w:trPr>
          <w:trHeight w:val="402"/>
        </w:trPr>
        <w:tc>
          <w:tcPr>
            <w:tcW w:w="4880" w:type="dxa"/>
            <w:vAlign w:val="bottom"/>
            <w:gridSpan w:val="3"/>
          </w:tcPr>
          <w:p>
            <w:pPr>
              <w:spacing w:after="0"/>
              <w:rPr>
                <w:sz w:val="20"/>
                <w:szCs w:val="20"/>
                <w:color w:val="auto"/>
              </w:rPr>
            </w:pPr>
            <w:r>
              <w:rPr>
                <w:rFonts w:ascii="Arial" w:cs="Arial" w:eastAsia="Arial" w:hAnsi="Arial"/>
                <w:sz w:val="17"/>
                <w:szCs w:val="17"/>
                <w:color w:val="auto"/>
              </w:rPr>
              <w:t xml:space="preserve">EXECUTED as a DEED by </w:t>
            </w:r>
            <w:r>
              <w:rPr>
                <w:rFonts w:ascii="Arial" w:cs="Arial" w:eastAsia="Arial" w:hAnsi="Arial"/>
                <w:sz w:val="17"/>
                <w:szCs w:val="17"/>
                <w:b w:val="1"/>
                <w:bCs w:val="1"/>
                <w:color w:val="auto"/>
              </w:rPr>
              <w:t>MEREO BIOPHARMA 4 LIMITED</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81"/>
        </w:trPr>
        <w:tc>
          <w:tcPr>
            <w:tcW w:w="4880" w:type="dxa"/>
            <w:vAlign w:val="bottom"/>
            <w:gridSpan w:val="3"/>
          </w:tcPr>
          <w:p>
            <w:pPr>
              <w:spacing w:after="0" w:line="180" w:lineRule="exact"/>
              <w:rPr>
                <w:sz w:val="20"/>
                <w:szCs w:val="20"/>
                <w:color w:val="auto"/>
              </w:rPr>
            </w:pPr>
            <w:r>
              <w:rPr>
                <w:rFonts w:ascii="Arial" w:cs="Arial" w:eastAsia="Arial" w:hAnsi="Arial"/>
                <w:sz w:val="17"/>
                <w:szCs w:val="17"/>
                <w:color w:val="auto"/>
              </w:rPr>
              <w:t>acting by Richard Jones a director in the presence of:</w:t>
            </w:r>
          </w:p>
        </w:tc>
        <w:tc>
          <w:tcPr>
            <w:tcW w:w="260" w:type="dxa"/>
            <w:vAlign w:val="bottom"/>
          </w:tcPr>
          <w:p>
            <w:pPr>
              <w:jc w:val="right"/>
              <w:spacing w:after="0" w:line="180" w:lineRule="exact"/>
              <w:rPr>
                <w:sz w:val="20"/>
                <w:szCs w:val="20"/>
                <w:color w:val="auto"/>
              </w:rPr>
            </w:pPr>
            <w:r>
              <w:rPr>
                <w:rFonts w:ascii="Arial" w:cs="Arial" w:eastAsia="Arial" w:hAnsi="Arial"/>
                <w:sz w:val="17"/>
                <w:szCs w:val="17"/>
                <w:color w:val="auto"/>
              </w:rPr>
              <w:t>)</w:t>
            </w:r>
          </w:p>
        </w:tc>
      </w:tr>
      <w:tr>
        <w:trPr>
          <w:trHeight w:val="214"/>
        </w:trPr>
        <w:tc>
          <w:tcPr>
            <w:tcW w:w="6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22860</wp:posOffset>
            </wp:positionV>
            <wp:extent cx="31489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2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Director</w:t>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 Shanna Pillado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29845</wp:posOffset>
            </wp:positionV>
            <wp:extent cx="31489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4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Witness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Name: Shanna Pillado</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Address: 800 Chesapeake Drive</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Redwood City, CA 94063</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Occupation: Office Manager</w:t>
      </w:r>
    </w:p>
    <w:p>
      <w:pPr>
        <w:spacing w:after="0" w:line="15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9779"/>
          </w:cols>
          <w:pgMar w:left="680" w:top="263" w:right="1440"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07"/>
        </w:trPr>
        <w:tc>
          <w:tcPr>
            <w:tcW w:w="490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for and on behalf of</w:t>
            </w:r>
            <w:r>
              <w:rPr>
                <w:rFonts w:ascii="Arial" w:cs="Arial" w:eastAsia="Arial" w:hAnsi="Arial"/>
                <w:sz w:val="17"/>
                <w:szCs w:val="17"/>
                <w:b w:val="1"/>
                <w:bCs w:val="1"/>
                <w:color w:val="auto"/>
              </w:rPr>
              <w:t xml:space="preserve"> MEREO BIOPHARMA IRELAND</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490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LIMITED </w:t>
            </w:r>
            <w:r>
              <w:rPr>
                <w:rFonts w:ascii="Arial" w:cs="Arial" w:eastAsia="Arial" w:hAnsi="Arial"/>
                <w:sz w:val="17"/>
                <w:szCs w:val="17"/>
                <w:color w:val="auto"/>
              </w:rPr>
              <w:t>by its lawfully appointed attonery Richard Jones</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40"/>
        </w:trPr>
        <w:tc>
          <w:tcPr>
            <w:tcW w:w="4900" w:type="dxa"/>
            <w:vAlign w:val="bottom"/>
            <w:gridSpan w:val="3"/>
          </w:tcPr>
          <w:p>
            <w:pPr>
              <w:spacing w:after="0"/>
              <w:rPr>
                <w:sz w:val="20"/>
                <w:szCs w:val="20"/>
                <w:color w:val="auto"/>
              </w:rPr>
            </w:pPr>
            <w:r>
              <w:rPr>
                <w:rFonts w:ascii="Arial" w:cs="Arial" w:eastAsia="Arial" w:hAnsi="Arial"/>
                <w:sz w:val="17"/>
                <w:szCs w:val="17"/>
                <w:color w:val="auto"/>
              </w:rPr>
              <w:t>in the presence of: /s/ Richard Jones</w:t>
            </w:r>
          </w:p>
        </w:tc>
        <w:tc>
          <w:tcPr>
            <w:tcW w:w="240" w:type="dxa"/>
            <w:vAlign w:val="bottom"/>
          </w:tcPr>
          <w:p>
            <w:pPr>
              <w:spacing w:after="0"/>
              <w:rPr>
                <w:sz w:val="24"/>
                <w:szCs w:val="24"/>
                <w:color w:val="auto"/>
              </w:rPr>
            </w:pPr>
          </w:p>
        </w:tc>
      </w:tr>
      <w:tr>
        <w:trPr>
          <w:trHeight w:val="401"/>
        </w:trPr>
        <w:tc>
          <w:tcPr>
            <w:tcW w:w="4900" w:type="dxa"/>
            <w:vAlign w:val="bottom"/>
            <w:gridSpan w:val="3"/>
          </w:tcPr>
          <w:p>
            <w:pPr>
              <w:spacing w:after="0"/>
              <w:rPr>
                <w:sz w:val="20"/>
                <w:szCs w:val="20"/>
                <w:color w:val="auto"/>
              </w:rPr>
            </w:pPr>
            <w:r>
              <w:rPr>
                <w:rFonts w:ascii="Arial" w:cs="Arial" w:eastAsia="Arial" w:hAnsi="Arial"/>
                <w:sz w:val="17"/>
                <w:szCs w:val="17"/>
                <w:color w:val="auto"/>
              </w:rPr>
              <w:t>Signature of witness: /s/ Shanna Pillado</w:t>
            </w:r>
          </w:p>
        </w:tc>
        <w:tc>
          <w:tcPr>
            <w:tcW w:w="240" w:type="dxa"/>
            <w:vAlign w:val="bottom"/>
          </w:tcPr>
          <w:p>
            <w:pPr>
              <w:spacing w:after="0"/>
              <w:rPr>
                <w:sz w:val="24"/>
                <w:szCs w:val="24"/>
                <w:color w:val="auto"/>
              </w:rPr>
            </w:pPr>
          </w:p>
        </w:tc>
      </w:tr>
      <w:tr>
        <w:trPr>
          <w:trHeight w:val="20"/>
        </w:trPr>
        <w:tc>
          <w:tcPr>
            <w:tcW w:w="1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59"/>
        </w:trPr>
        <w:tc>
          <w:tcPr>
            <w:tcW w:w="4900" w:type="dxa"/>
            <w:vAlign w:val="bottom"/>
            <w:gridSpan w:val="3"/>
          </w:tcPr>
          <w:p>
            <w:pPr>
              <w:spacing w:after="0"/>
              <w:rPr>
                <w:sz w:val="20"/>
                <w:szCs w:val="20"/>
                <w:color w:val="auto"/>
              </w:rPr>
            </w:pPr>
            <w:r>
              <w:rPr>
                <w:rFonts w:ascii="Arial" w:cs="Arial" w:eastAsia="Arial" w:hAnsi="Arial"/>
                <w:sz w:val="17"/>
                <w:szCs w:val="17"/>
                <w:color w:val="auto"/>
              </w:rPr>
              <w:t>Name of witness: Shanna Pillado</w:t>
            </w:r>
          </w:p>
        </w:tc>
        <w:tc>
          <w:tcPr>
            <w:tcW w:w="240" w:type="dxa"/>
            <w:vAlign w:val="bottom"/>
          </w:tcPr>
          <w:p>
            <w:pPr>
              <w:spacing w:after="0"/>
              <w:rPr>
                <w:sz w:val="24"/>
                <w:szCs w:val="24"/>
                <w:color w:val="auto"/>
              </w:rPr>
            </w:pPr>
          </w:p>
        </w:tc>
      </w:tr>
      <w:tr>
        <w:trPr>
          <w:trHeight w:val="428"/>
        </w:trPr>
        <w:tc>
          <w:tcPr>
            <w:tcW w:w="4900" w:type="dxa"/>
            <w:vAlign w:val="bottom"/>
            <w:gridSpan w:val="3"/>
          </w:tcPr>
          <w:p>
            <w:pPr>
              <w:spacing w:after="0"/>
              <w:rPr>
                <w:sz w:val="20"/>
                <w:szCs w:val="20"/>
                <w:color w:val="auto"/>
              </w:rPr>
            </w:pPr>
            <w:r>
              <w:rPr>
                <w:rFonts w:ascii="Arial" w:cs="Arial" w:eastAsia="Arial" w:hAnsi="Arial"/>
                <w:sz w:val="17"/>
                <w:szCs w:val="17"/>
                <w:color w:val="auto"/>
              </w:rPr>
              <w:t>Address of witness: 800 Chesapeake Drive,</w:t>
            </w:r>
          </w:p>
        </w:tc>
        <w:tc>
          <w:tcPr>
            <w:tcW w:w="240" w:type="dxa"/>
            <w:vAlign w:val="bottom"/>
          </w:tcPr>
          <w:p>
            <w:pPr>
              <w:spacing w:after="0"/>
              <w:rPr>
                <w:sz w:val="24"/>
                <w:szCs w:val="24"/>
                <w:color w:val="auto"/>
              </w:rPr>
            </w:pPr>
          </w:p>
        </w:tc>
      </w:tr>
      <w:tr>
        <w:trPr>
          <w:trHeight w:val="220"/>
        </w:trPr>
        <w:tc>
          <w:tcPr>
            <w:tcW w:w="4900" w:type="dxa"/>
            <w:vAlign w:val="bottom"/>
            <w:gridSpan w:val="3"/>
          </w:tcPr>
          <w:p>
            <w:pPr>
              <w:spacing w:after="0"/>
              <w:rPr>
                <w:sz w:val="20"/>
                <w:szCs w:val="20"/>
                <w:color w:val="auto"/>
              </w:rPr>
            </w:pPr>
            <w:r>
              <w:rPr>
                <w:rFonts w:ascii="Arial" w:cs="Arial" w:eastAsia="Arial" w:hAnsi="Arial"/>
                <w:sz w:val="17"/>
                <w:szCs w:val="17"/>
                <w:color w:val="auto"/>
              </w:rPr>
              <w:t>Redwood City, CA 94063</w:t>
            </w:r>
          </w:p>
        </w:tc>
        <w:tc>
          <w:tcPr>
            <w:tcW w:w="240" w:type="dxa"/>
            <w:vAlign w:val="bottom"/>
          </w:tcPr>
          <w:p>
            <w:pPr>
              <w:spacing w:after="0"/>
              <w:rPr>
                <w:sz w:val="19"/>
                <w:szCs w:val="19"/>
                <w:color w:val="auto"/>
              </w:rPr>
            </w:pPr>
          </w:p>
        </w:tc>
      </w:tr>
      <w:tr>
        <w:trPr>
          <w:trHeight w:val="440"/>
        </w:trPr>
        <w:tc>
          <w:tcPr>
            <w:tcW w:w="4900" w:type="dxa"/>
            <w:vAlign w:val="bottom"/>
            <w:gridSpan w:val="3"/>
          </w:tcPr>
          <w:p>
            <w:pPr>
              <w:spacing w:after="0"/>
              <w:rPr>
                <w:sz w:val="20"/>
                <w:szCs w:val="20"/>
                <w:color w:val="auto"/>
              </w:rPr>
            </w:pPr>
            <w:r>
              <w:rPr>
                <w:rFonts w:ascii="Arial" w:cs="Arial" w:eastAsia="Arial" w:hAnsi="Arial"/>
                <w:sz w:val="17"/>
                <w:szCs w:val="17"/>
                <w:color w:val="auto"/>
              </w:rPr>
              <w:t>Occupation of witness: Office Manager</w:t>
            </w:r>
          </w:p>
        </w:tc>
        <w:tc>
          <w:tcPr>
            <w:tcW w:w="240" w:type="dxa"/>
            <w:vAlign w:val="bottom"/>
          </w:tcPr>
          <w:p>
            <w:pPr>
              <w:spacing w:after="0"/>
              <w:rPr>
                <w:sz w:val="24"/>
                <w:szCs w:val="24"/>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jc w:val="right"/>
        <w:ind w:right="44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9779"/>
          </w:cols>
          <w:pgMar w:left="680" w:top="263" w:right="1440" w:bottom="1440" w:gutter="0" w:footer="0" w:header="0"/>
        </w:sectPr>
      </w:pPr>
    </w:p>
    <w:bookmarkStart w:id="269" w:name="page270"/>
    <w:bookmarkEnd w:id="269"/>
    <w:p>
      <w:pPr>
        <w:ind w:right="1900"/>
        <w:spacing w:after="0" w:line="291" w:lineRule="auto"/>
        <w:rPr>
          <w:sz w:val="20"/>
          <w:szCs w:val="20"/>
          <w:color w:val="auto"/>
        </w:rPr>
      </w:pPr>
      <w:r>
        <w:rPr>
          <w:rFonts w:ascii="Arial" w:cs="Arial" w:eastAsia="Arial" w:hAnsi="Arial"/>
          <w:sz w:val="17"/>
          <w:szCs w:val="17"/>
          <w:b w:val="1"/>
          <w:bCs w:val="1"/>
          <w:color w:val="auto"/>
        </w:rPr>
        <w:t>THE LENDER, WARRANTHOLDER, AGENT AND SECURITY AGENT</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EXECUTED as a DEED by </w:t>
      </w:r>
      <w:r>
        <w:rPr>
          <w:rFonts w:ascii="Arial" w:cs="Arial" w:eastAsia="Arial" w:hAnsi="Arial"/>
          <w:sz w:val="17"/>
          <w:szCs w:val="17"/>
          <w:b w:val="1"/>
          <w:bCs w:val="1"/>
          <w:color w:val="auto"/>
        </w:rPr>
        <w:t>KREOS CAPITAL V (UK) LIMITED</w:t>
      </w:r>
      <w:r>
        <w:rPr>
          <w:rFonts w:ascii="Arial" w:cs="Arial" w:eastAsia="Arial" w:hAnsi="Arial"/>
          <w:sz w:val="17"/>
          <w:szCs w:val="17"/>
          <w:color w:val="auto"/>
        </w:rPr>
        <w:t xml:space="preserve"> acting by Maurizio PetitBon a director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Name: Laura Hedley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Address: 25 Old Burlington Street</w:t>
      </w:r>
    </w:p>
    <w:p>
      <w:pPr>
        <w:spacing w:after="0" w:line="2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London W1S 3AN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Occupation: Admin Assistant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-502285</wp:posOffset>
            </wp:positionV>
            <wp:extent cx="7294245"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 Maurizio PetitBon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22860</wp:posOffset>
            </wp:positionV>
            <wp:extent cx="314896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Director</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 Laura Hedley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15240</wp:posOffset>
            </wp:positionV>
            <wp:extent cx="314896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34</w:t>
      </w:r>
    </w:p>
    <w:p>
      <w:pPr>
        <w:sectPr>
          <w:pgSz w:w="11900" w:h="16838" w:orient="portrait"/>
          <w:cols w:equalWidth="0" w:num="2">
            <w:col w:w="4780" w:space="300"/>
            <w:col w:w="4699"/>
          </w:cols>
          <w:pgMar w:left="680" w:top="264" w:right="1440" w:bottom="1440" w:gutter="0" w:footer="0" w:header="0"/>
        </w:sectPr>
      </w:pPr>
    </w:p>
    <w:bookmarkStart w:id="270" w:name="page271"/>
    <w:bookmarkEnd w:id="270"/>
    <w:p>
      <w:pPr>
        <w:spacing w:after="0"/>
        <w:rPr>
          <w:sz w:val="20"/>
          <w:szCs w:val="20"/>
          <w:color w:val="auto"/>
        </w:rPr>
      </w:pPr>
      <w:r>
        <w:rPr>
          <w:rFonts w:ascii="Arial" w:cs="Arial" w:eastAsia="Arial" w:hAnsi="Arial"/>
          <w:sz w:val="17"/>
          <w:szCs w:val="17"/>
          <w:b w:val="1"/>
          <w:bCs w:val="1"/>
          <w:color w:val="auto"/>
        </w:rPr>
        <w:t>THE LENDER AND WARRANTHOLDER</w:t>
      </w:r>
    </w:p>
    <w:p>
      <w:pPr>
        <w:spacing w:after="0" w:line="24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EXECUTED as a DEED on behalf of </w:t>
      </w:r>
      <w:r>
        <w:rPr>
          <w:rFonts w:ascii="Arial" w:cs="Arial" w:eastAsia="Arial" w:hAnsi="Arial"/>
          <w:sz w:val="17"/>
          <w:szCs w:val="17"/>
          <w:b w:val="1"/>
          <w:bCs w:val="1"/>
          <w:color w:val="auto"/>
        </w:rPr>
        <w:t>SILICON VALLEY BANK</w:t>
      </w:r>
      <w:r>
        <w:rPr>
          <w:rFonts w:ascii="Arial" w:cs="Arial" w:eastAsia="Arial" w:hAnsi="Arial"/>
          <w:sz w:val="17"/>
          <w:szCs w:val="17"/>
          <w:color w:val="auto"/>
        </w:rPr>
        <w:t xml:space="preserve"> a California corporation by Ian Murchie (</w:t>
      </w:r>
      <w:r>
        <w:rPr>
          <w:rFonts w:ascii="Arial" w:cs="Arial" w:eastAsia="Arial" w:hAnsi="Arial"/>
          <w:sz w:val="17"/>
          <w:szCs w:val="17"/>
          <w:i w:val="1"/>
          <w:iCs w:val="1"/>
          <w:color w:val="auto"/>
        </w:rPr>
        <w:t>authorised signatory</w:t>
      </w:r>
      <w:r>
        <w:rPr>
          <w:rFonts w:ascii="Arial" w:cs="Arial" w:eastAsia="Arial" w:hAnsi="Arial"/>
          <w:sz w:val="17"/>
          <w:szCs w:val="17"/>
          <w:color w:val="auto"/>
        </w:rPr>
        <w:t>), being a person who, in accordance with the laws of that territory, is acting under the authority of the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-485775</wp:posOffset>
            </wp:positionV>
            <wp:extent cx="7294245"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 Ian Murchie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15240</wp:posOffset>
            </wp:positionV>
            <wp:extent cx="31489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3148965" cy="8255"/>
                    </a:xfrm>
                    <a:prstGeom prst="rect">
                      <a:avLst/>
                    </a:prstGeom>
                    <a:noFill/>
                  </pic:spPr>
                </pic:pic>
              </a:graphicData>
            </a:graphic>
          </wp:anchor>
        </w:drawing>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Authorised Signatory</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35</w:t>
      </w:r>
    </w:p>
    <w:p>
      <w:pPr>
        <w:sectPr>
          <w:pgSz w:w="11900" w:h="16838" w:orient="portrait"/>
          <w:cols w:equalWidth="0" w:num="2">
            <w:col w:w="4820" w:space="260"/>
            <w:col w:w="4699"/>
          </w:cols>
          <w:pgMar w:left="680" w:top="263"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17"/>
          <w:szCs w:val="17"/>
          <w:b w:val="1"/>
          <w:bCs w:val="1"/>
          <w:color w:val="auto"/>
        </w:rPr>
        <w:t>Exhibit 4.17.1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NUMBER ONE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CONTINGENT VALUE RIGHTS AGREEMENT</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This Amendment Number One (the “</w:t>
      </w:r>
      <w:r>
        <w:rPr>
          <w:rFonts w:ascii="Arial" w:cs="Arial" w:eastAsia="Arial" w:hAnsi="Arial"/>
          <w:sz w:val="16"/>
          <w:szCs w:val="16"/>
          <w:u w:val="single" w:color="auto"/>
          <w:color w:val="auto"/>
        </w:rPr>
        <w:t>Amendment</w:t>
      </w:r>
      <w:r>
        <w:rPr>
          <w:rFonts w:ascii="Arial" w:cs="Arial" w:eastAsia="Arial" w:hAnsi="Arial"/>
          <w:sz w:val="16"/>
          <w:szCs w:val="16"/>
          <w:color w:val="auto"/>
        </w:rPr>
        <w:t>”) to that certain Contingent Value Rights Agreement, dated as of March 14, 2019,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is executed by OncoMed Pharmaceuticals,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as of April 15, 2019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herein, but not defined, shall have the meanings ascribed to them in the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PREAMBLE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WHEREAS, the Agreement was entered into by and between the Company and the Rights Agent on March 14, 2019;</w:t>
      </w:r>
    </w:p>
    <w:p>
      <w:pPr>
        <w:spacing w:after="0" w:line="219" w:lineRule="exact"/>
        <w:rPr>
          <w:sz w:val="20"/>
          <w:szCs w:val="20"/>
          <w:color w:val="auto"/>
        </w:rPr>
      </w:pPr>
    </w:p>
    <w:p>
      <w:pPr>
        <w:ind w:right="420" w:firstLine="423"/>
        <w:spacing w:after="0" w:line="316" w:lineRule="auto"/>
        <w:rPr>
          <w:sz w:val="20"/>
          <w:szCs w:val="20"/>
          <w:color w:val="auto"/>
        </w:rPr>
      </w:pPr>
      <w:r>
        <w:rPr>
          <w:rFonts w:ascii="Arial" w:cs="Arial" w:eastAsia="Arial" w:hAnsi="Arial"/>
          <w:sz w:val="16"/>
          <w:szCs w:val="16"/>
          <w:color w:val="auto"/>
        </w:rPr>
        <w:t>WHEREAS, pursuant to Sections 5.1(a)(iv) and 5.1(a)(ix) thereof, the Agreement may be amended without the consent of the Holders or the Rights Agent to cure any ambiguity under the Agreement and to provide any additional rights or benefits to the Holders, respectively;</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WHEREAS, the Company now wishes to enter into this Amendment in accordance with Section 5.1(a) of the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Section 4.4 of the Agreement is hereby amended and restated in its entirety to read as set forth below:</w:t>
      </w:r>
    </w:p>
    <w:p>
      <w:pPr>
        <w:spacing w:after="0" w:line="3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i w:val="1"/>
          <w:iCs w:val="1"/>
          <w:color w:val="auto"/>
        </w:rPr>
        <w:t>Backstop Financing Statement</w:t>
      </w:r>
      <w:r>
        <w:rPr>
          <w:rFonts w:ascii="Arial" w:cs="Arial" w:eastAsia="Arial" w:hAnsi="Arial"/>
          <w:sz w:val="17"/>
          <w:szCs w:val="17"/>
          <w:color w:val="auto"/>
        </w:rPr>
        <w:t>:</w:t>
      </w:r>
    </w:p>
    <w:p>
      <w:pPr>
        <w:spacing w:after="0" w:line="115" w:lineRule="exact"/>
        <w:rPr>
          <w:sz w:val="20"/>
          <w:szCs w:val="20"/>
          <w:color w:val="auto"/>
        </w:rPr>
      </w:pPr>
    </w:p>
    <w:p>
      <w:pPr>
        <w:ind w:left="420" w:right="80" w:firstLine="406"/>
        <w:spacing w:after="0" w:line="259" w:lineRule="auto"/>
        <w:rPr>
          <w:sz w:val="20"/>
          <w:szCs w:val="20"/>
          <w:color w:val="auto"/>
        </w:rPr>
      </w:pPr>
      <w:r>
        <w:rPr>
          <w:rFonts w:ascii="Arial" w:cs="Arial" w:eastAsia="Arial" w:hAnsi="Arial"/>
          <w:sz w:val="17"/>
          <w:szCs w:val="17"/>
          <w:color w:val="auto"/>
        </w:rPr>
        <w:t xml:space="preserve">It is the intent of the Company for the assignment of an amount in cash equal to the TIGIT Payment Amounts, when, as and if such TIGIT Payment Amounts are actually received by the Company pursuant to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to be complete and irrevocable. The Company hereby grants to the Rights Agent, for the benefit of the Holders, a first-priority security interest in and to its right in respect of any TIGIT Payment Amounts to secure the Holders’ rights to receive the TIGIT Payment Amounts hereunder. Notwithstanding the foregoing, the form of financing statement on Form UCC-1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shall be filed within 30 days from the Record Date for the purpose of perfecting a first-priority security interest in and to its right in respect of any TIGIT Payment Amounts to secure the Holders’ rights to receive the TIGIT Payment Amounts hereunder.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25" w:lineRule="exact"/>
        <w:rPr>
          <w:sz w:val="20"/>
          <w:szCs w:val="20"/>
          <w:color w:val="auto"/>
        </w:rPr>
      </w:pPr>
    </w:p>
    <w:p>
      <w:pPr>
        <w:ind w:right="40" w:firstLine="423"/>
        <w:spacing w:after="0" w:line="284" w:lineRule="auto"/>
        <w:rPr>
          <w:sz w:val="20"/>
          <w:szCs w:val="20"/>
          <w:color w:val="auto"/>
        </w:rPr>
      </w:pPr>
      <w:r>
        <w:rPr>
          <w:rFonts w:ascii="Arial" w:cs="Arial" w:eastAsia="Arial" w:hAnsi="Arial"/>
          <w:sz w:val="17"/>
          <w:szCs w:val="17"/>
          <w:color w:val="auto"/>
        </w:rPr>
        <w:t>No further changes to the Agreement are made pursuant to this Amendment. The terms of Article 7 of the Agreement are hereby incorporated into this Amendment.</w:t>
      </w:r>
    </w:p>
    <w:p>
      <w:pPr>
        <w:sectPr>
          <w:pgSz w:w="11900" w:h="16838" w:orient="portrait"/>
          <w:cols w:equalWidth="0" w:num="1">
            <w:col w:w="10560"/>
          </w:cols>
          <w:pgMar w:left="680" w:top="121" w:right="659" w:bottom="1440" w:gutter="0" w:footer="0" w:header="0"/>
        </w:sectPr>
      </w:pPr>
    </w:p>
    <w:bookmarkStart w:id="272" w:name="page273"/>
    <w:bookmarkEnd w:id="272"/>
    <w:p>
      <w:pPr>
        <w:ind w:left="6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ONCOMED PHARMACEUTICALS, INC.</w:t>
      </w:r>
    </w:p>
    <w:p>
      <w:pPr>
        <w:spacing w:after="0" w:line="219" w:lineRule="exact"/>
        <w:rPr>
          <w:sz w:val="20"/>
          <w:szCs w:val="20"/>
          <w:color w:val="auto"/>
        </w:rPr>
      </w:pPr>
    </w:p>
    <w:p>
      <w:pPr>
        <w:ind w:left="6340"/>
        <w:spacing w:after="0"/>
        <w:tabs>
          <w:tab w:leader="none" w:pos="68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Alicia J.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15240</wp:posOffset>
            </wp:positionV>
            <wp:extent cx="232727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2327275" cy="8255"/>
                    </a:xfrm>
                    <a:prstGeom prst="rect">
                      <a:avLst/>
                    </a:prstGeom>
                    <a:noFill/>
                  </pic:spPr>
                </pic:pic>
              </a:graphicData>
            </a:graphic>
          </wp:anchor>
        </w:drawing>
      </w:r>
    </w:p>
    <w:p>
      <w:pPr>
        <w:spacing w:after="0" w:line="18"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Name: Alicia J. Hager, J.D., Ph.D.</w:t>
      </w:r>
    </w:p>
    <w:p>
      <w:pPr>
        <w:spacing w:after="0" w:line="24" w:lineRule="exact"/>
        <w:rPr>
          <w:sz w:val="20"/>
          <w:szCs w:val="20"/>
          <w:color w:val="auto"/>
        </w:rPr>
      </w:pPr>
    </w:p>
    <w:p>
      <w:pPr>
        <w:ind w:left="6340"/>
        <w:spacing w:after="0"/>
        <w:tabs>
          <w:tab w:leader="none" w:pos="6880" w:val="left"/>
        </w:tabs>
        <w:rPr>
          <w:sz w:val="20"/>
          <w:szCs w:val="20"/>
          <w:color w:val="auto"/>
        </w:rPr>
      </w:pPr>
      <w:r>
        <w:rPr>
          <w:rFonts w:ascii="Arial" w:cs="Arial" w:eastAsia="Arial" w:hAnsi="Arial"/>
          <w:sz w:val="17"/>
          <w:szCs w:val="17"/>
          <w:color w:val="auto"/>
        </w:rPr>
        <w:t>Title:</w:t>
        <w:tab/>
        <w:t>Senior Vice President and General Counsel</w:t>
      </w:r>
    </w:p>
    <w:p>
      <w:pPr>
        <w:spacing w:after="0" w:line="206"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COMPUTERSHARE INC.</w:t>
      </w:r>
    </w:p>
    <w:p>
      <w:pPr>
        <w:spacing w:after="0" w:line="219" w:lineRule="exact"/>
        <w:rPr>
          <w:sz w:val="20"/>
          <w:szCs w:val="20"/>
          <w:color w:val="auto"/>
        </w:rPr>
      </w:pPr>
    </w:p>
    <w:p>
      <w:pPr>
        <w:ind w:left="6340"/>
        <w:spacing w:after="0"/>
        <w:tabs>
          <w:tab w:leader="none" w:pos="68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Collin Ekeogu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15240</wp:posOffset>
            </wp:positionV>
            <wp:extent cx="232727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2327275" cy="8255"/>
                    </a:xfrm>
                    <a:prstGeom prst="rect">
                      <a:avLst/>
                    </a:prstGeom>
                    <a:noFill/>
                  </pic:spPr>
                </pic:pic>
              </a:graphicData>
            </a:graphic>
          </wp:anchor>
        </w:drawing>
      </w:r>
    </w:p>
    <w:p>
      <w:pPr>
        <w:spacing w:after="0" w:line="18"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Name: Collin Ekeogu</w:t>
      </w:r>
    </w:p>
    <w:p>
      <w:pPr>
        <w:spacing w:after="0" w:line="24" w:lineRule="exact"/>
        <w:rPr>
          <w:sz w:val="20"/>
          <w:szCs w:val="20"/>
          <w:color w:val="auto"/>
        </w:rPr>
      </w:pPr>
    </w:p>
    <w:p>
      <w:pPr>
        <w:ind w:left="6340"/>
        <w:spacing w:after="0"/>
        <w:tabs>
          <w:tab w:leader="none" w:pos="6880" w:val="left"/>
        </w:tabs>
        <w:rPr>
          <w:sz w:val="20"/>
          <w:szCs w:val="20"/>
          <w:color w:val="auto"/>
        </w:rPr>
      </w:pPr>
      <w:r>
        <w:rPr>
          <w:rFonts w:ascii="Arial" w:cs="Arial" w:eastAsia="Arial" w:hAnsi="Arial"/>
          <w:sz w:val="17"/>
          <w:szCs w:val="17"/>
          <w:color w:val="auto"/>
        </w:rPr>
        <w:t>Title:</w:t>
        <w:tab/>
        <w:t>Manager, Corporate Actions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OFFICER’S CERTIFICATION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accordance with Section 5.3 of the Contingent Value Rights Agreement, dated as of March 14, 2019, by and between OncoMed Pharmaceuticals, Inc. (the “Company”) and Computershare, Inc., (the “Rights Agent”), the undersigned officer of the Company hereby certifies to the Rights Agent that the foregoing Amendment No. 1 to the Rights Agreement is in compliance with the terms of Article 5 of the Rights Agreement and hereby directs the Rights Agent to execute the Amendment in accordance with Section 5.3 of the Rights Agreement.</w:t>
      </w:r>
    </w:p>
    <w:p>
      <w:pPr>
        <w:spacing w:after="0" w:line="202"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ONCOMED PHARMACEUTICALS, INC.</w:t>
      </w:r>
    </w:p>
    <w:p>
      <w:pPr>
        <w:spacing w:after="0" w:line="219" w:lineRule="exact"/>
        <w:rPr>
          <w:sz w:val="20"/>
          <w:szCs w:val="20"/>
          <w:color w:val="auto"/>
        </w:rPr>
      </w:pPr>
    </w:p>
    <w:p>
      <w:pPr>
        <w:ind w:left="6340"/>
        <w:spacing w:after="0"/>
        <w:tabs>
          <w:tab w:leader="none" w:pos="68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Alicia J.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15240</wp:posOffset>
            </wp:positionV>
            <wp:extent cx="232727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2327275" cy="8255"/>
                    </a:xfrm>
                    <a:prstGeom prst="rect">
                      <a:avLst/>
                    </a:prstGeom>
                    <a:noFill/>
                  </pic:spPr>
                </pic:pic>
              </a:graphicData>
            </a:graphic>
          </wp:anchor>
        </w:drawing>
      </w:r>
    </w:p>
    <w:p>
      <w:pPr>
        <w:spacing w:after="0" w:line="18"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Name: Alicia J. Hager, J.D., Ph.D.</w:t>
      </w:r>
    </w:p>
    <w:p>
      <w:pPr>
        <w:spacing w:after="0" w:line="24" w:lineRule="exact"/>
        <w:rPr>
          <w:sz w:val="20"/>
          <w:szCs w:val="20"/>
          <w:color w:val="auto"/>
        </w:rPr>
      </w:pPr>
    </w:p>
    <w:p>
      <w:pPr>
        <w:ind w:left="6340"/>
        <w:spacing w:after="0"/>
        <w:tabs>
          <w:tab w:leader="none" w:pos="6880" w:val="left"/>
        </w:tabs>
        <w:rPr>
          <w:sz w:val="20"/>
          <w:szCs w:val="20"/>
          <w:color w:val="auto"/>
        </w:rPr>
      </w:pPr>
      <w:r>
        <w:rPr>
          <w:rFonts w:ascii="Arial" w:cs="Arial" w:eastAsia="Arial" w:hAnsi="Arial"/>
          <w:sz w:val="17"/>
          <w:szCs w:val="17"/>
          <w:color w:val="auto"/>
        </w:rPr>
        <w:t>Title:</w:t>
        <w:tab/>
        <w:t>Senior Vice President and General Counsel</w:t>
      </w:r>
    </w:p>
    <w:p>
      <w:pPr>
        <w:sectPr>
          <w:pgSz w:w="11900" w:h="16838" w:orient="portrait"/>
          <w:cols w:equalWidth="0" w:num="1">
            <w:col w:w="10520"/>
          </w:cols>
          <w:pgMar w:left="680" w:top="270" w:right="699" w:bottom="1440" w:gutter="0" w:footer="0" w:header="0"/>
        </w:sectPr>
      </w:pPr>
    </w:p>
    <w:bookmarkStart w:id="273" w:name="page274"/>
    <w:bookmarkEnd w:id="273"/>
    <w:p>
      <w:pPr>
        <w:jc w:val="right"/>
        <w:spacing w:after="0"/>
        <w:rPr>
          <w:sz w:val="20"/>
          <w:szCs w:val="20"/>
          <w:color w:val="auto"/>
        </w:rPr>
      </w:pPr>
      <w:r>
        <w:rPr>
          <w:rFonts w:ascii="Arial" w:cs="Arial" w:eastAsia="Arial" w:hAnsi="Arial"/>
          <w:sz w:val="17"/>
          <w:szCs w:val="17"/>
          <w:b w:val="1"/>
          <w:bCs w:val="1"/>
          <w:color w:val="auto"/>
        </w:rPr>
        <w:t>Exhibit 4.19</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MEREO BIOPHARMA GROUP PLC</w:t>
      </w:r>
    </w:p>
    <w:p>
      <w:pPr>
        <w:spacing w:after="0" w:line="2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1 CAVENDISH PLACE</w:t>
      </w:r>
    </w:p>
    <w:p>
      <w:pPr>
        <w:spacing w:after="0" w:line="1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LONDON</w:t>
      </w:r>
    </w:p>
    <w:p>
      <w:pPr>
        <w:spacing w:after="0" w:line="12"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W1G 0QF</w:t>
      </w:r>
    </w:p>
    <w:p>
      <w:pPr>
        <w:spacing w:after="0" w:line="200"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PRIVATE AND CONFIDENTIAL</w:t>
      </w:r>
    </w:p>
    <w:p>
      <w:pPr>
        <w:spacing w:after="0" w:line="30" w:lineRule="exact"/>
        <w:rPr>
          <w:sz w:val="20"/>
          <w:szCs w:val="20"/>
          <w:color w:val="auto"/>
        </w:rPr>
      </w:pPr>
    </w:p>
    <w:p>
      <w:pPr>
        <w:ind w:lef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name</w:t>
      </w:r>
      <w:r>
        <w:rPr>
          <w:rFonts w:ascii="Arial" w:cs="Arial" w:eastAsia="Arial" w:hAnsi="Arial"/>
          <w:sz w:val="17"/>
          <w:szCs w:val="17"/>
          <w:color w:val="auto"/>
        </w:rPr>
        <w:t>]</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address</w:t>
      </w:r>
      <w:r>
        <w:rPr>
          <w:rFonts w:ascii="Arial" w:cs="Arial" w:eastAsia="Arial" w:hAnsi="Arial"/>
          <w:sz w:val="17"/>
          <w:szCs w:val="17"/>
          <w:color w:val="auto"/>
        </w:rPr>
        <w:t>]</w:t>
      </w:r>
    </w:p>
    <w:p>
      <w:pPr>
        <w:spacing w:after="0" w:line="219" w:lineRule="exact"/>
        <w:rPr>
          <w:sz w:val="20"/>
          <w:szCs w:val="20"/>
          <w:color w:val="auto"/>
        </w:rPr>
      </w:pPr>
    </w:p>
    <w:p>
      <w:pPr>
        <w:ind w:lef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date</w:t>
      </w:r>
      <w:r>
        <w:rPr>
          <w:rFonts w:ascii="Arial" w:cs="Arial" w:eastAsia="Arial" w:hAnsi="Arial"/>
          <w:sz w:val="17"/>
          <w:szCs w:val="17"/>
          <w:color w:val="auto"/>
        </w:rPr>
        <w:t>]</w:t>
      </w:r>
    </w:p>
    <w:p>
      <w:pPr>
        <w:spacing w:after="0" w:line="219" w:lineRule="exact"/>
        <w:rPr>
          <w:sz w:val="20"/>
          <w:szCs w:val="20"/>
          <w:color w:val="auto"/>
        </w:rPr>
      </w:pPr>
    </w:p>
    <w:p>
      <w:pPr>
        <w:ind w:left="9"/>
        <w:spacing w:after="0"/>
        <w:rPr>
          <w:sz w:val="20"/>
          <w:szCs w:val="20"/>
          <w:color w:val="auto"/>
        </w:rPr>
      </w:pPr>
      <w:r>
        <w:rPr>
          <w:rFonts w:ascii="Arial" w:cs="Arial" w:eastAsia="Arial" w:hAnsi="Arial"/>
          <w:sz w:val="17"/>
          <w:szCs w:val="17"/>
          <w:color w:val="auto"/>
        </w:rPr>
        <w:t>Dear [</w:t>
      </w:r>
      <w:r>
        <w:rPr>
          <w:rFonts w:ascii="Arial" w:cs="Arial" w:eastAsia="Arial" w:hAnsi="Arial"/>
          <w:sz w:val="17"/>
          <w:szCs w:val="17"/>
          <w:i w:val="1"/>
          <w:iCs w:val="1"/>
          <w:color w:val="auto"/>
        </w:rPr>
        <w:t>name</w:t>
      </w:r>
      <w:r>
        <w:rPr>
          <w:rFonts w:ascii="Arial" w:cs="Arial" w:eastAsia="Arial" w:hAnsi="Arial"/>
          <w:sz w:val="17"/>
          <w:szCs w:val="17"/>
          <w:color w:val="auto"/>
        </w:rPr>
        <w:t>],</w:t>
      </w:r>
    </w:p>
    <w:p>
      <w:pPr>
        <w:spacing w:after="0" w:line="31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Restated Letter of Appointment</w:t>
      </w:r>
    </w:p>
    <w:p>
      <w:pPr>
        <w:spacing w:after="0" w:line="115" w:lineRule="exact"/>
        <w:rPr>
          <w:sz w:val="20"/>
          <w:szCs w:val="20"/>
          <w:color w:val="auto"/>
        </w:rPr>
      </w:pPr>
    </w:p>
    <w:p>
      <w:pPr>
        <w:ind w:left="9" w:right="60"/>
        <w:spacing w:after="0" w:line="261" w:lineRule="auto"/>
        <w:rPr>
          <w:sz w:val="20"/>
          <w:szCs w:val="20"/>
          <w:color w:val="auto"/>
        </w:rPr>
      </w:pPr>
      <w:r>
        <w:rPr>
          <w:rFonts w:ascii="Arial" w:cs="Arial" w:eastAsia="Arial" w:hAnsi="Arial"/>
          <w:sz w:val="17"/>
          <w:szCs w:val="17"/>
          <w:color w:val="auto"/>
        </w:rPr>
        <w:t>Following the recommendation of the M&amp;A Committee, the board of directors (</w:t>
      </w:r>
      <w:r>
        <w:rPr>
          <w:rFonts w:ascii="Arial" w:cs="Arial" w:eastAsia="Arial" w:hAnsi="Arial"/>
          <w:sz w:val="17"/>
          <w:szCs w:val="17"/>
          <w:b w:val="1"/>
          <w:bCs w:val="1"/>
          <w:color w:val="auto"/>
        </w:rPr>
        <w:t>Board</w:t>
      </w:r>
      <w:r>
        <w:rPr>
          <w:rFonts w:ascii="Arial" w:cs="Arial" w:eastAsia="Arial" w:hAnsi="Arial"/>
          <w:sz w:val="17"/>
          <w:szCs w:val="17"/>
          <w:color w:val="auto"/>
        </w:rPr>
        <w:t>) of Mereo BioPharma Group plc (</w:t>
      </w:r>
      <w:r>
        <w:rPr>
          <w:rFonts w:ascii="Arial" w:cs="Arial" w:eastAsia="Arial" w:hAnsi="Arial"/>
          <w:sz w:val="17"/>
          <w:szCs w:val="17"/>
          <w:b w:val="1"/>
          <w:bCs w:val="1"/>
          <w:color w:val="auto"/>
        </w:rPr>
        <w:t>Company</w:t>
      </w:r>
      <w:r>
        <w:rPr>
          <w:rFonts w:ascii="Arial" w:cs="Arial" w:eastAsia="Arial" w:hAnsi="Arial"/>
          <w:sz w:val="17"/>
          <w:szCs w:val="17"/>
          <w:color w:val="auto"/>
        </w:rPr>
        <w:t>) is pleased to hear that you have accepted your restated letter of appointment as independent non-executive [director][chairman] effective as of, subject to and contingent upon, the closing of the transactions (</w:t>
      </w:r>
      <w:r>
        <w:rPr>
          <w:rFonts w:ascii="Arial" w:cs="Arial" w:eastAsia="Arial" w:hAnsi="Arial"/>
          <w:sz w:val="17"/>
          <w:szCs w:val="17"/>
          <w:b w:val="1"/>
          <w:bCs w:val="1"/>
          <w:color w:val="auto"/>
        </w:rPr>
        <w:t>Closing</w:t>
      </w:r>
      <w:r>
        <w:rPr>
          <w:rFonts w:ascii="Arial" w:cs="Arial" w:eastAsia="Arial" w:hAnsi="Arial"/>
          <w:sz w:val="17"/>
          <w:szCs w:val="17"/>
          <w:color w:val="auto"/>
        </w:rPr>
        <w:t>) contemplated by the agreement and plan of merger and reorganization between Mereo BioPharma Group plc and OncoMed Pharmaceuticals, Inc. (</w:t>
      </w:r>
      <w:r>
        <w:rPr>
          <w:rFonts w:ascii="Arial" w:cs="Arial" w:eastAsia="Arial" w:hAnsi="Arial"/>
          <w:sz w:val="17"/>
          <w:szCs w:val="17"/>
          <w:b w:val="1"/>
          <w:bCs w:val="1"/>
          <w:color w:val="auto"/>
        </w:rPr>
        <w:t>OncoMed</w:t>
      </w:r>
      <w:r>
        <w:rPr>
          <w:rFonts w:ascii="Arial" w:cs="Arial" w:eastAsia="Arial" w:hAnsi="Arial"/>
          <w:sz w:val="17"/>
          <w:szCs w:val="17"/>
          <w:color w:val="auto"/>
        </w:rPr>
        <w:t>). Your restated terms pursuant to this letter will become effective on the date of Closing of the proposed combination of the Company and OncoMed, and will supersede in its entirety the Letter of Appointment between you and the Company dated [</w:t>
      </w:r>
      <w:r>
        <w:rPr>
          <w:rFonts w:ascii="Arial" w:cs="Arial" w:eastAsia="Arial" w:hAnsi="Arial"/>
          <w:sz w:val="17"/>
          <w:szCs w:val="17"/>
          <w:i w:val="1"/>
          <w:iCs w:val="1"/>
          <w:color w:val="auto"/>
        </w:rPr>
        <w:t>date</w:t>
      </w:r>
      <w:r>
        <w:rPr>
          <w:rFonts w:ascii="Arial" w:cs="Arial" w:eastAsia="Arial" w:hAnsi="Arial"/>
          <w:sz w:val="17"/>
          <w:szCs w:val="17"/>
          <w:color w:val="auto"/>
        </w:rPr>
        <w:t>] (</w:t>
      </w:r>
      <w:r>
        <w:rPr>
          <w:rFonts w:ascii="Arial" w:cs="Arial" w:eastAsia="Arial" w:hAnsi="Arial"/>
          <w:sz w:val="17"/>
          <w:szCs w:val="17"/>
          <w:b w:val="1"/>
          <w:bCs w:val="1"/>
          <w:color w:val="auto"/>
        </w:rPr>
        <w:t>Existing Letter</w:t>
      </w:r>
      <w:r>
        <w:rPr>
          <w:rFonts w:ascii="Arial" w:cs="Arial" w:eastAsia="Arial" w:hAnsi="Arial"/>
          <w:sz w:val="17"/>
          <w:szCs w:val="17"/>
          <w:color w:val="auto"/>
        </w:rPr>
        <w:t>).</w:t>
      </w:r>
    </w:p>
    <w:p>
      <w:pPr>
        <w:spacing w:after="0" w:line="181" w:lineRule="exact"/>
        <w:rPr>
          <w:sz w:val="20"/>
          <w:szCs w:val="20"/>
          <w:color w:val="auto"/>
        </w:rPr>
      </w:pPr>
    </w:p>
    <w:p>
      <w:pPr>
        <w:ind w:left="9" w:right="80"/>
        <w:spacing w:after="0" w:line="269" w:lineRule="auto"/>
        <w:rPr>
          <w:sz w:val="20"/>
          <w:szCs w:val="20"/>
          <w:color w:val="auto"/>
        </w:rPr>
      </w:pPr>
      <w:r>
        <w:rPr>
          <w:rFonts w:ascii="Arial" w:cs="Arial" w:eastAsia="Arial" w:hAnsi="Arial"/>
          <w:sz w:val="17"/>
          <w:szCs w:val="17"/>
          <w:color w:val="auto"/>
        </w:rPr>
        <w:t>This letter sets out the main terms of your appointment from and after, and subject to and contingent upon, the Closing. By accepting [this appointment] [these terms], you agree that this letter is a contract for services and is not a contract of employment and you confirm that you are not subject to any restrictions which prevent you from holding office as a director.</w:t>
      </w:r>
    </w:p>
    <w:p>
      <w:pPr>
        <w:spacing w:after="0" w:line="308" w:lineRule="exact"/>
        <w:rPr>
          <w:sz w:val="20"/>
          <w:szCs w:val="20"/>
          <w:color w:val="auto"/>
        </w:rPr>
      </w:pPr>
    </w:p>
    <w:p>
      <w:pPr>
        <w:ind w:left="509" w:hanging="509"/>
        <w:spacing w:after="0"/>
        <w:tabs>
          <w:tab w:leader="none" w:pos="509"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F</w:t>
      </w:r>
      <w:r>
        <w:rPr>
          <w:rFonts w:ascii="Arial" w:cs="Arial" w:eastAsia="Arial" w:hAnsi="Arial"/>
          <w:sz w:val="14"/>
          <w:szCs w:val="14"/>
          <w:b w:val="1"/>
          <w:bCs w:val="1"/>
          <w:color w:val="auto"/>
        </w:rPr>
        <w:t>EES AND</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XPENSES</w:t>
      </w:r>
    </w:p>
    <w:p>
      <w:pPr>
        <w:spacing w:after="0" w:line="134" w:lineRule="exact"/>
        <w:rPr>
          <w:sz w:val="20"/>
          <w:szCs w:val="20"/>
          <w:color w:val="auto"/>
        </w:rPr>
      </w:pPr>
    </w:p>
    <w:p>
      <w:pPr>
        <w:ind w:left="509" w:right="40" w:hanging="517"/>
        <w:spacing w:after="0" w:line="269" w:lineRule="auto"/>
        <w:tabs>
          <w:tab w:leader="none" w:pos="489"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You shall be paid an annual fee of £[ ] gross, which shall be paid in equal instalments monthly in arrears through the payroll after deduction of any taxes and other amounts that are required by law. This fee covers all duties but does not include fees for service on any Board committee and any Boards of the Company’s subsidiaries which will be notified to you separately in writing.</w:t>
      </w:r>
    </w:p>
    <w:p>
      <w:pPr>
        <w:spacing w:after="0" w:line="75" w:lineRule="exact"/>
        <w:rPr>
          <w:sz w:val="20"/>
          <w:szCs w:val="20"/>
          <w:color w:val="auto"/>
        </w:rPr>
      </w:pPr>
    </w:p>
    <w:p>
      <w:pPr>
        <w:ind w:left="509" w:right="280" w:hanging="517"/>
        <w:spacing w:after="0" w:line="291" w:lineRule="auto"/>
        <w:tabs>
          <w:tab w:leader="none" w:pos="489"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 xml:space="preserve">The Company will reserve sufficient ordinary shares following issuance of the Company’s ordinary shares (the </w:t>
      </w:r>
      <w:r>
        <w:rPr>
          <w:rFonts w:ascii="Arial" w:cs="Arial" w:eastAsia="Arial" w:hAnsi="Arial"/>
          <w:sz w:val="17"/>
          <w:szCs w:val="17"/>
          <w:b w:val="1"/>
          <w:bCs w:val="1"/>
          <w:color w:val="auto"/>
        </w:rPr>
        <w:t>Option Pool</w:t>
      </w:r>
      <w:r>
        <w:rPr>
          <w:rFonts w:ascii="Arial" w:cs="Arial" w:eastAsia="Arial" w:hAnsi="Arial"/>
          <w:sz w:val="17"/>
          <w:szCs w:val="17"/>
          <w:color w:val="auto"/>
        </w:rPr>
        <w:t>)) pursuant to the terms of the Company’s equity incentive plan.</w:t>
      </w:r>
    </w:p>
    <w:p>
      <w:pPr>
        <w:spacing w:after="0" w:line="63" w:lineRule="exact"/>
        <w:rPr>
          <w:sz w:val="20"/>
          <w:szCs w:val="20"/>
          <w:color w:val="auto"/>
        </w:rPr>
      </w:pPr>
    </w:p>
    <w:p>
      <w:pPr>
        <w:ind w:left="509" w:right="260" w:hanging="517"/>
        <w:spacing w:after="0" w:line="284" w:lineRule="auto"/>
        <w:tabs>
          <w:tab w:leader="none" w:pos="489"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The Company shall reimburse you for all reasonable and properly documented expenses that you incur in performing the duties of your office including travel and sundry expenses, in accordance with the Company’s expense reimbursement policies.</w:t>
      </w:r>
    </w:p>
    <w:p>
      <w:pPr>
        <w:spacing w:after="0" w:line="68" w:lineRule="exact"/>
        <w:rPr>
          <w:sz w:val="20"/>
          <w:szCs w:val="20"/>
          <w:color w:val="auto"/>
        </w:rPr>
      </w:pPr>
    </w:p>
    <w:p>
      <w:pPr>
        <w:jc w:val="both"/>
        <w:ind w:left="509" w:right="600" w:hanging="517"/>
        <w:spacing w:after="0" w:line="293" w:lineRule="auto"/>
        <w:tabs>
          <w:tab w:leader="none" w:pos="489"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6"/>
          <w:szCs w:val="16"/>
          <w:color w:val="auto"/>
        </w:rPr>
        <w:t>On termination of your appointment, you shall only be entitled to such fees as may have accrued to the date of termination, together with reimbursement in the normal way of any expenses properly incurred before that date. In the interim period to Closing, the Company will reimburse you for all reasonable travel and sundry expenses that you incur in accordance with the Existing Letter.</w:t>
      </w:r>
    </w:p>
    <w:p>
      <w:pPr>
        <w:spacing w:after="0" w:line="90" w:lineRule="exact"/>
        <w:rPr>
          <w:sz w:val="20"/>
          <w:szCs w:val="20"/>
          <w:color w:val="auto"/>
        </w:rPr>
      </w:pPr>
    </w:p>
    <w:p>
      <w:pPr>
        <w:ind w:left="9"/>
        <w:spacing w:after="0"/>
        <w:rPr>
          <w:sz w:val="20"/>
          <w:szCs w:val="20"/>
          <w:color w:val="auto"/>
        </w:rPr>
      </w:pPr>
      <w:r>
        <w:rPr>
          <w:rFonts w:ascii="Arial" w:cs="Arial" w:eastAsia="Arial" w:hAnsi="Arial"/>
          <w:sz w:val="17"/>
          <w:szCs w:val="17"/>
          <w:color w:val="auto"/>
        </w:rPr>
        <w:t>1596/52156-002 CURRENT/106806709v3</w:t>
      </w:r>
    </w:p>
    <w:p>
      <w:pPr>
        <w:sectPr>
          <w:pgSz w:w="11900" w:h="16838" w:orient="portrait"/>
          <w:cols w:equalWidth="0" w:num="1">
            <w:col w:w="10569"/>
          </w:cols>
          <w:pgMar w:left="671" w:top="121" w:right="659" w:bottom="1440" w:gutter="0" w:footer="0" w:header="0"/>
        </w:sectPr>
      </w:pPr>
    </w:p>
    <w:bookmarkStart w:id="274" w:name="page275"/>
    <w:bookmarkEnd w:id="274"/>
    <w:p>
      <w:pPr>
        <w:ind w:left="509" w:hanging="509"/>
        <w:spacing w:after="0"/>
        <w:tabs>
          <w:tab w:leader="none" w:pos="509"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R</w:t>
      </w:r>
      <w:r>
        <w:rPr>
          <w:rFonts w:ascii="Arial" w:cs="Arial" w:eastAsia="Arial" w:hAnsi="Arial"/>
          <w:sz w:val="14"/>
          <w:szCs w:val="14"/>
          <w:b w:val="1"/>
          <w:bCs w:val="1"/>
          <w:color w:val="auto"/>
        </w:rPr>
        <w:t>OLE AND</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UTIES</w:t>
      </w:r>
    </w:p>
    <w:p>
      <w:pPr>
        <w:spacing w:after="0" w:line="134" w:lineRule="exact"/>
        <w:rPr>
          <w:sz w:val="20"/>
          <w:szCs w:val="20"/>
          <w:color w:val="auto"/>
        </w:rPr>
      </w:pPr>
    </w:p>
    <w:p>
      <w:pPr>
        <w:ind w:left="509" w:right="60" w:hanging="517"/>
        <w:spacing w:after="0" w:line="316" w:lineRule="auto"/>
        <w:tabs>
          <w:tab w:leader="none" w:pos="489"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color w:val="auto"/>
        </w:rPr>
        <w:t>The Board as a whole is collectively responsible for the success of the Company. Subject to and without limitation on the Company’s articles of incorporations, bylaws and any charter or similar authorization to the Board or any committee of the Board, the Board’s role is to seek to:</w:t>
      </w:r>
    </w:p>
    <w:p>
      <w:pPr>
        <w:spacing w:after="0" w:line="46" w:lineRule="exact"/>
        <w:rPr>
          <w:sz w:val="20"/>
          <w:szCs w:val="20"/>
          <w:color w:val="auto"/>
        </w:rPr>
      </w:pPr>
    </w:p>
    <w:p>
      <w:pPr>
        <w:ind w:left="1029" w:hanging="511"/>
        <w:spacing w:after="0"/>
        <w:tabs>
          <w:tab w:leader="none" w:pos="102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promote the long-term sustainable success of the Company, generating value for shareholders and contributing to wider society;</w:t>
      </w:r>
    </w:p>
    <w:p>
      <w:pPr>
        <w:spacing w:after="0" w:line="139" w:lineRule="exact"/>
        <w:rPr>
          <w:rFonts w:ascii="Arial" w:cs="Arial" w:eastAsia="Arial" w:hAnsi="Arial"/>
          <w:sz w:val="16"/>
          <w:szCs w:val="16"/>
          <w:color w:val="auto"/>
        </w:rPr>
      </w:pPr>
    </w:p>
    <w:p>
      <w:pPr>
        <w:ind w:left="1029" w:hanging="511"/>
        <w:spacing w:after="0"/>
        <w:tabs>
          <w:tab w:leader="none" w:pos="102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act with integrity;</w:t>
      </w:r>
    </w:p>
    <w:p>
      <w:pPr>
        <w:spacing w:after="0" w:line="128" w:lineRule="exact"/>
        <w:rPr>
          <w:rFonts w:ascii="Arial" w:cs="Arial" w:eastAsia="Arial" w:hAnsi="Arial"/>
          <w:sz w:val="17"/>
          <w:szCs w:val="17"/>
          <w:color w:val="auto"/>
        </w:rPr>
      </w:pPr>
    </w:p>
    <w:p>
      <w:pPr>
        <w:ind w:left="1029" w:hanging="511"/>
        <w:spacing w:after="0"/>
        <w:tabs>
          <w:tab w:leader="none" w:pos="1029"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ensure that the necessary resources are in place for the Company to meet its objectives, and measure performance against them;</w:t>
      </w:r>
    </w:p>
    <w:p>
      <w:pPr>
        <w:spacing w:after="0" w:line="139" w:lineRule="exact"/>
        <w:rPr>
          <w:rFonts w:ascii="Arial" w:cs="Arial" w:eastAsia="Arial" w:hAnsi="Arial"/>
          <w:sz w:val="16"/>
          <w:szCs w:val="16"/>
          <w:color w:val="auto"/>
        </w:rPr>
      </w:pPr>
    </w:p>
    <w:p>
      <w:pPr>
        <w:ind w:left="1029" w:hanging="511"/>
        <w:spacing w:after="0"/>
        <w:tabs>
          <w:tab w:leader="none" w:pos="102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establish a framework of prudent and effective controls, which enable risk to be assessed and managed; and</w:t>
      </w:r>
    </w:p>
    <w:p>
      <w:pPr>
        <w:spacing w:after="0" w:line="128" w:lineRule="exact"/>
        <w:rPr>
          <w:rFonts w:ascii="Arial" w:cs="Arial" w:eastAsia="Arial" w:hAnsi="Arial"/>
          <w:sz w:val="17"/>
          <w:szCs w:val="17"/>
          <w:color w:val="auto"/>
        </w:rPr>
      </w:pPr>
    </w:p>
    <w:p>
      <w:pPr>
        <w:ind w:left="1029" w:hanging="511"/>
        <w:spacing w:after="0"/>
        <w:tabs>
          <w:tab w:leader="none" w:pos="102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ensure that policies and practices are consistent with the Company’s values and support its long-term sustainable success.</w:t>
      </w:r>
    </w:p>
    <w:p>
      <w:pPr>
        <w:spacing w:after="0" w:line="128" w:lineRule="exact"/>
        <w:rPr>
          <w:sz w:val="20"/>
          <w:szCs w:val="20"/>
          <w:color w:val="auto"/>
        </w:rPr>
      </w:pPr>
    </w:p>
    <w:p>
      <w:pPr>
        <w:jc w:val="both"/>
        <w:ind w:left="509" w:right="240" w:hanging="517"/>
        <w:spacing w:after="0" w:line="269" w:lineRule="auto"/>
        <w:tabs>
          <w:tab w:leader="none" w:pos="489"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As a non-executive [director][chairman], you shall have the same general legal responsibilities to the Company as any other director. You are expected to perform your duties (whether statutory, fiduciary or common law) faithfully, diligently and to a standard commensurate with the functions of your role and your knowledge, skills and experience.</w:t>
      </w:r>
    </w:p>
    <w:p>
      <w:pPr>
        <w:spacing w:after="0" w:line="81" w:lineRule="exact"/>
        <w:rPr>
          <w:sz w:val="20"/>
          <w:szCs w:val="20"/>
          <w:color w:val="auto"/>
        </w:rPr>
      </w:pPr>
    </w:p>
    <w:p>
      <w:pPr>
        <w:ind w:left="509" w:hanging="517"/>
        <w:spacing w:after="0" w:line="261" w:lineRule="auto"/>
        <w:tabs>
          <w:tab w:leader="none" w:pos="489"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You shall exercise your powers in your role as a non-executive [director][chairman] having regard to relevant obligations under prevailing law and regulation, including the Companies Act 2006 and, where applicable, the Quoted Companies Alliance Corporate Governance Code and associated guidance or the AIM Rules for Companies, the UK Listing Authority’s Listing Rules, Prospectus Rules, and Disclosure Guidance and Transparency Rules, the Market Abuse Regulation (596/2014/EU), the rules of the Securities and Exchange Commission, the Nasdaq Stock Market and Delaware General Corporation Law.</w:t>
      </w:r>
    </w:p>
    <w:p>
      <w:pPr>
        <w:spacing w:after="0" w:line="90" w:lineRule="exact"/>
        <w:rPr>
          <w:sz w:val="20"/>
          <w:szCs w:val="20"/>
          <w:color w:val="auto"/>
        </w:rPr>
      </w:pPr>
    </w:p>
    <w:p>
      <w:pPr>
        <w:ind w:left="509" w:right="100" w:hanging="517"/>
        <w:spacing w:after="0" w:line="321" w:lineRule="auto"/>
        <w:tabs>
          <w:tab w:leader="none" w:pos="489"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You shall have particular regard to the general duties of directors in Part 10 of the Companies Act 2006, including the duty to promote the success of the Company under which all directors must act in the way they consider, in good faith, would be most likely to promote the success of the Company for the benefit of its members as a whole. In doing so, as a director, you must have regard (among other matters) to:</w:t>
      </w:r>
    </w:p>
    <w:p>
      <w:pPr>
        <w:spacing w:after="0" w:line="46" w:lineRule="exact"/>
        <w:rPr>
          <w:sz w:val="20"/>
          <w:szCs w:val="20"/>
          <w:color w:val="auto"/>
        </w:rPr>
      </w:pPr>
    </w:p>
    <w:p>
      <w:pPr>
        <w:ind w:left="1029" w:hanging="511"/>
        <w:spacing w:after="0"/>
        <w:tabs>
          <w:tab w:leader="none" w:pos="102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likely consequences of any decision in the long term;</w:t>
      </w:r>
    </w:p>
    <w:p>
      <w:pPr>
        <w:spacing w:after="0" w:line="128" w:lineRule="exact"/>
        <w:rPr>
          <w:rFonts w:ascii="Arial" w:cs="Arial" w:eastAsia="Arial" w:hAnsi="Arial"/>
          <w:sz w:val="17"/>
          <w:szCs w:val="17"/>
          <w:color w:val="auto"/>
        </w:rPr>
      </w:pPr>
    </w:p>
    <w:p>
      <w:pPr>
        <w:ind w:left="1029" w:hanging="511"/>
        <w:spacing w:after="0"/>
        <w:tabs>
          <w:tab w:leader="none" w:pos="102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interests of the Company’s employees;</w:t>
      </w:r>
    </w:p>
    <w:p>
      <w:pPr>
        <w:spacing w:after="0" w:line="128" w:lineRule="exact"/>
        <w:rPr>
          <w:rFonts w:ascii="Arial" w:cs="Arial" w:eastAsia="Arial" w:hAnsi="Arial"/>
          <w:sz w:val="17"/>
          <w:szCs w:val="17"/>
          <w:color w:val="auto"/>
        </w:rPr>
      </w:pPr>
    </w:p>
    <w:p>
      <w:pPr>
        <w:ind w:left="1029" w:hanging="511"/>
        <w:spacing w:after="0"/>
        <w:tabs>
          <w:tab w:leader="none" w:pos="102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need to foster the Company’s business relationships with suppliers, customers and others;</w:t>
      </w:r>
    </w:p>
    <w:p>
      <w:pPr>
        <w:spacing w:after="0" w:line="128" w:lineRule="exact"/>
        <w:rPr>
          <w:rFonts w:ascii="Arial" w:cs="Arial" w:eastAsia="Arial" w:hAnsi="Arial"/>
          <w:sz w:val="17"/>
          <w:szCs w:val="17"/>
          <w:color w:val="auto"/>
        </w:rPr>
      </w:pPr>
    </w:p>
    <w:p>
      <w:pPr>
        <w:ind w:left="1029" w:hanging="511"/>
        <w:spacing w:after="0"/>
        <w:tabs>
          <w:tab w:leader="none" w:pos="102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impact of the Company’s operations on the community and the environment;</w:t>
      </w:r>
    </w:p>
    <w:p>
      <w:pPr>
        <w:spacing w:after="0" w:line="128" w:lineRule="exact"/>
        <w:rPr>
          <w:rFonts w:ascii="Arial" w:cs="Arial" w:eastAsia="Arial" w:hAnsi="Arial"/>
          <w:sz w:val="17"/>
          <w:szCs w:val="17"/>
          <w:color w:val="auto"/>
        </w:rPr>
      </w:pPr>
    </w:p>
    <w:p>
      <w:pPr>
        <w:ind w:left="1029" w:hanging="511"/>
        <w:spacing w:after="0"/>
        <w:tabs>
          <w:tab w:leader="none" w:pos="102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desirability of the Company maintaining a reputation for high standards of business conduct; and</w:t>
      </w:r>
    </w:p>
    <w:p>
      <w:pPr>
        <w:spacing w:after="0" w:line="128" w:lineRule="exact"/>
        <w:rPr>
          <w:rFonts w:ascii="Arial" w:cs="Arial" w:eastAsia="Arial" w:hAnsi="Arial"/>
          <w:sz w:val="17"/>
          <w:szCs w:val="17"/>
          <w:color w:val="auto"/>
        </w:rPr>
      </w:pPr>
    </w:p>
    <w:p>
      <w:pPr>
        <w:ind w:left="1029" w:hanging="511"/>
        <w:spacing w:after="0"/>
        <w:tabs>
          <w:tab w:leader="none" w:pos="102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need to act fairly as between the members of the Company.</w:t>
      </w:r>
    </w:p>
    <w:p>
      <w:pPr>
        <w:spacing w:after="0" w:line="154" w:lineRule="exact"/>
        <w:rPr>
          <w:sz w:val="20"/>
          <w:szCs w:val="20"/>
          <w:color w:val="auto"/>
        </w:rPr>
      </w:pPr>
    </w:p>
    <w:p>
      <w:pPr>
        <w:jc w:val="center"/>
        <w:ind w:right="-4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509"/>
          </w:cols>
          <w:pgMar w:left="671" w:top="264" w:right="719" w:bottom="1440" w:gutter="0" w:footer="0" w:header="0"/>
        </w:sectPr>
      </w:pPr>
    </w:p>
    <w:bookmarkStart w:id="275" w:name="page276"/>
    <w:bookmarkEnd w:id="275"/>
    <w:p>
      <w:pPr>
        <w:ind w:left="509" w:hanging="517"/>
        <w:spacing w:after="0" w:line="264" w:lineRule="auto"/>
        <w:tabs>
          <w:tab w:leader="none" w:pos="489"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2.5</w:t>
      </w:r>
      <w:r>
        <w:rPr>
          <w:sz w:val="20"/>
          <w:szCs w:val="20"/>
          <w:color w:val="auto"/>
        </w:rPr>
        <w:tab/>
      </w:r>
      <w:r>
        <w:rPr>
          <w:rFonts w:ascii="Arial" w:cs="Arial" w:eastAsia="Arial" w:hAnsi="Arial"/>
          <w:sz w:val="17"/>
          <w:szCs w:val="17"/>
          <w:color w:val="auto"/>
        </w:rPr>
        <w:t>If and when applicable, you shall have particular regard to the Quoted Companies Alliance Corporate Governance Code and associated Guidance on Board Effectiveness in respect of the role of the Board and the role of the non-executive director, as well as the Nasdaq’s Listed Company Rules and the Delaware General Corporation Law provisions applicable to the board of directors and committees thereof and their respective members and advisers.</w:t>
      </w:r>
    </w:p>
    <w:p>
      <w:pPr>
        <w:spacing w:after="0" w:line="85" w:lineRule="exact"/>
        <w:rPr>
          <w:sz w:val="20"/>
          <w:szCs w:val="20"/>
          <w:color w:val="auto"/>
        </w:rPr>
      </w:pPr>
    </w:p>
    <w:p>
      <w:pPr>
        <w:ind w:left="509" w:right="420" w:hanging="509"/>
        <w:spacing w:after="0" w:line="284" w:lineRule="auto"/>
        <w:tabs>
          <w:tab w:leader="none" w:pos="22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[In addition to the general legal responsibilities to the Company as any other director, in your role as chairman, you should seek to fulfil the following list of responsibilities:</w:t>
      </w:r>
    </w:p>
    <w:p>
      <w:pPr>
        <w:spacing w:after="0" w:line="68" w:lineRule="exact"/>
        <w:rPr>
          <w:rFonts w:ascii="Arial" w:cs="Arial" w:eastAsia="Arial" w:hAnsi="Arial"/>
          <w:sz w:val="17"/>
          <w:szCs w:val="17"/>
          <w:color w:val="auto"/>
        </w:rPr>
      </w:pPr>
    </w:p>
    <w:p>
      <w:pPr>
        <w:ind w:left="1029" w:right="120" w:hanging="511"/>
        <w:spacing w:after="0" w:line="284" w:lineRule="auto"/>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chair the Board and general meetings of the Company and relevant committees of the Board and relevant Board and general meetings of any subsidiaries of the Company;</w:t>
      </w:r>
    </w:p>
    <w:p>
      <w:pPr>
        <w:spacing w:after="0" w:line="68" w:lineRule="exact"/>
        <w:rPr>
          <w:rFonts w:ascii="Arial" w:cs="Arial" w:eastAsia="Arial" w:hAnsi="Arial"/>
          <w:sz w:val="17"/>
          <w:szCs w:val="17"/>
          <w:color w:val="auto"/>
        </w:rPr>
      </w:pPr>
    </w:p>
    <w:p>
      <w:pPr>
        <w:ind w:left="1029" w:right="240" w:hanging="511"/>
        <w:spacing w:after="0" w:line="269" w:lineRule="auto"/>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in consultation with the Chief Executive, set the Board’s agenda (primarily focused on strategy, performance, value creation and accountability) and strive to ensure that issues relevant to these areas are reserved for board decision and adequate time is available for discussion of all agenda items, in particular strategic issues;</w:t>
      </w:r>
    </w:p>
    <w:p>
      <w:pPr>
        <w:spacing w:after="0" w:line="80" w:lineRule="exact"/>
        <w:rPr>
          <w:rFonts w:ascii="Arial" w:cs="Arial" w:eastAsia="Arial" w:hAnsi="Arial"/>
          <w:sz w:val="17"/>
          <w:szCs w:val="17"/>
          <w:color w:val="auto"/>
        </w:rPr>
      </w:pPr>
    </w:p>
    <w:p>
      <w:pPr>
        <w:ind w:left="1029" w:right="260" w:hanging="511"/>
        <w:spacing w:after="0" w:line="284" w:lineRule="auto"/>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create the conditions for overall board and individual director effectiveness, setting clear expectations concerning the style and tone of Board discussions;</w:t>
      </w:r>
    </w:p>
    <w:p>
      <w:pPr>
        <w:spacing w:after="0" w:line="68" w:lineRule="exact"/>
        <w:rPr>
          <w:rFonts w:ascii="Arial" w:cs="Arial" w:eastAsia="Arial" w:hAnsi="Arial"/>
          <w:sz w:val="17"/>
          <w:szCs w:val="17"/>
          <w:color w:val="auto"/>
        </w:rPr>
      </w:pPr>
    </w:p>
    <w:p>
      <w:pPr>
        <w:ind w:left="1029" w:right="40" w:hanging="511"/>
        <w:spacing w:after="0" w:line="284" w:lineRule="auto"/>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ensure that the Board determines the nature and extent of the significant risks that the Company is willing to embrace in implementing its strategy;</w:t>
      </w:r>
    </w:p>
    <w:p>
      <w:pPr>
        <w:spacing w:after="0" w:line="68" w:lineRule="exact"/>
        <w:rPr>
          <w:rFonts w:ascii="Arial" w:cs="Arial" w:eastAsia="Arial" w:hAnsi="Arial"/>
          <w:sz w:val="17"/>
          <w:szCs w:val="17"/>
          <w:color w:val="auto"/>
        </w:rPr>
      </w:pPr>
    </w:p>
    <w:p>
      <w:pPr>
        <w:ind w:left="1029" w:hanging="511"/>
        <w:spacing w:after="0"/>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ensure that the Board has effective decision-making processes and applies sufficient challenge to major proposals;</w:t>
      </w:r>
    </w:p>
    <w:p>
      <w:pPr>
        <w:spacing w:after="0" w:line="128" w:lineRule="exact"/>
        <w:rPr>
          <w:rFonts w:ascii="Arial" w:cs="Arial" w:eastAsia="Arial" w:hAnsi="Arial"/>
          <w:sz w:val="17"/>
          <w:szCs w:val="17"/>
          <w:color w:val="auto"/>
        </w:rPr>
      </w:pPr>
    </w:p>
    <w:p>
      <w:pPr>
        <w:ind w:left="1029" w:hanging="511"/>
        <w:spacing w:after="0"/>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ensure that all directors are aware of their responsibilities and are able to discharge their statutory duties;</w:t>
      </w:r>
    </w:p>
    <w:p>
      <w:pPr>
        <w:spacing w:after="0" w:line="128" w:lineRule="exact"/>
        <w:rPr>
          <w:rFonts w:ascii="Arial" w:cs="Arial" w:eastAsia="Arial" w:hAnsi="Arial"/>
          <w:sz w:val="17"/>
          <w:szCs w:val="17"/>
          <w:color w:val="auto"/>
        </w:rPr>
      </w:pPr>
    </w:p>
    <w:p>
      <w:pPr>
        <w:ind w:left="1029" w:right="100" w:hanging="511"/>
        <w:spacing w:after="0" w:line="284" w:lineRule="auto"/>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ensure that Board committees are properly structured with appropriate terms of reference and that committee membership is periodically refreshed;</w:t>
      </w:r>
    </w:p>
    <w:p>
      <w:pPr>
        <w:spacing w:after="0" w:line="68" w:lineRule="exact"/>
        <w:rPr>
          <w:rFonts w:ascii="Arial" w:cs="Arial" w:eastAsia="Arial" w:hAnsi="Arial"/>
          <w:sz w:val="17"/>
          <w:szCs w:val="17"/>
          <w:color w:val="auto"/>
        </w:rPr>
      </w:pPr>
    </w:p>
    <w:p>
      <w:pPr>
        <w:ind w:left="1029" w:hanging="511"/>
        <w:spacing w:after="0"/>
        <w:tabs>
          <w:tab w:leader="none" w:pos="1029" w:val="left"/>
        </w:tabs>
        <w:numPr>
          <w:ilvl w:val="1"/>
          <w:numId w:val="238"/>
        </w:numPr>
        <w:rPr>
          <w:rFonts w:ascii="Arial" w:cs="Arial" w:eastAsia="Arial" w:hAnsi="Arial"/>
          <w:sz w:val="16"/>
          <w:szCs w:val="16"/>
          <w:color w:val="auto"/>
        </w:rPr>
      </w:pPr>
      <w:r>
        <w:rPr>
          <w:rFonts w:ascii="Arial" w:cs="Arial" w:eastAsia="Arial" w:hAnsi="Arial"/>
          <w:sz w:val="16"/>
          <w:szCs w:val="16"/>
          <w:color w:val="auto"/>
        </w:rPr>
        <w:t>encourage all Board members to engage in Board and committee meetings by drawing on their skills, experience and knowledge;</w:t>
      </w:r>
    </w:p>
    <w:p>
      <w:pPr>
        <w:spacing w:after="0" w:line="139" w:lineRule="exact"/>
        <w:rPr>
          <w:rFonts w:ascii="Arial" w:cs="Arial" w:eastAsia="Arial" w:hAnsi="Arial"/>
          <w:sz w:val="16"/>
          <w:szCs w:val="16"/>
          <w:color w:val="auto"/>
        </w:rPr>
      </w:pPr>
    </w:p>
    <w:p>
      <w:pPr>
        <w:ind w:left="1029" w:right="100" w:hanging="511"/>
        <w:spacing w:after="0" w:line="284" w:lineRule="auto"/>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ensure that sufficient time is allowed at the board for committees to report on the nature and content of discussion, on recommendations, and on actions to be taken;</w:t>
      </w:r>
    </w:p>
    <w:p>
      <w:pPr>
        <w:spacing w:after="0" w:line="68" w:lineRule="exact"/>
        <w:rPr>
          <w:rFonts w:ascii="Arial" w:cs="Arial" w:eastAsia="Arial" w:hAnsi="Arial"/>
          <w:sz w:val="17"/>
          <w:szCs w:val="17"/>
          <w:color w:val="auto"/>
        </w:rPr>
      </w:pPr>
    </w:p>
    <w:p>
      <w:pPr>
        <w:ind w:left="1029" w:hanging="511"/>
        <w:spacing w:after="0"/>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hold meetings with the non-executive directors without the executives present to facilitate a full and frank airing of views;</w:t>
      </w:r>
    </w:p>
    <w:p>
      <w:pPr>
        <w:spacing w:after="0" w:line="128" w:lineRule="exact"/>
        <w:rPr>
          <w:rFonts w:ascii="Arial" w:cs="Arial" w:eastAsia="Arial" w:hAnsi="Arial"/>
          <w:sz w:val="17"/>
          <w:szCs w:val="17"/>
          <w:color w:val="auto"/>
        </w:rPr>
      </w:pPr>
    </w:p>
    <w:p>
      <w:pPr>
        <w:ind w:left="1029" w:right="420" w:hanging="511"/>
        <w:spacing w:after="0" w:line="284" w:lineRule="auto"/>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develop productive working relationships with all executive directors and the chief executive to gain a detailed understanding of the business;</w:t>
      </w:r>
    </w:p>
    <w:p>
      <w:pPr>
        <w:spacing w:after="0" w:line="68" w:lineRule="exact"/>
        <w:rPr>
          <w:rFonts w:ascii="Arial" w:cs="Arial" w:eastAsia="Arial" w:hAnsi="Arial"/>
          <w:sz w:val="17"/>
          <w:szCs w:val="17"/>
          <w:color w:val="auto"/>
        </w:rPr>
      </w:pPr>
    </w:p>
    <w:p>
      <w:pPr>
        <w:ind w:left="1029" w:right="60" w:hanging="511"/>
        <w:spacing w:after="0" w:line="284" w:lineRule="auto"/>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demonstrate ethical leadership and promote the highest standards of integrity, probity and corporate governance throughout the Company and particularly at Board level;</w:t>
      </w:r>
    </w:p>
    <w:p>
      <w:pPr>
        <w:spacing w:after="0" w:line="68" w:lineRule="exact"/>
        <w:rPr>
          <w:rFonts w:ascii="Arial" w:cs="Arial" w:eastAsia="Arial" w:hAnsi="Arial"/>
          <w:sz w:val="17"/>
          <w:szCs w:val="17"/>
          <w:color w:val="auto"/>
        </w:rPr>
      </w:pPr>
    </w:p>
    <w:p>
      <w:pPr>
        <w:ind w:left="1029" w:hanging="511"/>
        <w:spacing w:after="0"/>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ensure that the Board receives accurate, timely and clear information;</w:t>
      </w:r>
    </w:p>
    <w:p>
      <w:pPr>
        <w:spacing w:after="0" w:line="128" w:lineRule="exact"/>
        <w:rPr>
          <w:rFonts w:ascii="Arial" w:cs="Arial" w:eastAsia="Arial" w:hAnsi="Arial"/>
          <w:sz w:val="17"/>
          <w:szCs w:val="17"/>
          <w:color w:val="auto"/>
        </w:rPr>
      </w:pPr>
    </w:p>
    <w:p>
      <w:pPr>
        <w:ind w:left="1029" w:hanging="511"/>
        <w:spacing w:after="0"/>
        <w:tabs>
          <w:tab w:leader="none" w:pos="1029" w:val="left"/>
        </w:tabs>
        <w:numPr>
          <w:ilvl w:val="1"/>
          <w:numId w:val="238"/>
        </w:numPr>
        <w:rPr>
          <w:rFonts w:ascii="Arial" w:cs="Arial" w:eastAsia="Arial" w:hAnsi="Arial"/>
          <w:sz w:val="16"/>
          <w:szCs w:val="16"/>
          <w:color w:val="auto"/>
        </w:rPr>
      </w:pPr>
      <w:r>
        <w:rPr>
          <w:rFonts w:ascii="Arial" w:cs="Arial" w:eastAsia="Arial" w:hAnsi="Arial"/>
          <w:sz w:val="16"/>
          <w:szCs w:val="16"/>
          <w:color w:val="auto"/>
        </w:rPr>
        <w:t>demonstrate objective judgement and facilitate constructive board relations and the effective contribution of all non-executive directors;</w:t>
      </w:r>
    </w:p>
    <w:p>
      <w:pPr>
        <w:spacing w:after="0" w:line="139" w:lineRule="exact"/>
        <w:rPr>
          <w:rFonts w:ascii="Arial" w:cs="Arial" w:eastAsia="Arial" w:hAnsi="Arial"/>
          <w:sz w:val="16"/>
          <w:szCs w:val="16"/>
          <w:color w:val="auto"/>
        </w:rPr>
      </w:pPr>
    </w:p>
    <w:p>
      <w:pPr>
        <w:ind w:left="1029" w:hanging="511"/>
        <w:spacing w:after="0"/>
        <w:tabs>
          <w:tab w:leader="none" w:pos="102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ensure that the new directors participate in a full, formal and tailored induction programme;</w:t>
      </w:r>
    </w:p>
    <w:p>
      <w:pPr>
        <w:spacing w:after="0" w:line="15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569"/>
          </w:cols>
          <w:pgMar w:left="671" w:top="270" w:right="659" w:bottom="1440" w:gutter="0" w:footer="0" w:header="0"/>
        </w:sectPr>
      </w:pPr>
    </w:p>
    <w:bookmarkStart w:id="276" w:name="page277"/>
    <w:bookmarkEnd w:id="276"/>
    <w:p>
      <w:pPr>
        <w:ind w:left="1020" w:right="400" w:hanging="511"/>
        <w:spacing w:after="0" w:line="284" w:lineRule="auto"/>
        <w:tabs>
          <w:tab w:leader="none" w:pos="1020" w:val="left"/>
        </w:tabs>
        <w:numPr>
          <w:ilvl w:val="0"/>
          <w:numId w:val="2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ensure that the performance of the Board, its committees and individual directors is evaluated at least once a year, select an effective approach and act on the results of such evaluation; and</w:t>
      </w:r>
    </w:p>
    <w:p>
      <w:pPr>
        <w:spacing w:after="0" w:line="159" w:lineRule="exact"/>
        <w:rPr>
          <w:sz w:val="20"/>
          <w:szCs w:val="20"/>
          <w:color w:val="auto"/>
        </w:rPr>
      </w:pPr>
    </w:p>
    <w:p>
      <w:pPr>
        <w:ind w:right="740"/>
        <w:spacing w:after="0" w:line="284" w:lineRule="auto"/>
        <w:rPr>
          <w:sz w:val="20"/>
          <w:szCs w:val="20"/>
          <w:color w:val="auto"/>
        </w:rPr>
      </w:pPr>
      <w:r>
        <w:rPr>
          <w:rFonts w:ascii="Arial" w:cs="Arial" w:eastAsia="Arial" w:hAnsi="Arial"/>
          <w:sz w:val="17"/>
          <w:szCs w:val="17"/>
          <w:color w:val="auto"/>
        </w:rPr>
        <w:t>periodically review, with the company secretary, whether the Board and Company’s governance processes are fit for purpose and consider any improvements and initiatives that could strengthen the governance.]</w:t>
      </w:r>
    </w:p>
    <w:p>
      <w:pPr>
        <w:spacing w:after="0" w:line="68" w:lineRule="exact"/>
        <w:rPr>
          <w:sz w:val="20"/>
          <w:szCs w:val="20"/>
          <w:color w:val="auto"/>
        </w:rPr>
      </w:pPr>
    </w:p>
    <w:p>
      <w:pPr>
        <w:ind w:left="500" w:hanging="517"/>
        <w:spacing w:after="0" w:line="284" w:lineRule="auto"/>
        <w:tabs>
          <w:tab w:leader="none" w:pos="48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color w:val="auto"/>
        </w:rPr>
        <w:t>In your role as a non-executive director, it is expected that you shall also be required to fulfil the following list of responsibilities, in the course of your good faith performance of services to the Company and in the exercise of your reasonable business judgment:</w:t>
      </w:r>
    </w:p>
    <w:p>
      <w:pPr>
        <w:spacing w:after="0" w:line="68" w:lineRule="exact"/>
        <w:rPr>
          <w:sz w:val="20"/>
          <w:szCs w:val="20"/>
          <w:color w:val="auto"/>
        </w:rPr>
      </w:pPr>
    </w:p>
    <w:p>
      <w:pPr>
        <w:ind w:left="1020" w:right="300" w:hanging="511"/>
        <w:spacing w:after="0" w:line="284" w:lineRule="auto"/>
        <w:tabs>
          <w:tab w:leader="none" w:pos="10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provide constructive challenge, strategic guidance, offer specialist advice hold management to account and help develop proposals on strategy;</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monitor the performance of senior management in meeting agreed goals and objectives and monitor the reporting of performance;</w:t>
      </w:r>
    </w:p>
    <w:p>
      <w:pPr>
        <w:spacing w:after="0" w:line="139" w:lineRule="exact"/>
        <w:rPr>
          <w:rFonts w:ascii="Arial" w:cs="Arial" w:eastAsia="Arial" w:hAnsi="Arial"/>
          <w:sz w:val="16"/>
          <w:szCs w:val="16"/>
          <w:color w:val="auto"/>
        </w:rPr>
      </w:pPr>
    </w:p>
    <w:p>
      <w:pPr>
        <w:ind w:left="1020" w:right="520" w:hanging="511"/>
        <w:spacing w:after="0" w:line="284" w:lineRule="auto"/>
        <w:tabs>
          <w:tab w:leader="none" w:pos="10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satisfy yourself on the integrity of financial information and that financial controls and systems of risk management are robust and defensible;</w:t>
      </w:r>
    </w:p>
    <w:p>
      <w:pPr>
        <w:spacing w:after="0" w:line="68" w:lineRule="exact"/>
        <w:rPr>
          <w:rFonts w:ascii="Arial" w:cs="Arial" w:eastAsia="Arial" w:hAnsi="Arial"/>
          <w:sz w:val="17"/>
          <w:szCs w:val="17"/>
          <w:color w:val="auto"/>
        </w:rPr>
      </w:pPr>
    </w:p>
    <w:p>
      <w:pPr>
        <w:ind w:left="1020" w:right="160" w:hanging="511"/>
        <w:spacing w:after="0" w:line="284" w:lineRule="auto"/>
        <w:tabs>
          <w:tab w:leader="none" w:pos="10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be responsible for determining appropriate levels of remuneration of executive directors and have a prime role in appointing and, where necessary, removing senior management and in succession planning;</w:t>
      </w:r>
    </w:p>
    <w:p>
      <w:pPr>
        <w:spacing w:after="0" w:line="68" w:lineRule="exact"/>
        <w:rPr>
          <w:rFonts w:ascii="Arial" w:cs="Arial" w:eastAsia="Arial" w:hAnsi="Arial"/>
          <w:sz w:val="17"/>
          <w:szCs w:val="17"/>
          <w:color w:val="auto"/>
        </w:rPr>
      </w:pPr>
    </w:p>
    <w:p>
      <w:pPr>
        <w:ind w:left="1020" w:right="480" w:hanging="511"/>
        <w:spacing w:after="0" w:line="284" w:lineRule="auto"/>
        <w:tabs>
          <w:tab w:leader="none" w:pos="10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insist on receiving high-quality information sufficiently in advance of Board meetings and seek clarification or amplification if you consider the information provided is inadequate or lacks clarity;</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make sufficient time available to discharge your responsibilities effectively;</w:t>
      </w:r>
    </w:p>
    <w:p>
      <w:pPr>
        <w:spacing w:after="0" w:line="128" w:lineRule="exact"/>
        <w:rPr>
          <w:rFonts w:ascii="Arial" w:cs="Arial" w:eastAsia="Arial" w:hAnsi="Arial"/>
          <w:sz w:val="17"/>
          <w:szCs w:val="17"/>
          <w:color w:val="auto"/>
        </w:rPr>
      </w:pPr>
    </w:p>
    <w:p>
      <w:pPr>
        <w:ind w:left="1020" w:hanging="511"/>
        <w:spacing w:after="0"/>
        <w:tabs>
          <w:tab w:leader="none" w:pos="10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exercise relevant powers under, and abide by, the Articles;</w:t>
      </w:r>
    </w:p>
    <w:p>
      <w:pPr>
        <w:spacing w:after="0" w:line="128" w:lineRule="exact"/>
        <w:rPr>
          <w:rFonts w:ascii="Arial" w:cs="Arial" w:eastAsia="Arial" w:hAnsi="Arial"/>
          <w:sz w:val="17"/>
          <w:szCs w:val="17"/>
          <w:color w:val="auto"/>
        </w:rPr>
      </w:pPr>
    </w:p>
    <w:p>
      <w:pPr>
        <w:ind w:left="1020" w:right="120" w:hanging="511"/>
        <w:spacing w:after="0" w:line="269" w:lineRule="auto"/>
        <w:tabs>
          <w:tab w:leader="none" w:pos="10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80" w:lineRule="exact"/>
        <w:rPr>
          <w:rFonts w:ascii="Arial" w:cs="Arial" w:eastAsia="Arial" w:hAnsi="Arial"/>
          <w:sz w:val="17"/>
          <w:szCs w:val="17"/>
          <w:color w:val="auto"/>
        </w:rPr>
      </w:pPr>
    </w:p>
    <w:p>
      <w:pPr>
        <w:ind w:left="1020" w:right="60" w:hanging="511"/>
        <w:spacing w:after="0" w:line="284" w:lineRule="auto"/>
        <w:tabs>
          <w:tab w:leader="none" w:pos="10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immediately report your own wrongdoing or the wrongdoing or proposed wrongdoing of any employee or other director of the Company of which you become aware to the Chair of the Audit Committee;</w:t>
      </w:r>
    </w:p>
    <w:p>
      <w:pPr>
        <w:spacing w:after="0" w:line="68" w:lineRule="exact"/>
        <w:rPr>
          <w:rFonts w:ascii="Arial" w:cs="Arial" w:eastAsia="Arial" w:hAnsi="Arial"/>
          <w:sz w:val="17"/>
          <w:szCs w:val="17"/>
          <w:color w:val="auto"/>
        </w:rPr>
      </w:pPr>
    </w:p>
    <w:p>
      <w:pPr>
        <w:ind w:left="1020" w:hanging="511"/>
        <w:spacing w:after="0"/>
        <w:tabs>
          <w:tab w:leader="none" w:pos="10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exercise your powers as a director in accordance with the Company’s policies and procedures and the Bribery Act 2010; and</w:t>
      </w:r>
    </w:p>
    <w:p>
      <w:pPr>
        <w:spacing w:after="0" w:line="128" w:lineRule="exact"/>
        <w:rPr>
          <w:rFonts w:ascii="Arial" w:cs="Arial" w:eastAsia="Arial" w:hAnsi="Arial"/>
          <w:sz w:val="17"/>
          <w:szCs w:val="17"/>
          <w:color w:val="auto"/>
        </w:rPr>
      </w:pPr>
    </w:p>
    <w:p>
      <w:pPr>
        <w:ind w:left="1020" w:hanging="511"/>
        <w:spacing w:after="0"/>
        <w:tabs>
          <w:tab w:leader="none" w:pos="10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not do anything that would cause you to be disqualified from acting as a director.</w:t>
      </w:r>
    </w:p>
    <w:p>
      <w:pPr>
        <w:spacing w:after="0" w:line="128" w:lineRule="exact"/>
        <w:rPr>
          <w:sz w:val="20"/>
          <w:szCs w:val="20"/>
          <w:color w:val="auto"/>
        </w:rPr>
      </w:pPr>
    </w:p>
    <w:p>
      <w:pPr>
        <w:ind w:left="500" w:right="80" w:hanging="517"/>
        <w:spacing w:after="0" w:line="284" w:lineRule="auto"/>
        <w:tabs>
          <w:tab w:leader="none" w:pos="48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color w:val="auto"/>
        </w:rPr>
        <w:t>Unless the Board specifically authorises you to do so, you shall not enter into any legal or other commitment or contract on behalf of or with the Company.</w:t>
      </w:r>
    </w:p>
    <w:p>
      <w:pPr>
        <w:spacing w:after="0" w:line="68" w:lineRule="exact"/>
        <w:rPr>
          <w:sz w:val="20"/>
          <w:szCs w:val="20"/>
          <w:color w:val="auto"/>
        </w:rPr>
      </w:pPr>
    </w:p>
    <w:p>
      <w:pPr>
        <w:ind w:left="500" w:right="200" w:hanging="517"/>
        <w:spacing w:after="0" w:line="284" w:lineRule="auto"/>
        <w:tabs>
          <w:tab w:leader="none" w:pos="48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color w:val="auto"/>
        </w:rPr>
        <w:t>You shall be entitled to request all relevant information about the Company’s affairs as is reasonably necessary to enable you to discharge your duties.</w:t>
      </w:r>
    </w:p>
    <w:p>
      <w:pPr>
        <w:spacing w:after="0" w:line="68" w:lineRule="exact"/>
        <w:rPr>
          <w:sz w:val="20"/>
          <w:szCs w:val="20"/>
          <w:color w:val="auto"/>
        </w:rPr>
      </w:pPr>
    </w:p>
    <w:p>
      <w:pPr>
        <w:ind w:left="500" w:right="160" w:hanging="517"/>
        <w:spacing w:after="0" w:line="269" w:lineRule="auto"/>
        <w:tabs>
          <w:tab w:leader="none" w:pos="48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7"/>
          <w:szCs w:val="17"/>
          <w:color w:val="auto"/>
        </w:rPr>
        <w:t>If you are required to register yourself or your personal service company with HM Revenue and Customs as a “Trust or Company Service Provider” under the Money Laundering Regulations 2007, you will be responsible for effecting such registration and for compliance with other requirements of the Money Laundering Regulations 2007 and applicable legislation.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60"/>
          </w:cols>
          <w:pgMar w:left="680" w:top="269" w:right="659" w:bottom="1440" w:gutter="0" w:footer="0" w:header="0"/>
        </w:sectPr>
      </w:pPr>
    </w:p>
    <w:bookmarkStart w:id="277" w:name="page278"/>
    <w:bookmarkEnd w:id="277"/>
    <w:p>
      <w:pPr>
        <w:ind w:left="509" w:right="60" w:hanging="517"/>
        <w:spacing w:after="0" w:line="264" w:lineRule="auto"/>
        <w:tabs>
          <w:tab w:leader="none" w:pos="489"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2.10</w:t>
        <w:tab/>
        <w:t>Anything to the contrary in this Article 2 to the contrary, you acknowledge and agree that in your capacity as director, you will have such duties, authorities and responsibilities and other obligations as provided under the Company’s articles of incorporation and bylaws and charter documents, in each case, as in effect from time to time, and you will act in compliance with the applicable rules and regulations promulgated by the SEC and Nasdaq.</w:t>
      </w:r>
    </w:p>
    <w:p>
      <w:pPr>
        <w:spacing w:after="0" w:line="85" w:lineRule="exact"/>
        <w:rPr>
          <w:sz w:val="20"/>
          <w:szCs w:val="20"/>
          <w:color w:val="auto"/>
        </w:rPr>
      </w:pPr>
    </w:p>
    <w:p>
      <w:pPr>
        <w:ind w:left="509" w:right="240" w:hanging="517"/>
        <w:spacing w:after="0" w:line="284" w:lineRule="auto"/>
        <w:tabs>
          <w:tab w:leader="none" w:pos="489" w:val="left"/>
        </w:tabs>
        <w:rPr>
          <w:sz w:val="20"/>
          <w:szCs w:val="20"/>
          <w:color w:val="auto"/>
        </w:rPr>
      </w:pPr>
      <w:r>
        <w:rPr>
          <w:rFonts w:ascii="Arial" w:cs="Arial" w:eastAsia="Arial" w:hAnsi="Arial"/>
          <w:sz w:val="17"/>
          <w:szCs w:val="17"/>
          <w:color w:val="auto"/>
        </w:rPr>
        <w:t>2.11</w:t>
        <w:tab/>
        <w:t>You acknowledge and agree that in your capacity as director, you are acting solely as an independent contractor and not as an employee, legal representative or agent of the Company.</w:t>
      </w:r>
    </w:p>
    <w:p>
      <w:pPr>
        <w:spacing w:after="0" w:line="295" w:lineRule="exact"/>
        <w:rPr>
          <w:sz w:val="20"/>
          <w:szCs w:val="20"/>
          <w:color w:val="auto"/>
        </w:rPr>
      </w:pPr>
    </w:p>
    <w:p>
      <w:pPr>
        <w:ind w:left="509" w:hanging="509"/>
        <w:spacing w:after="0"/>
        <w:tabs>
          <w:tab w:leader="none" w:pos="509"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ONFIDENTIALITY</w:t>
      </w:r>
    </w:p>
    <w:p>
      <w:pPr>
        <w:spacing w:after="0" w:line="134" w:lineRule="exact"/>
        <w:rPr>
          <w:sz w:val="20"/>
          <w:szCs w:val="20"/>
          <w:color w:val="auto"/>
        </w:rPr>
      </w:pPr>
    </w:p>
    <w:p>
      <w:pPr>
        <w:ind w:left="509" w:hanging="517"/>
        <w:spacing w:after="0" w:line="285" w:lineRule="auto"/>
        <w:tabs>
          <w:tab w:leader="none" w:pos="489"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color w:val="auto"/>
        </w:rPr>
        <w:t>You acknowledge that all information acquired during your appointment is confidential to the Company and should not be released, communicated or disclosed to third parties or used for any reason other than in the interests of the Company, either during your appointment or following termination (by whatever means), without prior clearance from the Board (or a committee thereof). This restriction shall cease to apply to any confidential information which may (other than by reason of your breach) become available to the public generally.</w:t>
      </w:r>
    </w:p>
    <w:p>
      <w:pPr>
        <w:spacing w:after="0" w:line="71" w:lineRule="exact"/>
        <w:rPr>
          <w:sz w:val="20"/>
          <w:szCs w:val="20"/>
          <w:color w:val="auto"/>
        </w:rPr>
      </w:pPr>
    </w:p>
    <w:p>
      <w:pPr>
        <w:ind w:left="509" w:right="660" w:hanging="517"/>
        <w:spacing w:after="0" w:line="284" w:lineRule="auto"/>
        <w:tabs>
          <w:tab w:leader="none" w:pos="489"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You acknowledge the need to hold and retain Company information (in whatever format you may receive it) under appropriately secure conditions.</w:t>
      </w:r>
    </w:p>
    <w:p>
      <w:pPr>
        <w:spacing w:after="0" w:line="68" w:lineRule="exact"/>
        <w:rPr>
          <w:sz w:val="20"/>
          <w:szCs w:val="20"/>
          <w:color w:val="auto"/>
        </w:rPr>
      </w:pPr>
    </w:p>
    <w:p>
      <w:pPr>
        <w:jc w:val="both"/>
        <w:ind w:left="509" w:right="40" w:hanging="517"/>
        <w:spacing w:after="0" w:line="269" w:lineRule="auto"/>
        <w:tabs>
          <w:tab w:leader="none" w:pos="489"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Nothing in this paragraph 3 shall prevent you from disclosing information which you are entitled to disclose under the Public Interest Disclosure Act 1998, provided that the disclosure is made in accordance with the provisions of that Act and you have complied with the Company’s policy from time to time in force regarding such disclosures.</w:t>
      </w:r>
    </w:p>
    <w:p>
      <w:pPr>
        <w:spacing w:after="0" w:line="81" w:lineRule="exact"/>
        <w:rPr>
          <w:sz w:val="20"/>
          <w:szCs w:val="20"/>
          <w:color w:val="auto"/>
        </w:rPr>
      </w:pPr>
    </w:p>
    <w:p>
      <w:pPr>
        <w:ind w:left="509" w:hanging="517"/>
        <w:spacing w:after="0" w:line="261" w:lineRule="auto"/>
        <w:tabs>
          <w:tab w:leader="none" w:pos="489"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Nothing in this Agreement shall be construed to prohibit you from reporting or disclosing information or reporting possible violations of federal or state law or regulations to any governmental agency or self-regulatory organization with oversight responsibility for the Company, or making other disclosures that are protected under whistleblower or other provisions of any applicable federal or state law or regulations (it being understood that prior authorization of the Company is not required to make any such reports or disclosures, and you are not required to notify the Company that you have made such reports or disclosures).</w:t>
      </w:r>
    </w:p>
    <w:p>
      <w:pPr>
        <w:spacing w:after="0" w:line="317" w:lineRule="exact"/>
        <w:rPr>
          <w:sz w:val="20"/>
          <w:szCs w:val="20"/>
          <w:color w:val="auto"/>
        </w:rPr>
      </w:pPr>
    </w:p>
    <w:p>
      <w:pPr>
        <w:ind w:left="509" w:hanging="509"/>
        <w:spacing w:after="0"/>
        <w:tabs>
          <w:tab w:leader="none" w:pos="509"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IME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OMMITMENT</w:t>
      </w:r>
    </w:p>
    <w:p>
      <w:pPr>
        <w:spacing w:after="0" w:line="134" w:lineRule="exact"/>
        <w:rPr>
          <w:sz w:val="20"/>
          <w:szCs w:val="20"/>
          <w:color w:val="auto"/>
        </w:rPr>
      </w:pPr>
    </w:p>
    <w:p>
      <w:pPr>
        <w:ind w:left="509" w:right="360" w:hanging="517"/>
        <w:spacing w:after="0" w:line="321" w:lineRule="auto"/>
        <w:tabs>
          <w:tab w:leader="none" w:pos="489"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You will be expected to devote such time as is necessary for the proper performance of your duties. This will include attendance at Board meetings, Board committee meetings, the AGM, meetings with the other non-executive directors, meetings with shareholders, and meetings forming part of the Board evaluation process. In addition, you will be required to consider all relevant papers before each meeting.</w:t>
      </w:r>
    </w:p>
    <w:p>
      <w:pPr>
        <w:spacing w:after="0" w:line="46" w:lineRule="exact"/>
        <w:rPr>
          <w:sz w:val="20"/>
          <w:szCs w:val="20"/>
          <w:color w:val="auto"/>
        </w:rPr>
      </w:pPr>
    </w:p>
    <w:p>
      <w:pPr>
        <w:ind w:left="509" w:hanging="517"/>
        <w:spacing w:after="0" w:line="293" w:lineRule="auto"/>
        <w:tabs>
          <w:tab w:leader="none" w:pos="489"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6"/>
          <w:szCs w:val="16"/>
          <w:color w:val="auto"/>
        </w:rPr>
        <w:t>The nature of the role makes it impossible to be specific about the maximum time commitment. You may be required to devote additional time to the Company in respect of preparation time and ad hoc matters which may arise, and particularly when the Company is undergoing a period of increased activity. At certain times it may be necessary to convene additional Board, committee or shareholder meetings.</w:t>
      </w:r>
    </w:p>
    <w:p>
      <w:pPr>
        <w:spacing w:after="0" w:line="64" w:lineRule="exact"/>
        <w:rPr>
          <w:sz w:val="20"/>
          <w:szCs w:val="20"/>
          <w:color w:val="auto"/>
        </w:rPr>
      </w:pPr>
    </w:p>
    <w:p>
      <w:pPr>
        <w:jc w:val="both"/>
        <w:ind w:left="509" w:right="200" w:hanging="517"/>
        <w:spacing w:after="0" w:line="293" w:lineRule="auto"/>
        <w:tabs>
          <w:tab w:leader="none" w:pos="489"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color w:val="auto"/>
        </w:rPr>
        <w:t>The overall time commitment stated in paragraph 4.1 will increase if you become a committee member or chair, or if you are given additional responsibilities, such as being appointed as non-executive director on the boards of any of the Company’s subsidiaries. Details of the expected increase in time commitment will be covered in any relevant communication confirming the additional responsibility.</w:t>
      </w:r>
    </w:p>
    <w:p>
      <w:pPr>
        <w:spacing w:after="0" w:line="90"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49"/>
          </w:cols>
          <w:pgMar w:left="671" w:top="269" w:right="679" w:bottom="1440" w:gutter="0" w:footer="0" w:header="0"/>
        </w:sectPr>
      </w:pPr>
    </w:p>
    <w:bookmarkStart w:id="278" w:name="page279"/>
    <w:bookmarkEnd w:id="278"/>
    <w:p>
      <w:pPr>
        <w:ind w:left="509" w:right="260" w:hanging="517"/>
        <w:spacing w:after="0" w:line="264" w:lineRule="auto"/>
        <w:tabs>
          <w:tab w:leader="none" w:pos="489"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4.4</w:t>
      </w:r>
      <w:r>
        <w:rPr>
          <w:sz w:val="20"/>
          <w:szCs w:val="20"/>
          <w:color w:val="auto"/>
        </w:rPr>
        <w:tab/>
      </w:r>
      <w:r>
        <w:rPr>
          <w:rFonts w:ascii="Arial" w:cs="Arial" w:eastAsia="Arial" w:hAnsi="Arial"/>
          <w:sz w:val="17"/>
          <w:szCs w:val="17"/>
          <w:color w:val="auto"/>
        </w:rPr>
        <w:t>By accepting this appointment, you confirm that, taking into account all of your other commitments, you are able to allocate sufficient time to the Company to discharge your responsibilities effectively. You should obtain the agreement of [the Chairman and] the Nomination and Corporate Governance Committee before accepting additional commitments that might affect the time you are able to devote to your role as a non-executive [director][chairman] of the Company.</w:t>
      </w:r>
    </w:p>
    <w:p>
      <w:pPr>
        <w:spacing w:after="0" w:line="312" w:lineRule="exact"/>
        <w:rPr>
          <w:sz w:val="20"/>
          <w:szCs w:val="20"/>
          <w:color w:val="auto"/>
        </w:rPr>
      </w:pPr>
    </w:p>
    <w:p>
      <w:pPr>
        <w:ind w:left="509" w:hanging="509"/>
        <w:spacing w:after="0"/>
        <w:tabs>
          <w:tab w:leader="none" w:pos="509"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PPOINTMENT</w:t>
      </w:r>
    </w:p>
    <w:p>
      <w:pPr>
        <w:spacing w:after="0" w:line="134" w:lineRule="exact"/>
        <w:rPr>
          <w:sz w:val="20"/>
          <w:szCs w:val="20"/>
          <w:color w:val="auto"/>
        </w:rPr>
      </w:pPr>
    </w:p>
    <w:p>
      <w:pPr>
        <w:ind w:left="509" w:right="480" w:hanging="517"/>
        <w:spacing w:after="0" w:line="316" w:lineRule="auto"/>
        <w:tabs>
          <w:tab w:leader="none" w:pos="489"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color w:val="auto"/>
        </w:rPr>
        <w:t>Subject to the provisions of this letter, your appointment shall be for a term of three years commencing on the date of the Company’s 2018 annual general meeting (</w:t>
      </w:r>
      <w:r>
        <w:rPr>
          <w:rFonts w:ascii="Arial" w:cs="Arial" w:eastAsia="Arial" w:hAnsi="Arial"/>
          <w:sz w:val="16"/>
          <w:szCs w:val="16"/>
          <w:b w:val="1"/>
          <w:bCs w:val="1"/>
          <w:color w:val="auto"/>
        </w:rPr>
        <w:t>AGM</w:t>
      </w:r>
      <w:r>
        <w:rPr>
          <w:rFonts w:ascii="Arial" w:cs="Arial" w:eastAsia="Arial" w:hAnsi="Arial"/>
          <w:sz w:val="16"/>
          <w:szCs w:val="16"/>
          <w:color w:val="auto"/>
        </w:rPr>
        <w:t>) unless terminated earlier by either party giving to the other three months’ prior written notice.</w:t>
      </w:r>
    </w:p>
    <w:p>
      <w:pPr>
        <w:spacing w:after="0" w:line="40" w:lineRule="exact"/>
        <w:rPr>
          <w:sz w:val="20"/>
          <w:szCs w:val="20"/>
          <w:color w:val="auto"/>
        </w:rPr>
      </w:pPr>
    </w:p>
    <w:p>
      <w:pPr>
        <w:ind w:left="509" w:right="340" w:hanging="517"/>
        <w:spacing w:after="0" w:line="291" w:lineRule="auto"/>
        <w:tabs>
          <w:tab w:leader="none" w:pos="489"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Your appointment is subject to the Company’s articles of association, as amended from time to time (</w:t>
      </w:r>
      <w:r>
        <w:rPr>
          <w:rFonts w:ascii="Arial" w:cs="Arial" w:eastAsia="Arial" w:hAnsi="Arial"/>
          <w:sz w:val="17"/>
          <w:szCs w:val="17"/>
          <w:b w:val="1"/>
          <w:bCs w:val="1"/>
          <w:color w:val="auto"/>
        </w:rPr>
        <w:t>Articles</w:t>
      </w:r>
      <w:r>
        <w:rPr>
          <w:rFonts w:ascii="Arial" w:cs="Arial" w:eastAsia="Arial" w:hAnsi="Arial"/>
          <w:sz w:val="17"/>
          <w:szCs w:val="17"/>
          <w:color w:val="auto"/>
        </w:rPr>
        <w:t>). Nothing in this letter shall be taken to exclude or vary the terms of the Articles as they apply to you as a director of the Company.</w:t>
      </w:r>
    </w:p>
    <w:p>
      <w:pPr>
        <w:spacing w:after="0" w:line="63" w:lineRule="exact"/>
        <w:rPr>
          <w:sz w:val="20"/>
          <w:szCs w:val="20"/>
          <w:color w:val="auto"/>
        </w:rPr>
      </w:pPr>
    </w:p>
    <w:p>
      <w:pPr>
        <w:jc w:val="both"/>
        <w:ind w:left="509" w:right="300" w:hanging="517"/>
        <w:spacing w:after="0" w:line="285" w:lineRule="auto"/>
        <w:tabs>
          <w:tab w:leader="none" w:pos="489"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6"/>
          <w:szCs w:val="16"/>
          <w:color w:val="auto"/>
        </w:rPr>
        <w:t>Continuation of your appointment is contingent on your continued satisfactory performance and any relevant statutory provisions relating to removal of a director. If the shareholders do not re-elect you as a director, or you are retired from office under the Articles, your appointment shall terminate automatically, with immediate effect and without compensation, other than earned but unpaid fees and unreimbursed business expense reasonably incurred, and except as otherwise provided in any equity compensation plan or award.</w:t>
      </w:r>
    </w:p>
    <w:p>
      <w:pPr>
        <w:spacing w:after="0" w:line="71" w:lineRule="exact"/>
        <w:rPr>
          <w:sz w:val="20"/>
          <w:szCs w:val="20"/>
          <w:color w:val="auto"/>
        </w:rPr>
      </w:pPr>
    </w:p>
    <w:p>
      <w:pPr>
        <w:ind w:left="509" w:right="180" w:hanging="517"/>
        <w:spacing w:after="0" w:line="284" w:lineRule="auto"/>
        <w:tabs>
          <w:tab w:leader="none" w:pos="489"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color w:val="auto"/>
        </w:rPr>
        <w:t>Any term renewal is subject to Board review and AGM re-election. Notwithstanding any mutual expectation, there is no right to re-nomination by the Board, either annually or after any three-year period.</w:t>
      </w:r>
    </w:p>
    <w:p>
      <w:pPr>
        <w:spacing w:after="0" w:line="68" w:lineRule="exact"/>
        <w:rPr>
          <w:sz w:val="20"/>
          <w:szCs w:val="20"/>
          <w:color w:val="auto"/>
        </w:rPr>
      </w:pPr>
    </w:p>
    <w:p>
      <w:pPr>
        <w:ind w:left="509" w:hanging="517"/>
        <w:spacing w:after="0" w:line="310" w:lineRule="auto"/>
        <w:tabs>
          <w:tab w:leader="none" w:pos="489"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5"/>
          <w:szCs w:val="15"/>
          <w:color w:val="auto"/>
        </w:rPr>
        <w:t>You may be required to serve on one or more Board committees. You will be provided with the relevant terms of reference on your appointment to such a committee. You may be required to serve as a non-executive director on the board of any of the Company’s subsidiaries and will be provided with the relevant terms of reference on your appointment to such board(s). Except as otherwise determined by the Board or an authorized Board committee, you will not receive any additional compensation for service on any such Board committee or any subsidiary board.</w:t>
      </w:r>
    </w:p>
    <w:p>
      <w:pPr>
        <w:spacing w:after="0" w:line="54" w:lineRule="exact"/>
        <w:rPr>
          <w:sz w:val="20"/>
          <w:szCs w:val="20"/>
          <w:color w:val="auto"/>
        </w:rPr>
      </w:pPr>
    </w:p>
    <w:p>
      <w:pPr>
        <w:ind w:left="9"/>
        <w:spacing w:after="0"/>
        <w:tabs>
          <w:tab w:leader="none" w:pos="489"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5"/>
          <w:szCs w:val="15"/>
          <w:color w:val="auto"/>
        </w:rPr>
        <w:t>Notwithstanding paragraph 5.1 to paragraph 5.5, the Company may terminate your appointment with immediate effect if you have:</w:t>
      </w:r>
    </w:p>
    <w:p>
      <w:pPr>
        <w:spacing w:after="0" w:line="128" w:lineRule="exact"/>
        <w:rPr>
          <w:sz w:val="20"/>
          <w:szCs w:val="20"/>
          <w:color w:val="auto"/>
        </w:rPr>
      </w:pPr>
    </w:p>
    <w:p>
      <w:pPr>
        <w:ind w:left="1029" w:hanging="511"/>
        <w:spacing w:after="0"/>
        <w:tabs>
          <w:tab w:leader="none" w:pos="102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committed a material breach of your obligations under this letter;</w:t>
      </w:r>
    </w:p>
    <w:p>
      <w:pPr>
        <w:spacing w:after="0" w:line="128" w:lineRule="exact"/>
        <w:rPr>
          <w:rFonts w:ascii="Arial" w:cs="Arial" w:eastAsia="Arial" w:hAnsi="Arial"/>
          <w:sz w:val="17"/>
          <w:szCs w:val="17"/>
          <w:color w:val="auto"/>
        </w:rPr>
      </w:pPr>
    </w:p>
    <w:p>
      <w:pPr>
        <w:ind w:left="1029" w:right="360" w:hanging="511"/>
        <w:spacing w:after="0" w:line="284" w:lineRule="auto"/>
        <w:tabs>
          <w:tab w:leader="none" w:pos="102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committed any serious or repeated breach or non-observance of your obligations to the Company (which include an obligation not to breach your statutory, fiduciary or common-law duties);</w:t>
      </w:r>
    </w:p>
    <w:p>
      <w:pPr>
        <w:spacing w:after="0" w:line="68" w:lineRule="exact"/>
        <w:rPr>
          <w:rFonts w:ascii="Arial" w:cs="Arial" w:eastAsia="Arial" w:hAnsi="Arial"/>
          <w:sz w:val="17"/>
          <w:szCs w:val="17"/>
          <w:color w:val="auto"/>
        </w:rPr>
      </w:pPr>
    </w:p>
    <w:p>
      <w:pPr>
        <w:ind w:left="1029" w:right="320" w:hanging="511"/>
        <w:spacing w:after="0" w:line="284" w:lineRule="auto"/>
        <w:tabs>
          <w:tab w:leader="none" w:pos="102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been guilty of any fraud or dishonesty or acted in any manner which, in the Company’s opinion, brings or is likely to bring you or the Company into disrepute or is materially adverse to the Company’s interests;</w:t>
      </w:r>
    </w:p>
    <w:p>
      <w:pPr>
        <w:spacing w:after="0" w:line="68" w:lineRule="exact"/>
        <w:rPr>
          <w:rFonts w:ascii="Arial" w:cs="Arial" w:eastAsia="Arial" w:hAnsi="Arial"/>
          <w:sz w:val="17"/>
          <w:szCs w:val="17"/>
          <w:color w:val="auto"/>
        </w:rPr>
      </w:pPr>
    </w:p>
    <w:p>
      <w:pPr>
        <w:ind w:left="1029" w:hanging="511"/>
        <w:spacing w:after="0"/>
        <w:tabs>
          <w:tab w:leader="none" w:pos="102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been convicted of an arrestable criminal offence other than a road traffic offence for which a fine or non-custodial penalty is imposed;</w:t>
      </w:r>
    </w:p>
    <w:p>
      <w:pPr>
        <w:spacing w:after="0" w:line="139" w:lineRule="exact"/>
        <w:rPr>
          <w:rFonts w:ascii="Arial" w:cs="Arial" w:eastAsia="Arial" w:hAnsi="Arial"/>
          <w:sz w:val="16"/>
          <w:szCs w:val="16"/>
          <w:color w:val="auto"/>
        </w:rPr>
      </w:pPr>
    </w:p>
    <w:p>
      <w:pPr>
        <w:ind w:left="1029" w:right="1000" w:hanging="511"/>
        <w:spacing w:after="0" w:line="284" w:lineRule="auto"/>
        <w:tabs>
          <w:tab w:leader="none" w:pos="102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been declared bankrupt or have made an arrangement with or for the benefit of your creditors, or if you have a county court administration order made against you under the County Court Act 1984;</w:t>
      </w:r>
    </w:p>
    <w:p>
      <w:pPr>
        <w:spacing w:after="0" w:line="68" w:lineRule="exact"/>
        <w:rPr>
          <w:rFonts w:ascii="Arial" w:cs="Arial" w:eastAsia="Arial" w:hAnsi="Arial"/>
          <w:sz w:val="17"/>
          <w:szCs w:val="17"/>
          <w:color w:val="auto"/>
        </w:rPr>
      </w:pPr>
    </w:p>
    <w:p>
      <w:pPr>
        <w:ind w:left="1029" w:hanging="511"/>
        <w:spacing w:after="0"/>
        <w:tabs>
          <w:tab w:leader="none" w:pos="102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been disqualified from acting as a director; or</w:t>
      </w:r>
    </w:p>
    <w:p>
      <w:pPr>
        <w:spacing w:after="0" w:line="128" w:lineRule="exact"/>
        <w:rPr>
          <w:rFonts w:ascii="Arial" w:cs="Arial" w:eastAsia="Arial" w:hAnsi="Arial"/>
          <w:sz w:val="17"/>
          <w:szCs w:val="17"/>
          <w:color w:val="auto"/>
        </w:rPr>
      </w:pPr>
    </w:p>
    <w:p>
      <w:pPr>
        <w:ind w:left="1029" w:hanging="511"/>
        <w:spacing w:after="0"/>
        <w:tabs>
          <w:tab w:leader="none" w:pos="102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not complied with the Company’s anti-corruption and bribery policy and procedures.</w:t>
      </w:r>
    </w:p>
    <w:p>
      <w:pPr>
        <w:spacing w:after="0" w:line="15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69"/>
          </w:cols>
          <w:pgMar w:left="671" w:top="270" w:right="659" w:bottom="1440" w:gutter="0" w:footer="0" w:header="0"/>
        </w:sectPr>
      </w:pPr>
    </w:p>
    <w:bookmarkStart w:id="279" w:name="page280"/>
    <w:bookmarkEnd w:id="279"/>
    <w:p>
      <w:pPr>
        <w:ind w:left="509" w:right="180" w:hanging="517"/>
        <w:spacing w:after="0" w:line="284" w:lineRule="auto"/>
        <w:tabs>
          <w:tab w:leader="none" w:pos="489"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5.7</w:t>
      </w:r>
      <w:r>
        <w:rPr>
          <w:sz w:val="20"/>
          <w:szCs w:val="20"/>
          <w:color w:val="auto"/>
        </w:rPr>
        <w:tab/>
      </w:r>
      <w:r>
        <w:rPr>
          <w:rFonts w:ascii="Arial" w:cs="Arial" w:eastAsia="Arial" w:hAnsi="Arial"/>
          <w:sz w:val="17"/>
          <w:szCs w:val="17"/>
          <w:color w:val="auto"/>
        </w:rPr>
        <w:t>On termination of your appointment, you shall, at the Company’s request, resign from your office as non-executive [director][chairman] of the Company and any offices you hold in any of the Company’s group companies.</w:t>
      </w:r>
    </w:p>
    <w:p>
      <w:pPr>
        <w:spacing w:after="0" w:line="68" w:lineRule="exact"/>
        <w:rPr>
          <w:sz w:val="20"/>
          <w:szCs w:val="20"/>
          <w:color w:val="auto"/>
        </w:rPr>
      </w:pPr>
    </w:p>
    <w:p>
      <w:pPr>
        <w:jc w:val="both"/>
        <w:ind w:left="509" w:right="120" w:hanging="517"/>
        <w:spacing w:after="0" w:line="264" w:lineRule="auto"/>
        <w:tabs>
          <w:tab w:leader="none" w:pos="489"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7"/>
          <w:szCs w:val="17"/>
          <w:color w:val="auto"/>
        </w:rPr>
        <w:t>If matters arise which cause you concern about your role, you should discuss these matters with the Chief Executive [and Chairman] (who may determine that discussion with the Board (or a committee thereof) is appropriate). If you have any concerns which cannot be resolved, and you choose to resign for that, or any other, reason, you should provide an appropriate written statement to the Chief Executive for circulation to the Board.</w:t>
      </w:r>
    </w:p>
    <w:p>
      <w:pPr>
        <w:spacing w:after="0" w:line="312" w:lineRule="exact"/>
        <w:rPr>
          <w:sz w:val="20"/>
          <w:szCs w:val="20"/>
          <w:color w:val="auto"/>
        </w:rPr>
      </w:pPr>
    </w:p>
    <w:p>
      <w:pPr>
        <w:ind w:left="509" w:hanging="509"/>
        <w:spacing w:after="0"/>
        <w:tabs>
          <w:tab w:leader="none" w:pos="509" w:val="left"/>
        </w:tabs>
        <w:numPr>
          <w:ilvl w:val="0"/>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NDEPENDENT</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ROFESSIONAL</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DVICE</w:t>
      </w:r>
    </w:p>
    <w:p>
      <w:pPr>
        <w:spacing w:after="0" w:line="121" w:lineRule="exact"/>
        <w:rPr>
          <w:sz w:val="20"/>
          <w:szCs w:val="20"/>
          <w:color w:val="auto"/>
        </w:rPr>
      </w:pPr>
    </w:p>
    <w:p>
      <w:pPr>
        <w:ind w:left="529"/>
        <w:spacing w:after="0" w:line="299" w:lineRule="auto"/>
        <w:rPr>
          <w:sz w:val="20"/>
          <w:szCs w:val="20"/>
          <w:color w:val="auto"/>
        </w:rPr>
      </w:pPr>
      <w:r>
        <w:rPr>
          <w:rFonts w:ascii="Arial" w:cs="Arial" w:eastAsia="Arial" w:hAnsi="Arial"/>
          <w:sz w:val="15"/>
          <w:szCs w:val="15"/>
          <w:color w:val="auto"/>
        </w:rPr>
        <w:t>In some circumstances you may consider that you need professional advice in the furtherance of your duties as a [non-executive director] [chairman] and it may be appropriate for you to seek advice from independent advisers at the Company’s expense. A copy of the Board’s agreed procedure under which directors may obtain such independent advice is available from the Company’s General Counsel. The Company shall reimburse the reasonable cost of expenditure incurred by you in accordance with its policy. For the avoidance of doubt, nothing in this paragraph 6 shall be construed to limit any right of the Board or any committee thereof, under any charter document or rule of any stock exchange or regulatory authority or otherwise, to retain and/or receive the advice of outside compensation consultants, legal counsel and other advisers or limit any obligation of the Company to provide appropriate funds for the compensation of any such outside advisers.</w:t>
      </w:r>
    </w:p>
    <w:p>
      <w:pPr>
        <w:spacing w:after="0" w:line="290" w:lineRule="exact"/>
        <w:rPr>
          <w:sz w:val="20"/>
          <w:szCs w:val="20"/>
          <w:color w:val="auto"/>
        </w:rPr>
      </w:pPr>
    </w:p>
    <w:p>
      <w:pPr>
        <w:ind w:left="509" w:hanging="509"/>
        <w:spacing w:after="0"/>
        <w:tabs>
          <w:tab w:leader="none" w:pos="509" w:val="left"/>
        </w:tabs>
        <w:numPr>
          <w:ilvl w:val="0"/>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O</w:t>
      </w:r>
      <w:r>
        <w:rPr>
          <w:rFonts w:ascii="Arial" w:cs="Arial" w:eastAsia="Arial" w:hAnsi="Arial"/>
          <w:sz w:val="14"/>
          <w:szCs w:val="14"/>
          <w:b w:val="1"/>
          <w:bCs w:val="1"/>
          <w:color w:val="auto"/>
        </w:rPr>
        <w:t>UTSIDE</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NTERESTS</w:t>
      </w:r>
    </w:p>
    <w:p>
      <w:pPr>
        <w:spacing w:after="0" w:line="134" w:lineRule="exact"/>
        <w:rPr>
          <w:sz w:val="20"/>
          <w:szCs w:val="20"/>
          <w:color w:val="auto"/>
        </w:rPr>
      </w:pPr>
    </w:p>
    <w:p>
      <w:pPr>
        <w:ind w:left="509" w:right="60" w:hanging="517"/>
        <w:spacing w:after="0" w:line="285" w:lineRule="auto"/>
        <w:tabs>
          <w:tab w:leader="none" w:pos="489"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color w:val="auto"/>
        </w:rPr>
        <w:t>You have already disclosed to the Board the significant commitments you have outside your role in the Company. You must inform the Chief Executive or the Nominating and Governance Committee in advance of any changes to these commitments. In certain circumstances, you may have to seek the Board’s agreement before accepting further commitments which either might give rise to a conflict of interest or a conflict with any of your duties to the Company, or which might impact on the time that you are able to devote to your role at the Company.</w:t>
      </w:r>
    </w:p>
    <w:p>
      <w:pPr>
        <w:spacing w:after="0" w:line="71" w:lineRule="exact"/>
        <w:rPr>
          <w:sz w:val="20"/>
          <w:szCs w:val="20"/>
          <w:color w:val="auto"/>
        </w:rPr>
      </w:pPr>
    </w:p>
    <w:p>
      <w:pPr>
        <w:ind w:left="509" w:right="120" w:hanging="517"/>
        <w:spacing w:after="0" w:line="264" w:lineRule="auto"/>
        <w:tabs>
          <w:tab w:leader="none" w:pos="489"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It is accepted and acknowledged that you have business interests other than those of the Company and have declared any conflicts that are apparent at present. If you become aware of any further potential or actual conflicts of interest, these should be disclosed to [the Chairman,] the Chief Executive and the Nominating and Governance Committee as soon as you become aware of them and again you may have to seek the agreement of the Board.</w:t>
      </w:r>
    </w:p>
    <w:p>
      <w:pPr>
        <w:spacing w:after="0" w:line="312" w:lineRule="exact"/>
        <w:rPr>
          <w:sz w:val="20"/>
          <w:szCs w:val="20"/>
          <w:color w:val="auto"/>
        </w:rPr>
      </w:pPr>
    </w:p>
    <w:p>
      <w:pPr>
        <w:ind w:left="509" w:hanging="509"/>
        <w:spacing w:after="0"/>
        <w:tabs>
          <w:tab w:leader="none" w:pos="509"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NSIDE</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 AND</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EALING IN THE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r>
        <w:rPr>
          <w:rFonts w:ascii="Arial" w:cs="Arial" w:eastAsia="Arial" w:hAnsi="Arial"/>
          <w:sz w:val="14"/>
          <w:szCs w:val="14"/>
          <w:b w:val="1"/>
          <w:bCs w:val="1"/>
          <w:color w:val="auto"/>
        </w:rPr>
        <w:t>S</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HARES</w:t>
      </w:r>
    </w:p>
    <w:p>
      <w:pPr>
        <w:spacing w:after="0" w:line="134" w:lineRule="exact"/>
        <w:rPr>
          <w:sz w:val="20"/>
          <w:szCs w:val="20"/>
          <w:color w:val="auto"/>
        </w:rPr>
      </w:pPr>
    </w:p>
    <w:p>
      <w:pPr>
        <w:ind w:left="509" w:right="120" w:hanging="517"/>
        <w:spacing w:after="0" w:line="261" w:lineRule="auto"/>
        <w:tabs>
          <w:tab w:leader="none" w:pos="489"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Your attention is drawn to the requirements under both law and regulation as to the disclosure of inside information, in particular to the Market Abuse Regulation (596/2014/EU), Disclosure Guidance and Transparency Rules of the UK Listing Authority and section 52 of the Criminal Justice Act 1993 on insider dealing, as well as section 10(b) and section 16(b) of the US Exchange Act and SEC Rule 10b-5. You should avoid making any statements or taking any other action that might risk a breach of these requirements. If in doubt, please contact the Chief Executive or General Counsel.</w:t>
      </w:r>
    </w:p>
    <w:p>
      <w:pPr>
        <w:spacing w:after="0" w:line="90" w:lineRule="exact"/>
        <w:rPr>
          <w:sz w:val="20"/>
          <w:szCs w:val="20"/>
          <w:color w:val="auto"/>
        </w:rPr>
      </w:pPr>
    </w:p>
    <w:p>
      <w:pPr>
        <w:ind w:left="509" w:right="120" w:hanging="517"/>
        <w:spacing w:after="0" w:line="261" w:lineRule="auto"/>
        <w:tabs>
          <w:tab w:leader="none" w:pos="489"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During your period of appointment you are required to comply with the Article 19 of the Market Abuse Regulation (596/2014/EU) or any AIM Rules for Companies in relation to dealing in the Company’s publicly traded or quoted securities, section 10(b) and section 16(b) of the US Exchange Act and SEC Rule 10b-5, the Sarbanes-Oxley Act and any other code or policy as the Company may adopt from time to time which sets out the terms for dealings by directors in the Company’s securities. A copy of the current share dealing code adopted by the Company will be provided to you separately.</w:t>
      </w:r>
    </w:p>
    <w:p>
      <w:pPr>
        <w:spacing w:after="0" w:line="115" w:lineRule="exact"/>
        <w:rPr>
          <w:sz w:val="20"/>
          <w:szCs w:val="20"/>
          <w:color w:val="auto"/>
        </w:rPr>
      </w:pPr>
    </w:p>
    <w:p>
      <w:pPr>
        <w:jc w:val="center"/>
        <w:ind w:right="-28"/>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529"/>
          </w:cols>
          <w:pgMar w:left="671" w:top="270" w:right="699" w:bottom="1440" w:gutter="0" w:footer="0" w:header="0"/>
        </w:sectPr>
      </w:pPr>
    </w:p>
    <w:bookmarkStart w:id="280" w:name="page281"/>
    <w:bookmarkEnd w:id="280"/>
    <w:p>
      <w:pPr>
        <w:ind w:left="509" w:hanging="509"/>
        <w:spacing w:after="0"/>
        <w:tabs>
          <w:tab w:leader="none" w:pos="509"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R</w:t>
      </w:r>
      <w:r>
        <w:rPr>
          <w:rFonts w:ascii="Arial" w:cs="Arial" w:eastAsia="Arial" w:hAnsi="Arial"/>
          <w:sz w:val="14"/>
          <w:szCs w:val="14"/>
          <w:b w:val="1"/>
          <w:bCs w:val="1"/>
          <w:color w:val="auto"/>
        </w:rPr>
        <w:t>EVIEW</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ROCESS</w:t>
      </w:r>
    </w:p>
    <w:p>
      <w:pPr>
        <w:spacing w:after="0" w:line="121" w:lineRule="exact"/>
        <w:rPr>
          <w:sz w:val="20"/>
          <w:szCs w:val="20"/>
          <w:color w:val="auto"/>
        </w:rPr>
      </w:pPr>
    </w:p>
    <w:p>
      <w:pPr>
        <w:jc w:val="both"/>
        <w:ind w:left="529" w:right="200"/>
        <w:spacing w:after="0" w:line="269" w:lineRule="auto"/>
        <w:rPr>
          <w:sz w:val="20"/>
          <w:szCs w:val="20"/>
          <w:color w:val="auto"/>
        </w:rPr>
      </w:pPr>
      <w:r>
        <w:rPr>
          <w:rFonts w:ascii="Arial" w:cs="Arial" w:eastAsia="Arial" w:hAnsi="Arial"/>
          <w:sz w:val="17"/>
          <w:szCs w:val="17"/>
          <w:color w:val="auto"/>
        </w:rPr>
        <w:t>The performance of individual directors and the whole Board and its committees is evaluated annually. If, in the interim, there are any matters which cause you concern about your role you should discuss them with the Chief Executive or the Nominating and Governance Committee as soon as you can.</w:t>
      </w:r>
    </w:p>
    <w:p>
      <w:pPr>
        <w:spacing w:after="0" w:line="308" w:lineRule="exact"/>
        <w:rPr>
          <w:sz w:val="20"/>
          <w:szCs w:val="20"/>
          <w:color w:val="auto"/>
        </w:rPr>
      </w:pPr>
    </w:p>
    <w:p>
      <w:pPr>
        <w:ind w:left="509" w:hanging="509"/>
        <w:spacing w:after="0"/>
        <w:tabs>
          <w:tab w:leader="none" w:pos="509"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NSURANCE AND</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NDEMNITY</w:t>
      </w:r>
    </w:p>
    <w:p>
      <w:pPr>
        <w:spacing w:after="0" w:line="134" w:lineRule="exact"/>
        <w:rPr>
          <w:sz w:val="20"/>
          <w:szCs w:val="20"/>
          <w:color w:val="auto"/>
        </w:rPr>
      </w:pPr>
    </w:p>
    <w:p>
      <w:pPr>
        <w:ind w:left="509" w:right="20" w:hanging="517"/>
        <w:spacing w:after="0" w:line="269" w:lineRule="auto"/>
        <w:tabs>
          <w:tab w:leader="none" w:pos="489" w:val="left"/>
        </w:tabs>
        <w:rPr>
          <w:sz w:val="20"/>
          <w:szCs w:val="20"/>
          <w:color w:val="auto"/>
        </w:rPr>
      </w:pPr>
      <w:r>
        <w:rPr>
          <w:rFonts w:ascii="Arial" w:cs="Arial" w:eastAsia="Arial" w:hAnsi="Arial"/>
          <w:sz w:val="17"/>
          <w:szCs w:val="17"/>
          <w:color w:val="auto"/>
        </w:rPr>
        <w:t>10.1</w:t>
        <w:tab/>
        <w:t>The Company has directors’ and officers’ liability insurance and it intends to maintain such cover for the full term of your appointment at a level customary for companies in the pharmaceutical industry of a similar size and stage of development. A copy of the policy document is available from the Company’s General Counsel.</w:t>
      </w:r>
    </w:p>
    <w:p>
      <w:pPr>
        <w:spacing w:after="0" w:line="81" w:lineRule="exact"/>
        <w:rPr>
          <w:sz w:val="20"/>
          <w:szCs w:val="20"/>
          <w:color w:val="auto"/>
        </w:rPr>
      </w:pPr>
    </w:p>
    <w:p>
      <w:pPr>
        <w:ind w:left="509" w:right="40" w:hanging="517"/>
        <w:spacing w:after="0" w:line="284" w:lineRule="auto"/>
        <w:tabs>
          <w:tab w:leader="none" w:pos="489" w:val="left"/>
        </w:tabs>
        <w:rPr>
          <w:sz w:val="20"/>
          <w:szCs w:val="20"/>
          <w:color w:val="auto"/>
        </w:rPr>
      </w:pPr>
      <w:r>
        <w:rPr>
          <w:rFonts w:ascii="Arial" w:cs="Arial" w:eastAsia="Arial" w:hAnsi="Arial"/>
          <w:sz w:val="17"/>
          <w:szCs w:val="17"/>
          <w:color w:val="auto"/>
        </w:rPr>
        <w:t>10.2</w:t>
        <w:tab/>
        <w:t>The Company shall grant you a deed of indemnity against certain liabilities that may be incurred as a result of your office to the extent permitted by section 234 of the Companies Act 2006 and Delaware General Corporation Law.</w:t>
      </w:r>
    </w:p>
    <w:p>
      <w:pPr>
        <w:spacing w:after="0" w:line="295" w:lineRule="exact"/>
        <w:rPr>
          <w:sz w:val="20"/>
          <w:szCs w:val="20"/>
          <w:color w:val="auto"/>
        </w:rPr>
      </w:pPr>
    </w:p>
    <w:p>
      <w:pPr>
        <w:ind w:left="509" w:hanging="509"/>
        <w:spacing w:after="0"/>
        <w:tabs>
          <w:tab w:leader="none" w:pos="509"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HANGES TO</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ERSONAL</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ETAILS</w:t>
      </w:r>
    </w:p>
    <w:p>
      <w:pPr>
        <w:spacing w:after="0" w:line="121" w:lineRule="exact"/>
        <w:rPr>
          <w:sz w:val="20"/>
          <w:szCs w:val="20"/>
          <w:color w:val="auto"/>
        </w:rPr>
      </w:pPr>
    </w:p>
    <w:p>
      <w:pPr>
        <w:ind w:left="529"/>
        <w:spacing w:after="0"/>
        <w:rPr>
          <w:sz w:val="20"/>
          <w:szCs w:val="20"/>
          <w:color w:val="auto"/>
        </w:rPr>
      </w:pPr>
      <w:r>
        <w:rPr>
          <w:rFonts w:ascii="Arial" w:cs="Arial" w:eastAsia="Arial" w:hAnsi="Arial"/>
          <w:sz w:val="17"/>
          <w:szCs w:val="17"/>
          <w:color w:val="auto"/>
        </w:rPr>
        <w:t>You shall advise the General Counsel promptly of any change in your address or other personal contact details.</w:t>
      </w:r>
    </w:p>
    <w:p>
      <w:pPr>
        <w:spacing w:after="0" w:line="355" w:lineRule="exact"/>
        <w:rPr>
          <w:sz w:val="20"/>
          <w:szCs w:val="20"/>
          <w:color w:val="auto"/>
        </w:rPr>
      </w:pPr>
    </w:p>
    <w:p>
      <w:pPr>
        <w:ind w:left="509" w:hanging="509"/>
        <w:spacing w:after="0"/>
        <w:tabs>
          <w:tab w:leader="none" w:pos="509"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ETURN OF</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ROPERTY</w:t>
      </w:r>
    </w:p>
    <w:p>
      <w:pPr>
        <w:spacing w:after="0" w:line="121" w:lineRule="exact"/>
        <w:rPr>
          <w:sz w:val="20"/>
          <w:szCs w:val="20"/>
          <w:color w:val="auto"/>
        </w:rPr>
      </w:pPr>
    </w:p>
    <w:p>
      <w:pPr>
        <w:ind w:left="529"/>
        <w:spacing w:after="0" w:line="264" w:lineRule="auto"/>
        <w:rPr>
          <w:sz w:val="20"/>
          <w:szCs w:val="20"/>
          <w:color w:val="auto"/>
        </w:rPr>
      </w:pPr>
      <w:r>
        <w:rPr>
          <w:rFonts w:ascii="Arial" w:cs="Arial" w:eastAsia="Arial" w:hAnsi="Arial"/>
          <w:sz w:val="17"/>
          <w:szCs w:val="17"/>
          <w:color w:val="auto"/>
        </w:rPr>
        <w:t>On termination of your appointment with the Company however arising, or at any time at the Board’s request, you shall immediately return to the Company all documents, records, papers or other property belonging to the Company or any company in the Company’s group which may be in your possession or under your control, and which relate in any way to the Company’s or a group company’s business affairs and you shall not retain any copies thereof.</w:t>
      </w:r>
    </w:p>
    <w:p>
      <w:pPr>
        <w:spacing w:after="0" w:line="312" w:lineRule="exact"/>
        <w:rPr>
          <w:sz w:val="20"/>
          <w:szCs w:val="20"/>
          <w:color w:val="auto"/>
        </w:rPr>
      </w:pPr>
    </w:p>
    <w:p>
      <w:pPr>
        <w:ind w:left="509" w:hanging="509"/>
        <w:spacing w:after="0"/>
        <w:tabs>
          <w:tab w:leader="none" w:pos="509" w:val="left"/>
        </w:tabs>
        <w:numPr>
          <w:ilvl w:val="0"/>
          <w:numId w:val="252"/>
        </w:numPr>
        <w:rPr>
          <w:rFonts w:ascii="Arial" w:cs="Arial" w:eastAsia="Arial" w:hAnsi="Arial"/>
          <w:sz w:val="17"/>
          <w:szCs w:val="17"/>
          <w:b w:val="1"/>
          <w:bCs w:val="1"/>
          <w:color w:val="auto"/>
        </w:rPr>
      </w:pPr>
      <w:r>
        <w:rPr>
          <w:rFonts w:ascii="Arial" w:cs="Arial" w:eastAsia="Arial" w:hAnsi="Arial"/>
          <w:sz w:val="17"/>
          <w:szCs w:val="17"/>
          <w:b w:val="1"/>
          <w:bCs w:val="1"/>
          <w:color w:val="auto"/>
        </w:rPr>
        <w:t>M</w:t>
      </w:r>
      <w:r>
        <w:rPr>
          <w:rFonts w:ascii="Arial" w:cs="Arial" w:eastAsia="Arial" w:hAnsi="Arial"/>
          <w:sz w:val="14"/>
          <w:szCs w:val="14"/>
          <w:b w:val="1"/>
          <w:bCs w:val="1"/>
          <w:color w:val="auto"/>
        </w:rPr>
        <w:t>ORAL</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w:t>
      </w:r>
    </w:p>
    <w:p>
      <w:pPr>
        <w:spacing w:after="0" w:line="121" w:lineRule="exact"/>
        <w:rPr>
          <w:sz w:val="20"/>
          <w:szCs w:val="20"/>
          <w:color w:val="auto"/>
        </w:rPr>
      </w:pPr>
    </w:p>
    <w:p>
      <w:pPr>
        <w:ind w:left="529" w:right="20"/>
        <w:spacing w:after="0" w:line="261" w:lineRule="auto"/>
        <w:rPr>
          <w:sz w:val="20"/>
          <w:szCs w:val="20"/>
          <w:color w:val="auto"/>
        </w:rPr>
      </w:pPr>
      <w:r>
        <w:rPr>
          <w:rFonts w:ascii="Arial" w:cs="Arial" w:eastAsia="Arial" w:hAnsi="Arial"/>
          <w:sz w:val="17"/>
          <w:szCs w:val="17"/>
          <w:color w:val="auto"/>
        </w:rPr>
        <w:t>You hereby irrevocably waive any moral rights in all works prepared by you, in the provision of your services to the Company, to which you are now or may at any future time be entitled under Chapter IV of the Copyright Designs and Patents Act 1988 or any similar provisions of law in any jurisdiction, including (but without limitation) the right to be identified, the right of integrity and the right against false attribution, and agree not to institute, support, maintain or permit any action or claim to the effect that any treatment, exploitation or use of such works or other materials, infringes your moral rights.</w:t>
      </w:r>
    </w:p>
    <w:p>
      <w:pPr>
        <w:spacing w:after="0" w:line="317" w:lineRule="exact"/>
        <w:rPr>
          <w:sz w:val="20"/>
          <w:szCs w:val="20"/>
          <w:color w:val="auto"/>
        </w:rPr>
      </w:pPr>
    </w:p>
    <w:p>
      <w:pPr>
        <w:ind w:left="509" w:hanging="509"/>
        <w:spacing w:after="0"/>
        <w:tabs>
          <w:tab w:leader="none" w:pos="509" w:val="left"/>
        </w:tabs>
        <w:numPr>
          <w:ilvl w:val="0"/>
          <w:numId w:val="253"/>
        </w:numPr>
        <w:rPr>
          <w:rFonts w:ascii="Arial" w:cs="Arial" w:eastAsia="Arial" w:hAnsi="Arial"/>
          <w:sz w:val="17"/>
          <w:szCs w:val="17"/>
          <w:b w:val="1"/>
          <w:bCs w:val="1"/>
          <w:color w:val="auto"/>
        </w:rPr>
      </w:pP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ROTECTION</w:t>
      </w:r>
    </w:p>
    <w:p>
      <w:pPr>
        <w:spacing w:after="0" w:line="134" w:lineRule="exact"/>
        <w:rPr>
          <w:sz w:val="20"/>
          <w:szCs w:val="20"/>
          <w:color w:val="auto"/>
        </w:rPr>
      </w:pPr>
    </w:p>
    <w:p>
      <w:pPr>
        <w:ind w:left="509" w:hanging="517"/>
        <w:spacing w:after="0" w:line="258" w:lineRule="auto"/>
        <w:tabs>
          <w:tab w:leader="none" w:pos="489" w:val="left"/>
        </w:tabs>
        <w:rPr>
          <w:sz w:val="20"/>
          <w:szCs w:val="20"/>
          <w:color w:val="auto"/>
        </w:rPr>
      </w:pPr>
      <w:r>
        <w:rPr>
          <w:rFonts w:ascii="Arial" w:cs="Arial" w:eastAsia="Arial" w:hAnsi="Arial"/>
          <w:sz w:val="17"/>
          <w:szCs w:val="17"/>
          <w:color w:val="auto"/>
        </w:rPr>
        <w:t>14.1</w:t>
        <w:tab/>
        <w:t>The Company will obtain, record and use personal information about its staff which includes but is not limited contact details, fee information, together with HR records and other records made about staff prior to and during the course of their engagement with the Company for legal, personnel, administrative and management purposes, to enable the Company to meet their legal obligations, because it is necessary for the performance of the agreement between you and the relevant company, for the relevant company’s legitimate interests or the legitimate interests of others, or for the protection of your vital interests. The Company may make such information available to third parties such those who provide products or services to the Company (such as advisers and payroll administrators), regulatory authorities, potential purchasers of the Company, and as may be required by law. Please refer to the data protection policy from time to time in place for more details about how your personal data is used.</w:t>
      </w:r>
    </w:p>
    <w:p>
      <w:pPr>
        <w:spacing w:after="0" w:line="93" w:lineRule="exact"/>
        <w:rPr>
          <w:sz w:val="20"/>
          <w:szCs w:val="20"/>
          <w:color w:val="auto"/>
        </w:rPr>
      </w:pPr>
    </w:p>
    <w:p>
      <w:pPr>
        <w:ind w:left="509" w:hanging="517"/>
        <w:spacing w:after="0" w:line="354" w:lineRule="auto"/>
        <w:tabs>
          <w:tab w:leader="none" w:pos="489"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5"/>
          <w:szCs w:val="15"/>
          <w:color w:val="auto"/>
        </w:rPr>
        <w:t>When handling personal data in connection with your appointment by the Company on the terms of this letter, you agree to comply with the Data Protection Act 2018 and any other applicable data protection laws as well as any Company data protection policy from time to time in place.</w:t>
      </w:r>
    </w:p>
    <w:p>
      <w:pPr>
        <w:spacing w:after="0" w:line="48"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49"/>
          </w:cols>
          <w:pgMar w:left="671" w:top="263" w:right="679" w:bottom="1440" w:gutter="0" w:footer="0" w:header="0"/>
        </w:sectPr>
      </w:pPr>
    </w:p>
    <w:bookmarkStart w:id="281" w:name="page282"/>
    <w:bookmarkEnd w:id="281"/>
    <w:p>
      <w:pPr>
        <w:ind w:left="509" w:hanging="509"/>
        <w:spacing w:after="0"/>
        <w:tabs>
          <w:tab w:leader="none" w:pos="509" w:val="left"/>
        </w:tabs>
        <w:numPr>
          <w:ilvl w:val="0"/>
          <w:numId w:val="25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T</w:t>
      </w:r>
      <w:r>
        <w:rPr>
          <w:rFonts w:ascii="Arial" w:cs="Arial" w:eastAsia="Arial" w:hAnsi="Arial"/>
          <w:sz w:val="14"/>
          <w:szCs w:val="14"/>
          <w:b w:val="1"/>
          <w:bCs w:val="1"/>
          <w:color w:val="auto"/>
        </w:rPr>
        <w:t>HIRD</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w:t>
      </w:r>
    </w:p>
    <w:p>
      <w:pPr>
        <w:spacing w:after="0" w:line="121" w:lineRule="exact"/>
        <w:rPr>
          <w:sz w:val="20"/>
          <w:szCs w:val="20"/>
          <w:color w:val="auto"/>
        </w:rPr>
      </w:pPr>
    </w:p>
    <w:p>
      <w:pPr>
        <w:ind w:left="9"/>
        <w:spacing w:after="0"/>
        <w:rPr>
          <w:sz w:val="20"/>
          <w:szCs w:val="20"/>
          <w:color w:val="auto"/>
        </w:rPr>
      </w:pPr>
      <w:r>
        <w:rPr>
          <w:rFonts w:ascii="Arial" w:cs="Arial" w:eastAsia="Arial" w:hAnsi="Arial"/>
          <w:sz w:val="17"/>
          <w:szCs w:val="17"/>
          <w:color w:val="auto"/>
        </w:rPr>
        <w:t>No one other than you and the Company shall have any rights to enforce the terms of this letter.</w:t>
      </w:r>
    </w:p>
    <w:p>
      <w:pPr>
        <w:spacing w:after="0" w:line="355" w:lineRule="exact"/>
        <w:rPr>
          <w:sz w:val="20"/>
          <w:szCs w:val="20"/>
          <w:color w:val="auto"/>
        </w:rPr>
      </w:pPr>
    </w:p>
    <w:p>
      <w:pPr>
        <w:ind w:left="509" w:hanging="509"/>
        <w:spacing w:after="0"/>
        <w:tabs>
          <w:tab w:leader="none" w:pos="509"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NTIRE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p>
    <w:p>
      <w:pPr>
        <w:spacing w:after="0" w:line="134" w:lineRule="exact"/>
        <w:rPr>
          <w:sz w:val="20"/>
          <w:szCs w:val="20"/>
          <w:color w:val="auto"/>
        </w:rPr>
      </w:pPr>
    </w:p>
    <w:p>
      <w:pPr>
        <w:ind w:left="509" w:right="40" w:hanging="517"/>
        <w:spacing w:after="0" w:line="269" w:lineRule="auto"/>
        <w:tabs>
          <w:tab w:leader="none" w:pos="489" w:val="left"/>
        </w:tabs>
        <w:rPr>
          <w:sz w:val="20"/>
          <w:szCs w:val="20"/>
          <w:color w:val="auto"/>
        </w:rPr>
      </w:pPr>
      <w:r>
        <w:rPr>
          <w:rFonts w:ascii="Arial" w:cs="Arial" w:eastAsia="Arial" w:hAnsi="Arial"/>
          <w:sz w:val="17"/>
          <w:szCs w:val="17"/>
          <w:color w:val="auto"/>
        </w:rPr>
        <w:t>16.1</w:t>
        <w:tab/>
        <w:t>This letter and any document referred to in it constitutes the entire terms and conditions of your appointment and supersedes and extinguishes all previous agreements, promises, assurances, warranties, representations and understandings between you and the Company, whether written or oral, relating to its subject matter.</w:t>
      </w:r>
    </w:p>
    <w:p>
      <w:pPr>
        <w:spacing w:after="0" w:line="81" w:lineRule="exact"/>
        <w:rPr>
          <w:sz w:val="20"/>
          <w:szCs w:val="20"/>
          <w:color w:val="auto"/>
        </w:rPr>
      </w:pPr>
    </w:p>
    <w:p>
      <w:pPr>
        <w:ind w:left="509" w:right="100" w:hanging="517"/>
        <w:spacing w:after="0" w:line="354" w:lineRule="auto"/>
        <w:tabs>
          <w:tab w:leader="none" w:pos="489"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5"/>
          <w:szCs w:val="15"/>
          <w:color w:val="auto"/>
        </w:rPr>
        <w:t>You agree that you shall have no remedies in respect of any representation, assurance or warranty (whether made innocently or negligently) that is not set out in this letter and you shall not have any claim for innocent or negligent misrepresentation based on any statement in this letter.</w:t>
      </w:r>
    </w:p>
    <w:p>
      <w:pPr>
        <w:spacing w:after="0" w:line="249" w:lineRule="exact"/>
        <w:rPr>
          <w:sz w:val="20"/>
          <w:szCs w:val="20"/>
          <w:color w:val="auto"/>
        </w:rPr>
      </w:pPr>
    </w:p>
    <w:p>
      <w:pPr>
        <w:ind w:left="509" w:hanging="509"/>
        <w:spacing w:after="0"/>
        <w:tabs>
          <w:tab w:leader="none" w:pos="509"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V</w:t>
      </w:r>
      <w:r>
        <w:rPr>
          <w:rFonts w:ascii="Arial" w:cs="Arial" w:eastAsia="Arial" w:hAnsi="Arial"/>
          <w:sz w:val="14"/>
          <w:szCs w:val="14"/>
          <w:b w:val="1"/>
          <w:bCs w:val="1"/>
          <w:color w:val="auto"/>
        </w:rPr>
        <w:t>ARIATION</w:t>
      </w:r>
    </w:p>
    <w:p>
      <w:pPr>
        <w:spacing w:after="0" w:line="121" w:lineRule="exact"/>
        <w:rPr>
          <w:sz w:val="20"/>
          <w:szCs w:val="20"/>
          <w:color w:val="auto"/>
        </w:rPr>
      </w:pPr>
    </w:p>
    <w:p>
      <w:pPr>
        <w:ind w:left="529"/>
        <w:spacing w:after="0"/>
        <w:rPr>
          <w:sz w:val="20"/>
          <w:szCs w:val="20"/>
          <w:color w:val="auto"/>
        </w:rPr>
      </w:pPr>
      <w:r>
        <w:rPr>
          <w:rFonts w:ascii="Arial" w:cs="Arial" w:eastAsia="Arial" w:hAnsi="Arial"/>
          <w:sz w:val="15"/>
          <w:szCs w:val="15"/>
          <w:color w:val="auto"/>
        </w:rPr>
        <w:t>No variation of this letter shall be effective unless it is in writing and signed by you and the Company (or respective authorised representatives).</w:t>
      </w:r>
    </w:p>
    <w:p>
      <w:pPr>
        <w:spacing w:after="0" w:line="378" w:lineRule="exact"/>
        <w:rPr>
          <w:sz w:val="20"/>
          <w:szCs w:val="20"/>
          <w:color w:val="auto"/>
        </w:rPr>
      </w:pPr>
    </w:p>
    <w:p>
      <w:pPr>
        <w:ind w:left="509" w:hanging="509"/>
        <w:spacing w:after="0"/>
        <w:tabs>
          <w:tab w:leader="none" w:pos="509"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4"/>
          <w:szCs w:val="14"/>
          <w:b w:val="1"/>
          <w:bCs w:val="1"/>
          <w:color w:val="auto"/>
        </w:rPr>
        <w:t>OVERNING</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 AND</w:t>
      </w:r>
      <w:r>
        <w:rPr>
          <w:rFonts w:ascii="Arial" w:cs="Arial" w:eastAsia="Arial" w:hAnsi="Arial"/>
          <w:sz w:val="17"/>
          <w:szCs w:val="17"/>
          <w:b w:val="1"/>
          <w:bCs w:val="1"/>
          <w:color w:val="auto"/>
        </w:rPr>
        <w:t xml:space="preserve"> J</w:t>
      </w:r>
      <w:r>
        <w:rPr>
          <w:rFonts w:ascii="Arial" w:cs="Arial" w:eastAsia="Arial" w:hAnsi="Arial"/>
          <w:sz w:val="14"/>
          <w:szCs w:val="14"/>
          <w:b w:val="1"/>
          <w:bCs w:val="1"/>
          <w:color w:val="auto"/>
        </w:rPr>
        <w:t>URISDICTION</w:t>
      </w:r>
    </w:p>
    <w:p>
      <w:pPr>
        <w:spacing w:after="0" w:line="121" w:lineRule="exact"/>
        <w:rPr>
          <w:sz w:val="20"/>
          <w:szCs w:val="20"/>
          <w:color w:val="auto"/>
        </w:rPr>
      </w:pPr>
    </w:p>
    <w:p>
      <w:pPr>
        <w:ind w:left="529" w:right="40"/>
        <w:spacing w:after="0" w:line="285" w:lineRule="auto"/>
        <w:rPr>
          <w:sz w:val="20"/>
          <w:szCs w:val="20"/>
          <w:color w:val="auto"/>
        </w:rPr>
      </w:pPr>
      <w:r>
        <w:rPr>
          <w:rFonts w:ascii="Arial" w:cs="Arial" w:eastAsia="Arial" w:hAnsi="Arial"/>
          <w:sz w:val="16"/>
          <w:szCs w:val="16"/>
          <w:color w:val="auto"/>
        </w:rPr>
        <w:t>Your appointment with the Company and any dispute or claim arising out of or in connection with it or its subject matter or formation (including non-contractual disputes or claims) shall be governed by and construed in accordance with the law of England and Wales and you and the Company irrevocably agree that the courts of England and Wales shall have exclusive jurisdiction to settle any dispute or claim that arises out of or in connection with this appointment or its subject matter or formation (including non-contractual disputes or claims).</w:t>
      </w:r>
    </w:p>
    <w:p>
      <w:pPr>
        <w:spacing w:after="0" w:line="298" w:lineRule="exact"/>
        <w:rPr>
          <w:sz w:val="20"/>
          <w:szCs w:val="20"/>
          <w:color w:val="auto"/>
        </w:rPr>
      </w:pPr>
    </w:p>
    <w:p>
      <w:pPr>
        <w:ind w:left="509" w:hanging="509"/>
        <w:spacing w:after="0"/>
        <w:tabs>
          <w:tab w:leader="none" w:pos="509"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color w:val="auto"/>
        </w:rPr>
        <w:t>TAXES</w:t>
      </w:r>
    </w:p>
    <w:p>
      <w:pPr>
        <w:spacing w:after="0" w:line="134" w:lineRule="exact"/>
        <w:rPr>
          <w:sz w:val="20"/>
          <w:szCs w:val="20"/>
          <w:color w:val="auto"/>
        </w:rPr>
      </w:pPr>
    </w:p>
    <w:p>
      <w:pPr>
        <w:ind w:left="509" w:right="520" w:hanging="517"/>
        <w:spacing w:after="0" w:line="284" w:lineRule="auto"/>
        <w:tabs>
          <w:tab w:leader="none" w:pos="489" w:val="left"/>
        </w:tabs>
        <w:rPr>
          <w:sz w:val="20"/>
          <w:szCs w:val="20"/>
          <w:color w:val="auto"/>
        </w:rPr>
      </w:pPr>
      <w:r>
        <w:rPr>
          <w:rFonts w:ascii="Arial" w:cs="Arial" w:eastAsia="Arial" w:hAnsi="Arial"/>
          <w:sz w:val="17"/>
          <w:szCs w:val="17"/>
          <w:color w:val="auto"/>
        </w:rPr>
        <w:t>19.1</w:t>
        <w:tab/>
        <w:t>You acknowledge and agree that as an independent contractor you alone will be responsible for all federal, state, and local taxes, and self-employment taxes on the fees payable to you during the Term.</w:t>
      </w:r>
    </w:p>
    <w:p>
      <w:pPr>
        <w:spacing w:after="0" w:line="62" w:lineRule="exact"/>
        <w:rPr>
          <w:sz w:val="20"/>
          <w:szCs w:val="20"/>
          <w:color w:val="auto"/>
        </w:rPr>
      </w:pPr>
    </w:p>
    <w:p>
      <w:pPr>
        <w:ind w:left="509" w:hanging="517"/>
        <w:spacing w:after="0" w:line="258" w:lineRule="auto"/>
        <w:tabs>
          <w:tab w:leader="none" w:pos="489" w:val="left"/>
        </w:tabs>
        <w:rPr>
          <w:sz w:val="20"/>
          <w:szCs w:val="20"/>
          <w:color w:val="auto"/>
        </w:rPr>
      </w:pPr>
      <w:r>
        <w:rPr>
          <w:rFonts w:ascii="Arial" w:cs="Arial" w:eastAsia="Arial" w:hAnsi="Arial"/>
          <w:sz w:val="17"/>
          <w:szCs w:val="17"/>
          <w:color w:val="auto"/>
        </w:rPr>
        <w:t>19.2</w:t>
        <w:tab/>
        <w:t>This letter agreement is intended to comply with or be exempt from Section 409A of the Internal Revenue Code of 1986, as amended (</w:t>
      </w:r>
      <w:r>
        <w:rPr>
          <w:rFonts w:ascii="Arial" w:cs="Arial" w:eastAsia="Arial" w:hAnsi="Arial"/>
          <w:sz w:val="17"/>
          <w:szCs w:val="17"/>
          <w:b w:val="1"/>
          <w:bCs w:val="1"/>
          <w:color w:val="auto"/>
        </w:rPr>
        <w:t>Code</w:t>
      </w:r>
      <w:r>
        <w:rPr>
          <w:rFonts w:ascii="Arial" w:cs="Arial" w:eastAsia="Arial" w:hAnsi="Arial"/>
          <w:sz w:val="17"/>
          <w:szCs w:val="17"/>
          <w:color w:val="auto"/>
        </w:rPr>
        <w:t>) or an exception thereunder and shall be interpreted, construed and administered in accordance therewith. Notwithstanding the foregoing, the Company makes no representations that the payments or benefits provided under this letter comply with Code Section 409A and in no event shall the Company be liable for all or any portion of any taxes, penalties, interest or other expenses that may be incurred by the you as a result of this letter failing to comply with Code Section 409A. To the extent that any reimbursements are taxable to you, any such reimbursement payment due to you shall be paid to you in all events on or before the last day of your taxable year following the taxable year in which the related expense was incurred. The reimbursements are not subject to liquidation or exchange for another benefit and the amount of such benefits and reimbursements that you receive in one taxable year shall not affect the amount of such benefits or reimbursements that you receive in any other taxable year. For purposes of Code Section 409A, each installment payment, if applicable, provided under this letter shall be treated as a separate payment.</w:t>
      </w:r>
    </w:p>
    <w:p>
      <w:pPr>
        <w:spacing w:after="0" w:line="184" w:lineRule="exact"/>
        <w:rPr>
          <w:sz w:val="20"/>
          <w:szCs w:val="20"/>
          <w:color w:val="auto"/>
        </w:rPr>
      </w:pPr>
    </w:p>
    <w:p>
      <w:pPr>
        <w:ind w:left="9" w:right="140"/>
        <w:spacing w:after="0" w:line="284" w:lineRule="auto"/>
        <w:rPr>
          <w:sz w:val="20"/>
          <w:szCs w:val="20"/>
          <w:color w:val="auto"/>
        </w:rPr>
      </w:pPr>
      <w:r>
        <w:rPr>
          <w:rFonts w:ascii="Arial" w:cs="Arial" w:eastAsia="Arial" w:hAnsi="Arial"/>
          <w:sz w:val="17"/>
          <w:szCs w:val="17"/>
          <w:color w:val="auto"/>
        </w:rPr>
        <w:t>Please indicate your acceptance of these terms by signing and returning to the attached copy of this letter to Dr. Denise Scots-Knight, Chief Executive, Mereo BioPharma Group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15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549"/>
          </w:cols>
          <w:pgMar w:left="671" w:top="263" w:right="679" w:bottom="1440" w:gutter="0" w:footer="0" w:header="0"/>
        </w:sectPr>
      </w:pPr>
    </w:p>
    <w:bookmarkStart w:id="282" w:name="page283"/>
    <w:bookmarkEnd w:id="28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26803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Denise Scots-Knight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and on behalf of Mereo BioPharma Group plc</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 agree to the above terms of my appointment as [a non-executive director][the non-executive chairman] of Mereo BioPharma Group plc as set out in this letter.</w:t>
      </w:r>
    </w:p>
    <w:p>
      <w:pPr>
        <w:spacing w:after="0" w:line="179" w:lineRule="exact"/>
        <w:rPr>
          <w:sz w:val="20"/>
          <w:szCs w:val="20"/>
          <w:color w:val="auto"/>
        </w:rPr>
      </w:pPr>
    </w:p>
    <w:p>
      <w:pPr>
        <w:spacing w:after="0"/>
        <w:tabs>
          <w:tab w:leader="none" w:pos="1640" w:val="left"/>
        </w:tabs>
        <w:rPr>
          <w:sz w:val="20"/>
          <w:szCs w:val="20"/>
          <w:color w:val="auto"/>
        </w:rPr>
      </w:pPr>
      <w:r>
        <w:rPr>
          <w:rFonts w:ascii="Arial" w:cs="Arial" w:eastAsia="Arial" w:hAnsi="Arial"/>
          <w:sz w:val="17"/>
          <w:szCs w:val="17"/>
          <w:b w:val="1"/>
          <w:bCs w:val="1"/>
          <w:color w:val="auto"/>
        </w:rPr>
        <w:t>Signed on</w:t>
      </w:r>
      <w:r>
        <w:rPr>
          <w:sz w:val="20"/>
          <w:szCs w:val="20"/>
          <w:color w:val="auto"/>
        </w:rPr>
        <w:tab/>
      </w:r>
      <w:r>
        <w:rPr>
          <w:rFonts w:ascii="Arial" w:cs="Arial" w:eastAsia="Arial" w:hAnsi="Arial"/>
          <w:sz w:val="15"/>
          <w:szCs w:val="15"/>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26803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name</w:t>
      </w:r>
      <w:r>
        <w:rPr>
          <w:rFonts w:ascii="Arial" w:cs="Arial" w:eastAsia="Arial" w:hAnsi="Arial"/>
          <w:sz w:val="17"/>
          <w:szCs w:val="17"/>
          <w:color w:val="auto"/>
        </w:rPr>
        <w:t>]</w:t>
      </w:r>
    </w:p>
    <w:p>
      <w:pPr>
        <w:sectPr>
          <w:pgSz w:w="11900" w:h="16838" w:orient="portrait"/>
          <w:cols w:equalWidth="0" w:num="1">
            <w:col w:w="10280"/>
          </w:cols>
          <w:pgMar w:left="680" w:top="269" w:right="9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7"/>
          <w:szCs w:val="17"/>
          <w:b w:val="1"/>
          <w:bCs w:val="1"/>
          <w:color w:val="auto"/>
        </w:rPr>
        <w:t>Exhibit 8.1</w:t>
      </w:r>
    </w:p>
    <w:p>
      <w:pPr>
        <w:spacing w:after="0" w:line="219"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Subsidiaries of Mereo BioPharma Group plc</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Jurisdiction of</w:t>
            </w:r>
          </w:p>
        </w:tc>
        <w:tc>
          <w:tcPr>
            <w:tcW w:w="0" w:type="dxa"/>
            <w:vAlign w:val="bottom"/>
          </w:tcPr>
          <w:p>
            <w:pPr>
              <w:spacing w:after="0"/>
              <w:rPr>
                <w:sz w:val="1"/>
                <w:szCs w:val="1"/>
                <w:color w:val="auto"/>
              </w:rPr>
            </w:pPr>
          </w:p>
        </w:tc>
      </w:tr>
      <w:tr>
        <w:trPr>
          <w:trHeight w:val="178"/>
        </w:trPr>
        <w:tc>
          <w:tcPr>
            <w:tcW w:w="5960" w:type="dxa"/>
            <w:vAlign w:val="bottom"/>
            <w:vMerge w:val="restart"/>
          </w:tcPr>
          <w:p>
            <w:pPr>
              <w:spacing w:after="0"/>
              <w:rPr>
                <w:sz w:val="20"/>
                <w:szCs w:val="20"/>
                <w:color w:val="auto"/>
              </w:rPr>
            </w:pPr>
            <w:r>
              <w:rPr>
                <w:rFonts w:ascii="Arial" w:cs="Arial" w:eastAsia="Arial" w:hAnsi="Arial"/>
                <w:sz w:val="17"/>
                <w:szCs w:val="17"/>
                <w:b w:val="1"/>
                <w:bCs w:val="1"/>
                <w:color w:val="auto"/>
              </w:rPr>
              <w:t>Legal Name of Subsidiary</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Organization</w:t>
            </w:r>
          </w:p>
        </w:tc>
        <w:tc>
          <w:tcPr>
            <w:tcW w:w="0" w:type="dxa"/>
            <w:vAlign w:val="bottom"/>
          </w:tcPr>
          <w:p>
            <w:pPr>
              <w:spacing w:after="0"/>
              <w:rPr>
                <w:sz w:val="1"/>
                <w:szCs w:val="1"/>
                <w:color w:val="auto"/>
              </w:rPr>
            </w:pPr>
          </w:p>
        </w:tc>
      </w:tr>
      <w:tr>
        <w:trPr>
          <w:trHeight w:val="175"/>
        </w:trPr>
        <w:tc>
          <w:tcPr>
            <w:tcW w:w="59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BioPharma 1 Limited</w:t>
            </w:r>
          </w:p>
        </w:tc>
        <w:tc>
          <w:tcPr>
            <w:tcW w:w="1220" w:type="dxa"/>
            <w:vAlign w:val="bottom"/>
          </w:tcPr>
          <w:p>
            <w:pPr>
              <w:jc w:val="center"/>
              <w:spacing w:after="0"/>
              <w:rPr>
                <w:sz w:val="20"/>
                <w:szCs w:val="20"/>
                <w:color w:val="auto"/>
              </w:rPr>
            </w:pPr>
            <w:r>
              <w:rPr>
                <w:rFonts w:ascii="Arial" w:cs="Arial" w:eastAsia="Arial" w:hAnsi="Arial"/>
                <w:sz w:val="17"/>
                <w:szCs w:val="17"/>
                <w:color w:val="auto"/>
                <w:w w:val="97"/>
              </w:rPr>
              <w:t>United Kingdom</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BioPharma 2 Limited</w:t>
            </w:r>
          </w:p>
        </w:tc>
        <w:tc>
          <w:tcPr>
            <w:tcW w:w="1220" w:type="dxa"/>
            <w:vAlign w:val="bottom"/>
          </w:tcPr>
          <w:p>
            <w:pPr>
              <w:jc w:val="center"/>
              <w:spacing w:after="0"/>
              <w:rPr>
                <w:sz w:val="20"/>
                <w:szCs w:val="20"/>
                <w:color w:val="auto"/>
              </w:rPr>
            </w:pPr>
            <w:r>
              <w:rPr>
                <w:rFonts w:ascii="Arial" w:cs="Arial" w:eastAsia="Arial" w:hAnsi="Arial"/>
                <w:sz w:val="17"/>
                <w:szCs w:val="17"/>
                <w:color w:val="auto"/>
                <w:w w:val="97"/>
              </w:rPr>
              <w:t>United Kingdom</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BioPharma 3 Limited</w:t>
            </w:r>
          </w:p>
        </w:tc>
        <w:tc>
          <w:tcPr>
            <w:tcW w:w="1220" w:type="dxa"/>
            <w:vAlign w:val="bottom"/>
          </w:tcPr>
          <w:p>
            <w:pPr>
              <w:jc w:val="center"/>
              <w:spacing w:after="0"/>
              <w:rPr>
                <w:sz w:val="20"/>
                <w:szCs w:val="20"/>
                <w:color w:val="auto"/>
              </w:rPr>
            </w:pPr>
            <w:r>
              <w:rPr>
                <w:rFonts w:ascii="Arial" w:cs="Arial" w:eastAsia="Arial" w:hAnsi="Arial"/>
                <w:sz w:val="17"/>
                <w:szCs w:val="17"/>
                <w:color w:val="auto"/>
                <w:w w:val="97"/>
              </w:rPr>
              <w:t>United Kingdom</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BioPharma 4 Limited</w:t>
            </w:r>
          </w:p>
        </w:tc>
        <w:tc>
          <w:tcPr>
            <w:tcW w:w="1220" w:type="dxa"/>
            <w:vAlign w:val="bottom"/>
          </w:tcPr>
          <w:p>
            <w:pPr>
              <w:jc w:val="center"/>
              <w:spacing w:after="0"/>
              <w:rPr>
                <w:sz w:val="20"/>
                <w:szCs w:val="20"/>
                <w:color w:val="auto"/>
              </w:rPr>
            </w:pPr>
            <w:r>
              <w:rPr>
                <w:rFonts w:ascii="Arial" w:cs="Arial" w:eastAsia="Arial" w:hAnsi="Arial"/>
                <w:sz w:val="17"/>
                <w:szCs w:val="17"/>
                <w:color w:val="auto"/>
                <w:w w:val="97"/>
              </w:rPr>
              <w:t>United Kingdom</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BioPharma Ireland Limited</w:t>
            </w:r>
          </w:p>
        </w:tc>
        <w:tc>
          <w:tcPr>
            <w:tcW w:w="1220" w:type="dxa"/>
            <w:vAlign w:val="bottom"/>
          </w:tcPr>
          <w:p>
            <w:pPr>
              <w:jc w:val="center"/>
              <w:spacing w:after="0"/>
              <w:rPr>
                <w:sz w:val="20"/>
                <w:szCs w:val="20"/>
                <w:color w:val="auto"/>
              </w:rPr>
            </w:pPr>
            <w:r>
              <w:rPr>
                <w:rFonts w:ascii="Arial" w:cs="Arial" w:eastAsia="Arial" w:hAnsi="Arial"/>
                <w:sz w:val="17"/>
                <w:szCs w:val="17"/>
                <w:color w:val="auto"/>
                <w:w w:val="96"/>
              </w:rPr>
              <w:t>Ireland</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Mereo US Holdings Inc.</w:t>
            </w: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Delaware</w:t>
            </w:r>
          </w:p>
        </w:tc>
        <w:tc>
          <w:tcPr>
            <w:tcW w:w="0" w:type="dxa"/>
            <w:vAlign w:val="bottom"/>
          </w:tcPr>
          <w:p>
            <w:pPr>
              <w:spacing w:after="0"/>
              <w:rPr>
                <w:sz w:val="1"/>
                <w:szCs w:val="1"/>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7"/>
                <w:szCs w:val="17"/>
                <w:color w:val="auto"/>
              </w:rPr>
              <w:t>OncoMed Pharmaceuticals, Inc.</w:t>
            </w: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Delaware</w:t>
            </w:r>
          </w:p>
        </w:tc>
        <w:tc>
          <w:tcPr>
            <w:tcW w:w="0" w:type="dxa"/>
            <w:vAlign w:val="bottom"/>
          </w:tcPr>
          <w:p>
            <w:pPr>
              <w:spacing w:after="0"/>
              <w:rPr>
                <w:sz w:val="1"/>
                <w:szCs w:val="1"/>
                <w:color w:val="auto"/>
              </w:rPr>
            </w:pPr>
          </w:p>
        </w:tc>
      </w:tr>
      <w:tr>
        <w:trPr>
          <w:trHeight w:val="220"/>
        </w:trPr>
        <w:tc>
          <w:tcPr>
            <w:tcW w:w="5960" w:type="dxa"/>
            <w:vAlign w:val="bottom"/>
          </w:tcPr>
          <w:p>
            <w:pPr>
              <w:spacing w:after="0"/>
              <w:rPr>
                <w:sz w:val="20"/>
                <w:szCs w:val="20"/>
                <w:color w:val="auto"/>
              </w:rPr>
            </w:pPr>
            <w:r>
              <w:rPr>
                <w:rFonts w:ascii="Arial" w:cs="Arial" w:eastAsia="Arial" w:hAnsi="Arial"/>
                <w:sz w:val="17"/>
                <w:szCs w:val="17"/>
                <w:color w:val="auto"/>
              </w:rPr>
              <w:t>NAVI Subsidiary, Inc.</w:t>
            </w:r>
          </w:p>
        </w:tc>
        <w:tc>
          <w:tcPr>
            <w:tcW w:w="1220" w:type="dxa"/>
            <w:vAlign w:val="bottom"/>
          </w:tcPr>
          <w:p>
            <w:pPr>
              <w:jc w:val="center"/>
              <w:spacing w:after="0"/>
              <w:rPr>
                <w:sz w:val="20"/>
                <w:szCs w:val="20"/>
                <w:color w:val="auto"/>
              </w:rPr>
            </w:pPr>
            <w:r>
              <w:rPr>
                <w:rFonts w:ascii="Arial" w:cs="Arial" w:eastAsia="Arial" w:hAnsi="Arial"/>
                <w:sz w:val="17"/>
                <w:szCs w:val="17"/>
                <w:color w:val="auto"/>
                <w:w w:val="91"/>
              </w:rPr>
              <w:t>Delaware</w:t>
            </w:r>
          </w:p>
        </w:tc>
        <w:tc>
          <w:tcPr>
            <w:tcW w:w="0" w:type="dxa"/>
            <w:vAlign w:val="bottom"/>
          </w:tcPr>
          <w:p>
            <w:pPr>
              <w:spacing w:after="0"/>
              <w:rPr>
                <w:sz w:val="1"/>
                <w:szCs w:val="1"/>
                <w:color w:val="auto"/>
              </w:rPr>
            </w:pPr>
          </w:p>
        </w:tc>
      </w:tr>
    </w:tbl>
    <w:p>
      <w:pPr>
        <w:sectPr>
          <w:pgSz w:w="11900" w:h="16838" w:orient="portrait"/>
          <w:cols w:equalWidth="0" w:num="1">
            <w:col w:w="9800"/>
          </w:cols>
          <w:pgMar w:left="1440" w:top="121" w:right="659" w:bottom="1440" w:gutter="0" w:footer="0" w:header="0"/>
        </w:sectPr>
      </w:pPr>
    </w:p>
    <w:bookmarkStart w:id="284" w:name="page285"/>
    <w:bookmarkEnd w:id="284"/>
    <w:p>
      <w:pPr>
        <w:jc w:val="right"/>
        <w:spacing w:after="0"/>
        <w:rPr>
          <w:sz w:val="20"/>
          <w:szCs w:val="20"/>
          <w:color w:val="auto"/>
        </w:rPr>
      </w:pPr>
      <w:r>
        <w:rPr>
          <w:rFonts w:ascii="Arial" w:cs="Arial" w:eastAsia="Arial" w:hAnsi="Arial"/>
          <w:sz w:val="17"/>
          <w:szCs w:val="17"/>
          <w:b w:val="1"/>
          <w:bCs w:val="1"/>
          <w:color w:val="auto"/>
        </w:rPr>
        <w:t>Exhibit 12.1</w:t>
      </w:r>
    </w:p>
    <w:p>
      <w:pPr>
        <w:spacing w:after="0" w:line="219"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Certification by the Chief Executive Officer</w:t>
      </w:r>
    </w:p>
    <w:p>
      <w:pPr>
        <w:spacing w:after="0" w:line="30"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17"/>
          <w:szCs w:val="17"/>
          <w:color w:val="auto"/>
        </w:rPr>
        <w:t>I, Denise Scots-Knight, certify that:</w:t>
      </w:r>
    </w:p>
    <w:p>
      <w:pPr>
        <w:spacing w:after="0" w:line="128" w:lineRule="exact"/>
        <w:rPr>
          <w:sz w:val="20"/>
          <w:szCs w:val="20"/>
          <w:color w:val="auto"/>
        </w:rPr>
      </w:pPr>
    </w:p>
    <w:p>
      <w:pPr>
        <w:ind w:left="409" w:hanging="409"/>
        <w:spacing w:after="0"/>
        <w:tabs>
          <w:tab w:leader="none" w:pos="40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Mereo BioPharma Group plc;</w:t>
      </w:r>
    </w:p>
    <w:p>
      <w:pPr>
        <w:spacing w:after="0" w:line="128" w:lineRule="exact"/>
        <w:rPr>
          <w:rFonts w:ascii="Arial" w:cs="Arial" w:eastAsia="Arial" w:hAnsi="Arial"/>
          <w:sz w:val="17"/>
          <w:szCs w:val="17"/>
          <w:color w:val="auto"/>
        </w:rPr>
      </w:pPr>
    </w:p>
    <w:p>
      <w:pPr>
        <w:jc w:val="both"/>
        <w:ind w:left="409" w:right="120" w:hanging="409"/>
        <w:spacing w:after="0" w:line="269" w:lineRule="auto"/>
        <w:tabs>
          <w:tab w:leader="none" w:pos="409" w:val="left"/>
        </w:tabs>
        <w:numPr>
          <w:ilvl w:val="0"/>
          <w:numId w:val="25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7"/>
          <w:szCs w:val="17"/>
          <w:color w:val="auto"/>
        </w:rPr>
      </w:pPr>
    </w:p>
    <w:p>
      <w:pPr>
        <w:ind w:left="409" w:right="80" w:hanging="409"/>
        <w:spacing w:after="0" w:line="316" w:lineRule="auto"/>
        <w:tabs>
          <w:tab w:leader="none" w:pos="40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6" w:lineRule="exact"/>
        <w:rPr>
          <w:rFonts w:ascii="Arial" w:cs="Arial" w:eastAsia="Arial" w:hAnsi="Arial"/>
          <w:sz w:val="16"/>
          <w:szCs w:val="16"/>
          <w:color w:val="auto"/>
        </w:rPr>
      </w:pPr>
    </w:p>
    <w:p>
      <w:pPr>
        <w:ind w:left="409" w:right="140" w:hanging="409"/>
        <w:spacing w:after="0" w:line="297" w:lineRule="auto"/>
        <w:tabs>
          <w:tab w:leader="none" w:pos="409" w:val="left"/>
        </w:tabs>
        <w:numPr>
          <w:ilvl w:val="0"/>
          <w:numId w:val="259"/>
        </w:numPr>
        <w:rPr>
          <w:rFonts w:ascii="Arial" w:cs="Arial" w:eastAsia="Arial" w:hAnsi="Arial"/>
          <w:sz w:val="15"/>
          <w:szCs w:val="15"/>
          <w:color w:val="auto"/>
        </w:rPr>
      </w:pPr>
      <w:r>
        <w:rPr>
          <w:rFonts w:ascii="Arial" w:cs="Arial" w:eastAsia="Arial" w:hAnsi="Arial"/>
          <w:sz w:val="15"/>
          <w:szCs w:val="15"/>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09"/>
        <w:spacing w:after="0"/>
        <w:rPr>
          <w:rFonts w:ascii="Arial" w:cs="Arial" w:eastAsia="Arial" w:hAnsi="Arial"/>
          <w:sz w:val="15"/>
          <w:szCs w:val="15"/>
          <w:color w:val="auto"/>
        </w:rPr>
      </w:pPr>
      <w:r>
        <w:rPr>
          <w:rFonts w:ascii="Arial" w:cs="Arial" w:eastAsia="Arial" w:hAnsi="Arial"/>
          <w:sz w:val="17"/>
          <w:szCs w:val="17"/>
          <w:color w:val="auto"/>
        </w:rPr>
        <w:t>15d-15(f)) for the company and have:</w:t>
      </w:r>
    </w:p>
    <w:p>
      <w:pPr>
        <w:spacing w:after="0" w:line="115" w:lineRule="exact"/>
        <w:rPr>
          <w:rFonts w:ascii="Arial" w:cs="Arial" w:eastAsia="Arial" w:hAnsi="Arial"/>
          <w:sz w:val="15"/>
          <w:szCs w:val="15"/>
          <w:color w:val="auto"/>
        </w:rPr>
      </w:pPr>
    </w:p>
    <w:p>
      <w:pPr>
        <w:ind w:left="829" w:right="120" w:hanging="415"/>
        <w:spacing w:after="0" w:line="269" w:lineRule="auto"/>
        <w:tabs>
          <w:tab w:leader="none" w:pos="829" w:val="left"/>
        </w:tabs>
        <w:numPr>
          <w:ilvl w:val="1"/>
          <w:numId w:val="2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7"/>
          <w:szCs w:val="17"/>
          <w:color w:val="auto"/>
        </w:rPr>
      </w:pPr>
    </w:p>
    <w:p>
      <w:pPr>
        <w:ind w:left="829" w:right="260" w:hanging="415"/>
        <w:spacing w:after="0" w:line="269" w:lineRule="auto"/>
        <w:tabs>
          <w:tab w:leader="none" w:pos="829" w:val="left"/>
        </w:tabs>
        <w:numPr>
          <w:ilvl w:val="1"/>
          <w:numId w:val="2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7"/>
          <w:szCs w:val="17"/>
          <w:color w:val="auto"/>
        </w:rPr>
      </w:pPr>
    </w:p>
    <w:p>
      <w:pPr>
        <w:jc w:val="both"/>
        <w:ind w:left="829" w:right="420" w:hanging="415"/>
        <w:spacing w:after="0" w:line="354" w:lineRule="auto"/>
        <w:tabs>
          <w:tab w:leader="none" w:pos="829" w:val="left"/>
        </w:tabs>
        <w:numPr>
          <w:ilvl w:val="1"/>
          <w:numId w:val="259"/>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Arial" w:cs="Arial" w:eastAsia="Arial" w:hAnsi="Arial"/>
          <w:sz w:val="15"/>
          <w:szCs w:val="15"/>
          <w:color w:val="auto"/>
        </w:rPr>
      </w:pPr>
    </w:p>
    <w:p>
      <w:pPr>
        <w:jc w:val="both"/>
        <w:ind w:left="829" w:right="40" w:hanging="415"/>
        <w:spacing w:after="0" w:line="269" w:lineRule="auto"/>
        <w:tabs>
          <w:tab w:leader="none" w:pos="829" w:val="left"/>
        </w:tabs>
        <w:numPr>
          <w:ilvl w:val="1"/>
          <w:numId w:val="259"/>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0" w:lineRule="exact"/>
        <w:rPr>
          <w:rFonts w:ascii="Arial" w:cs="Arial" w:eastAsia="Arial" w:hAnsi="Arial"/>
          <w:sz w:val="17"/>
          <w:szCs w:val="17"/>
          <w:color w:val="auto"/>
        </w:rPr>
      </w:pPr>
    </w:p>
    <w:p>
      <w:pPr>
        <w:ind w:left="409" w:right="100" w:hanging="409"/>
        <w:spacing w:after="0" w:line="316" w:lineRule="auto"/>
        <w:tabs>
          <w:tab w:leader="none" w:pos="409"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6" w:lineRule="exact"/>
        <w:rPr>
          <w:rFonts w:ascii="Arial" w:cs="Arial" w:eastAsia="Arial" w:hAnsi="Arial"/>
          <w:sz w:val="16"/>
          <w:szCs w:val="16"/>
          <w:color w:val="auto"/>
        </w:rPr>
      </w:pPr>
    </w:p>
    <w:p>
      <w:pPr>
        <w:ind w:left="829" w:right="640" w:hanging="415"/>
        <w:spacing w:after="0" w:line="354" w:lineRule="auto"/>
        <w:tabs>
          <w:tab w:leader="none" w:pos="829" w:val="left"/>
        </w:tabs>
        <w:numPr>
          <w:ilvl w:val="1"/>
          <w:numId w:val="25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 w:lineRule="exact"/>
        <w:rPr>
          <w:rFonts w:ascii="Arial" w:cs="Arial" w:eastAsia="Arial" w:hAnsi="Arial"/>
          <w:sz w:val="15"/>
          <w:szCs w:val="15"/>
          <w:color w:val="auto"/>
        </w:rPr>
      </w:pPr>
    </w:p>
    <w:p>
      <w:pPr>
        <w:ind w:left="829" w:right="360" w:hanging="415"/>
        <w:spacing w:after="0" w:line="284" w:lineRule="auto"/>
        <w:tabs>
          <w:tab w:leader="none" w:pos="829" w:val="left"/>
        </w:tabs>
        <w:numPr>
          <w:ilvl w:val="1"/>
          <w:numId w:val="25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7"/>
          <w:szCs w:val="17"/>
          <w:color w:val="auto"/>
        </w:rPr>
        <w:t>Date: April 29, 2019</w:t>
      </w:r>
    </w:p>
    <w:p>
      <w:pPr>
        <w:spacing w:after="0" w:line="245" w:lineRule="exact"/>
        <w:rPr>
          <w:sz w:val="20"/>
          <w:szCs w:val="20"/>
          <w:color w:val="auto"/>
        </w:rPr>
      </w:pPr>
    </w:p>
    <w:p>
      <w:pPr>
        <w:ind w:left="6349"/>
        <w:spacing w:after="0"/>
        <w:rPr>
          <w:sz w:val="20"/>
          <w:szCs w:val="20"/>
          <w:color w:val="auto"/>
        </w:rPr>
      </w:pPr>
      <w:r>
        <w:rPr>
          <w:rFonts w:ascii="Arial" w:cs="Arial" w:eastAsia="Arial" w:hAnsi="Arial"/>
          <w:sz w:val="17"/>
          <w:szCs w:val="17"/>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15240</wp:posOffset>
            </wp:positionV>
            <wp:extent cx="26803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8" w:lineRule="exact"/>
        <w:rPr>
          <w:sz w:val="20"/>
          <w:szCs w:val="20"/>
          <w:color w:val="auto"/>
        </w:rPr>
      </w:pPr>
    </w:p>
    <w:p>
      <w:pPr>
        <w:ind w:left="6349"/>
        <w:spacing w:after="0"/>
        <w:rPr>
          <w:sz w:val="20"/>
          <w:szCs w:val="20"/>
          <w:color w:val="auto"/>
        </w:rPr>
      </w:pPr>
      <w:r>
        <w:rPr>
          <w:rFonts w:ascii="Arial" w:cs="Arial" w:eastAsia="Arial" w:hAnsi="Arial"/>
          <w:sz w:val="17"/>
          <w:szCs w:val="17"/>
          <w:color w:val="auto"/>
        </w:rPr>
        <w:t>Name: Denise Scots-Knight, Ph.D.</w:t>
      </w:r>
    </w:p>
    <w:p>
      <w:pPr>
        <w:spacing w:after="0" w:line="24" w:lineRule="exact"/>
        <w:rPr>
          <w:sz w:val="20"/>
          <w:szCs w:val="20"/>
          <w:color w:val="auto"/>
        </w:rPr>
      </w:pPr>
    </w:p>
    <w:p>
      <w:pPr>
        <w:ind w:left="6349"/>
        <w:spacing w:after="0"/>
        <w:tabs>
          <w:tab w:leader="none" w:pos="6889" w:val="left"/>
        </w:tabs>
        <w:rPr>
          <w:sz w:val="20"/>
          <w:szCs w:val="20"/>
          <w:color w:val="auto"/>
        </w:rPr>
      </w:pPr>
      <w:r>
        <w:rPr>
          <w:rFonts w:ascii="Arial" w:cs="Arial" w:eastAsia="Arial" w:hAnsi="Arial"/>
          <w:sz w:val="17"/>
          <w:szCs w:val="17"/>
          <w:color w:val="auto"/>
        </w:rPr>
        <w:t>Title:</w:t>
        <w:tab/>
        <w:t>Chief Executive Officer</w:t>
      </w:r>
    </w:p>
    <w:p>
      <w:pPr>
        <w:sectPr>
          <w:pgSz w:w="11900" w:h="16838" w:orient="portrait"/>
          <w:cols w:equalWidth="0" w:num="1">
            <w:col w:w="10569"/>
          </w:cols>
          <w:pgMar w:left="671" w:top="121" w:right="659" w:bottom="1440" w:gutter="0" w:footer="0" w:header="0"/>
        </w:sectPr>
      </w:pPr>
    </w:p>
    <w:bookmarkStart w:id="285" w:name="page286"/>
    <w:bookmarkEnd w:id="285"/>
    <w:p>
      <w:pPr>
        <w:jc w:val="right"/>
        <w:spacing w:after="0"/>
        <w:rPr>
          <w:sz w:val="20"/>
          <w:szCs w:val="20"/>
          <w:color w:val="auto"/>
        </w:rPr>
      </w:pPr>
      <w:r>
        <w:rPr>
          <w:rFonts w:ascii="Arial" w:cs="Arial" w:eastAsia="Arial" w:hAnsi="Arial"/>
          <w:sz w:val="17"/>
          <w:szCs w:val="17"/>
          <w:b w:val="1"/>
          <w:bCs w:val="1"/>
          <w:color w:val="auto"/>
        </w:rPr>
        <w:t>Exhibit 12.2</w:t>
      </w:r>
    </w:p>
    <w:p>
      <w:pPr>
        <w:spacing w:after="0" w:line="219"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Certification by the Chief Financial Officer</w:t>
      </w:r>
    </w:p>
    <w:p>
      <w:pPr>
        <w:spacing w:after="0" w:line="30"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17"/>
          <w:szCs w:val="17"/>
          <w:color w:val="auto"/>
        </w:rPr>
        <w:t>I, Richard Jones, certify that:</w:t>
      </w:r>
    </w:p>
    <w:p>
      <w:pPr>
        <w:spacing w:after="0" w:line="128" w:lineRule="exact"/>
        <w:rPr>
          <w:sz w:val="20"/>
          <w:szCs w:val="20"/>
          <w:color w:val="auto"/>
        </w:rPr>
      </w:pPr>
    </w:p>
    <w:p>
      <w:pPr>
        <w:ind w:left="409" w:hanging="409"/>
        <w:spacing w:after="0"/>
        <w:tabs>
          <w:tab w:leader="none" w:pos="409"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Mereo BioPharma Group plc;</w:t>
      </w:r>
    </w:p>
    <w:p>
      <w:pPr>
        <w:spacing w:after="0" w:line="128" w:lineRule="exact"/>
        <w:rPr>
          <w:rFonts w:ascii="Arial" w:cs="Arial" w:eastAsia="Arial" w:hAnsi="Arial"/>
          <w:sz w:val="17"/>
          <w:szCs w:val="17"/>
          <w:color w:val="auto"/>
        </w:rPr>
      </w:pPr>
    </w:p>
    <w:p>
      <w:pPr>
        <w:jc w:val="both"/>
        <w:ind w:left="409" w:right="120" w:hanging="409"/>
        <w:spacing w:after="0" w:line="269" w:lineRule="auto"/>
        <w:tabs>
          <w:tab w:leader="none" w:pos="409" w:val="left"/>
        </w:tabs>
        <w:numPr>
          <w:ilvl w:val="0"/>
          <w:numId w:val="26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7"/>
          <w:szCs w:val="17"/>
          <w:color w:val="auto"/>
        </w:rPr>
      </w:pPr>
    </w:p>
    <w:p>
      <w:pPr>
        <w:ind w:left="409" w:right="80" w:hanging="409"/>
        <w:spacing w:after="0" w:line="316" w:lineRule="auto"/>
        <w:tabs>
          <w:tab w:leader="none" w:pos="40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6" w:lineRule="exact"/>
        <w:rPr>
          <w:rFonts w:ascii="Arial" w:cs="Arial" w:eastAsia="Arial" w:hAnsi="Arial"/>
          <w:sz w:val="16"/>
          <w:szCs w:val="16"/>
          <w:color w:val="auto"/>
        </w:rPr>
      </w:pPr>
    </w:p>
    <w:p>
      <w:pPr>
        <w:ind w:left="409" w:right="140" w:hanging="409"/>
        <w:spacing w:after="0" w:line="297" w:lineRule="auto"/>
        <w:tabs>
          <w:tab w:leader="none" w:pos="409"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09"/>
        <w:spacing w:after="0"/>
        <w:rPr>
          <w:rFonts w:ascii="Arial" w:cs="Arial" w:eastAsia="Arial" w:hAnsi="Arial"/>
          <w:sz w:val="15"/>
          <w:szCs w:val="15"/>
          <w:color w:val="auto"/>
        </w:rPr>
      </w:pPr>
      <w:r>
        <w:rPr>
          <w:rFonts w:ascii="Arial" w:cs="Arial" w:eastAsia="Arial" w:hAnsi="Arial"/>
          <w:sz w:val="17"/>
          <w:szCs w:val="17"/>
          <w:color w:val="auto"/>
        </w:rPr>
        <w:t>15d-15(f)) for the company and have:</w:t>
      </w:r>
    </w:p>
    <w:p>
      <w:pPr>
        <w:spacing w:after="0" w:line="115" w:lineRule="exact"/>
        <w:rPr>
          <w:rFonts w:ascii="Arial" w:cs="Arial" w:eastAsia="Arial" w:hAnsi="Arial"/>
          <w:sz w:val="15"/>
          <w:szCs w:val="15"/>
          <w:color w:val="auto"/>
        </w:rPr>
      </w:pPr>
    </w:p>
    <w:p>
      <w:pPr>
        <w:ind w:left="829" w:right="120" w:hanging="415"/>
        <w:spacing w:after="0" w:line="269" w:lineRule="auto"/>
        <w:tabs>
          <w:tab w:leader="none" w:pos="829" w:val="left"/>
        </w:tabs>
        <w:numPr>
          <w:ilvl w:val="1"/>
          <w:numId w:val="2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7"/>
          <w:szCs w:val="17"/>
          <w:color w:val="auto"/>
        </w:rPr>
      </w:pPr>
    </w:p>
    <w:p>
      <w:pPr>
        <w:ind w:left="829" w:right="260" w:hanging="415"/>
        <w:spacing w:after="0" w:line="269" w:lineRule="auto"/>
        <w:tabs>
          <w:tab w:leader="none" w:pos="829" w:val="left"/>
        </w:tabs>
        <w:numPr>
          <w:ilvl w:val="1"/>
          <w:numId w:val="2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7"/>
          <w:szCs w:val="17"/>
          <w:color w:val="auto"/>
        </w:rPr>
      </w:pPr>
    </w:p>
    <w:p>
      <w:pPr>
        <w:jc w:val="both"/>
        <w:ind w:left="829" w:right="420" w:hanging="415"/>
        <w:spacing w:after="0" w:line="354" w:lineRule="auto"/>
        <w:tabs>
          <w:tab w:leader="none" w:pos="829" w:val="left"/>
        </w:tabs>
        <w:numPr>
          <w:ilvl w:val="1"/>
          <w:numId w:val="260"/>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Arial" w:cs="Arial" w:eastAsia="Arial" w:hAnsi="Arial"/>
          <w:sz w:val="15"/>
          <w:szCs w:val="15"/>
          <w:color w:val="auto"/>
        </w:rPr>
      </w:pPr>
    </w:p>
    <w:p>
      <w:pPr>
        <w:jc w:val="both"/>
        <w:ind w:left="829" w:right="40" w:hanging="415"/>
        <w:spacing w:after="0" w:line="269" w:lineRule="auto"/>
        <w:tabs>
          <w:tab w:leader="none" w:pos="829" w:val="left"/>
        </w:tabs>
        <w:numPr>
          <w:ilvl w:val="1"/>
          <w:numId w:val="260"/>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0" w:lineRule="exact"/>
        <w:rPr>
          <w:rFonts w:ascii="Arial" w:cs="Arial" w:eastAsia="Arial" w:hAnsi="Arial"/>
          <w:sz w:val="17"/>
          <w:szCs w:val="17"/>
          <w:color w:val="auto"/>
        </w:rPr>
      </w:pPr>
    </w:p>
    <w:p>
      <w:pPr>
        <w:ind w:left="409" w:right="100" w:hanging="409"/>
        <w:spacing w:after="0" w:line="316" w:lineRule="auto"/>
        <w:tabs>
          <w:tab w:leader="none" w:pos="409"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6" w:lineRule="exact"/>
        <w:rPr>
          <w:rFonts w:ascii="Arial" w:cs="Arial" w:eastAsia="Arial" w:hAnsi="Arial"/>
          <w:sz w:val="16"/>
          <w:szCs w:val="16"/>
          <w:color w:val="auto"/>
        </w:rPr>
      </w:pPr>
    </w:p>
    <w:p>
      <w:pPr>
        <w:ind w:left="829" w:right="640" w:hanging="415"/>
        <w:spacing w:after="0" w:line="354" w:lineRule="auto"/>
        <w:tabs>
          <w:tab w:leader="none" w:pos="829" w:val="left"/>
        </w:tabs>
        <w:numPr>
          <w:ilvl w:val="1"/>
          <w:numId w:val="26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 w:lineRule="exact"/>
        <w:rPr>
          <w:rFonts w:ascii="Arial" w:cs="Arial" w:eastAsia="Arial" w:hAnsi="Arial"/>
          <w:sz w:val="15"/>
          <w:szCs w:val="15"/>
          <w:color w:val="auto"/>
        </w:rPr>
      </w:pPr>
    </w:p>
    <w:p>
      <w:pPr>
        <w:ind w:left="829" w:right="360" w:hanging="415"/>
        <w:spacing w:after="0" w:line="284" w:lineRule="auto"/>
        <w:tabs>
          <w:tab w:leader="none" w:pos="829"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7"/>
          <w:szCs w:val="17"/>
          <w:color w:val="auto"/>
        </w:rPr>
        <w:t>Date: April 29, 2019</w:t>
      </w:r>
    </w:p>
    <w:p>
      <w:pPr>
        <w:spacing w:after="0" w:line="245" w:lineRule="exact"/>
        <w:rPr>
          <w:sz w:val="20"/>
          <w:szCs w:val="20"/>
          <w:color w:val="auto"/>
        </w:rPr>
      </w:pPr>
    </w:p>
    <w:p>
      <w:pPr>
        <w:ind w:left="6349"/>
        <w:spacing w:after="0"/>
        <w:rPr>
          <w:sz w:val="20"/>
          <w:szCs w:val="20"/>
          <w:color w:val="auto"/>
        </w:rPr>
      </w:pPr>
      <w:r>
        <w:rPr>
          <w:rFonts w:ascii="Arial" w:cs="Arial" w:eastAsia="Arial" w:hAnsi="Arial"/>
          <w:sz w:val="17"/>
          <w:szCs w:val="17"/>
          <w:color w:val="auto"/>
        </w:rPr>
        <w:t>/s/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15240</wp:posOffset>
            </wp:positionV>
            <wp:extent cx="26803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8" w:lineRule="exact"/>
        <w:rPr>
          <w:sz w:val="20"/>
          <w:szCs w:val="20"/>
          <w:color w:val="auto"/>
        </w:rPr>
      </w:pPr>
    </w:p>
    <w:p>
      <w:pPr>
        <w:ind w:left="6349"/>
        <w:spacing w:after="0"/>
        <w:rPr>
          <w:sz w:val="20"/>
          <w:szCs w:val="20"/>
          <w:color w:val="auto"/>
        </w:rPr>
      </w:pPr>
      <w:r>
        <w:rPr>
          <w:rFonts w:ascii="Arial" w:cs="Arial" w:eastAsia="Arial" w:hAnsi="Arial"/>
          <w:sz w:val="17"/>
          <w:szCs w:val="17"/>
          <w:color w:val="auto"/>
        </w:rPr>
        <w:t>Name: Richard Jones</w:t>
      </w:r>
    </w:p>
    <w:p>
      <w:pPr>
        <w:spacing w:after="0" w:line="24" w:lineRule="exact"/>
        <w:rPr>
          <w:sz w:val="20"/>
          <w:szCs w:val="20"/>
          <w:color w:val="auto"/>
        </w:rPr>
      </w:pPr>
    </w:p>
    <w:p>
      <w:pPr>
        <w:ind w:left="6349"/>
        <w:spacing w:after="0"/>
        <w:tabs>
          <w:tab w:leader="none" w:pos="6889" w:val="left"/>
        </w:tabs>
        <w:rPr>
          <w:sz w:val="20"/>
          <w:szCs w:val="20"/>
          <w:color w:val="auto"/>
        </w:rPr>
      </w:pPr>
      <w:r>
        <w:rPr>
          <w:rFonts w:ascii="Arial" w:cs="Arial" w:eastAsia="Arial" w:hAnsi="Arial"/>
          <w:sz w:val="17"/>
          <w:szCs w:val="17"/>
          <w:color w:val="auto"/>
        </w:rPr>
        <w:t>Title:</w:t>
        <w:tab/>
        <w:t>Chief Financial Officer</w:t>
      </w:r>
    </w:p>
    <w:p>
      <w:pPr>
        <w:sectPr>
          <w:pgSz w:w="11900" w:h="16838" w:orient="portrait"/>
          <w:cols w:equalWidth="0" w:num="1">
            <w:col w:w="10569"/>
          </w:cols>
          <w:pgMar w:left="671" w:top="121" w:right="659" w:bottom="1440" w:gutter="0" w:footer="0" w:header="0"/>
        </w:sectPr>
      </w:pPr>
    </w:p>
    <w:bookmarkStart w:id="286" w:name="page287"/>
    <w:bookmarkEnd w:id="286"/>
    <w:p>
      <w:pPr>
        <w:jc w:val="right"/>
        <w:spacing w:after="0"/>
        <w:rPr>
          <w:sz w:val="20"/>
          <w:szCs w:val="20"/>
          <w:color w:val="auto"/>
        </w:rPr>
      </w:pPr>
      <w:r>
        <w:rPr>
          <w:rFonts w:ascii="Arial" w:cs="Arial" w:eastAsia="Arial" w:hAnsi="Arial"/>
          <w:sz w:val="17"/>
          <w:szCs w:val="17"/>
          <w:b w:val="1"/>
          <w:bCs w:val="1"/>
          <w:color w:val="auto"/>
        </w:rPr>
        <w:t>Exhibit 13.1</w:t>
      </w:r>
    </w:p>
    <w:p>
      <w:pPr>
        <w:spacing w:after="0" w:line="219"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Certification by the Chief Executive Officer</w:t>
      </w:r>
    </w:p>
    <w:p>
      <w:pPr>
        <w:spacing w:after="0" w:line="30"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6" w:lineRule="exact"/>
        <w:rPr>
          <w:sz w:val="20"/>
          <w:szCs w:val="20"/>
          <w:color w:val="auto"/>
        </w:rPr>
      </w:pPr>
    </w:p>
    <w:p>
      <w:pPr>
        <w:ind w:left="9" w:right="340"/>
        <w:spacing w:after="0" w:line="321" w:lineRule="auto"/>
        <w:rPr>
          <w:sz w:val="20"/>
          <w:szCs w:val="20"/>
          <w:color w:val="auto"/>
        </w:rPr>
      </w:pPr>
      <w:r>
        <w:rPr>
          <w:rFonts w:ascii="Arial" w:cs="Arial" w:eastAsia="Arial" w:hAnsi="Arial"/>
          <w:sz w:val="15"/>
          <w:szCs w:val="15"/>
          <w:color w:val="auto"/>
        </w:rPr>
        <w:t>In connection with the annual report of Mereo BioPharma Group plc (the “Company”) on Form 20-F for the year ended December 31, 2018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37" w:lineRule="exact"/>
        <w:rPr>
          <w:sz w:val="20"/>
          <w:szCs w:val="20"/>
          <w:color w:val="auto"/>
        </w:rPr>
      </w:pPr>
    </w:p>
    <w:p>
      <w:pPr>
        <w:ind w:left="249" w:hanging="249"/>
        <w:spacing w:after="0"/>
        <w:tabs>
          <w:tab w:leader="none" w:pos="24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8" w:lineRule="exact"/>
        <w:rPr>
          <w:rFonts w:ascii="Arial" w:cs="Arial" w:eastAsia="Arial" w:hAnsi="Arial"/>
          <w:sz w:val="17"/>
          <w:szCs w:val="17"/>
          <w:color w:val="auto"/>
        </w:rPr>
      </w:pPr>
    </w:p>
    <w:p>
      <w:pPr>
        <w:ind w:left="9" w:right="300" w:hanging="9"/>
        <w:spacing w:after="0" w:line="524" w:lineRule="auto"/>
        <w:tabs>
          <w:tab w:leader="none" w:pos="25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April 29, 2019</w:t>
      </w:r>
    </w:p>
    <w:p>
      <w:pPr>
        <w:spacing w:after="0" w:line="1" w:lineRule="exact"/>
        <w:rPr>
          <w:sz w:val="20"/>
          <w:szCs w:val="20"/>
          <w:color w:val="auto"/>
        </w:rPr>
      </w:pPr>
    </w:p>
    <w:p>
      <w:pPr>
        <w:ind w:left="9"/>
        <w:spacing w:after="0"/>
        <w:tabs>
          <w:tab w:leader="none" w:pos="569"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15240</wp:posOffset>
            </wp:positionV>
            <wp:extent cx="230251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2302510" cy="8255"/>
                    </a:xfrm>
                    <a:prstGeom prst="rect">
                      <a:avLst/>
                    </a:prstGeom>
                    <a:noFill/>
                  </pic:spPr>
                </pic:pic>
              </a:graphicData>
            </a:graphic>
          </wp:anchor>
        </w:drawing>
      </w:r>
    </w:p>
    <w:p>
      <w:pPr>
        <w:spacing w:after="0" w:line="18" w:lineRule="exact"/>
        <w:rPr>
          <w:sz w:val="20"/>
          <w:szCs w:val="20"/>
          <w:color w:val="auto"/>
        </w:rPr>
      </w:pPr>
    </w:p>
    <w:p>
      <w:pPr>
        <w:ind w:left="9"/>
        <w:spacing w:after="0"/>
        <w:tabs>
          <w:tab w:leader="none" w:pos="569"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Denise Scots-Knight, Ph.D.</w:t>
      </w:r>
    </w:p>
    <w:p>
      <w:pPr>
        <w:spacing w:after="0" w:line="24" w:lineRule="exact"/>
        <w:rPr>
          <w:sz w:val="20"/>
          <w:szCs w:val="20"/>
          <w:color w:val="auto"/>
        </w:rPr>
      </w:pPr>
    </w:p>
    <w:p>
      <w:pPr>
        <w:ind w:left="9"/>
        <w:spacing w:after="0"/>
        <w:tabs>
          <w:tab w:leader="none" w:pos="569" w:val="left"/>
        </w:tabs>
        <w:rPr>
          <w:sz w:val="20"/>
          <w:szCs w:val="20"/>
          <w:color w:val="auto"/>
        </w:rPr>
      </w:pPr>
      <w:r>
        <w:rPr>
          <w:rFonts w:ascii="Arial" w:cs="Arial" w:eastAsia="Arial" w:hAnsi="Arial"/>
          <w:sz w:val="17"/>
          <w:szCs w:val="17"/>
          <w:color w:val="auto"/>
        </w:rPr>
        <w:t>Title:</w:t>
        <w:tab/>
        <w:t>Chief Executive Officer</w:t>
      </w:r>
    </w:p>
    <w:p>
      <w:pPr>
        <w:sectPr>
          <w:pgSz w:w="11900" w:h="16838" w:orient="portrait"/>
          <w:cols w:equalWidth="0" w:num="1">
            <w:col w:w="10569"/>
          </w:cols>
          <w:pgMar w:left="671" w:top="121" w:right="659" w:bottom="1440" w:gutter="0" w:footer="0" w:header="0"/>
        </w:sectPr>
      </w:pPr>
    </w:p>
    <w:bookmarkStart w:id="287" w:name="page288"/>
    <w:bookmarkEnd w:id="287"/>
    <w:p>
      <w:pPr>
        <w:jc w:val="right"/>
        <w:spacing w:after="0"/>
        <w:rPr>
          <w:sz w:val="20"/>
          <w:szCs w:val="20"/>
          <w:color w:val="auto"/>
        </w:rPr>
      </w:pPr>
      <w:r>
        <w:rPr>
          <w:rFonts w:ascii="Arial" w:cs="Arial" w:eastAsia="Arial" w:hAnsi="Arial"/>
          <w:sz w:val="17"/>
          <w:szCs w:val="17"/>
          <w:b w:val="1"/>
          <w:bCs w:val="1"/>
          <w:color w:val="auto"/>
        </w:rPr>
        <w:t>Exhibit 13.2</w:t>
      </w:r>
    </w:p>
    <w:p>
      <w:pPr>
        <w:spacing w:after="0" w:line="219"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Certification by the Chief Financial Officer</w:t>
      </w:r>
    </w:p>
    <w:p>
      <w:pPr>
        <w:spacing w:after="0" w:line="30" w:lineRule="exact"/>
        <w:rPr>
          <w:sz w:val="20"/>
          <w:szCs w:val="20"/>
          <w:color w:val="auto"/>
        </w:rPr>
      </w:pPr>
    </w:p>
    <w:p>
      <w:pPr>
        <w:jc w:val="center"/>
        <w:ind w:right="-8"/>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6" w:lineRule="exact"/>
        <w:rPr>
          <w:sz w:val="20"/>
          <w:szCs w:val="20"/>
          <w:color w:val="auto"/>
        </w:rPr>
      </w:pPr>
    </w:p>
    <w:p>
      <w:pPr>
        <w:jc w:val="both"/>
        <w:ind w:left="9" w:right="340"/>
        <w:spacing w:after="0" w:line="293" w:lineRule="auto"/>
        <w:rPr>
          <w:sz w:val="20"/>
          <w:szCs w:val="20"/>
          <w:color w:val="auto"/>
        </w:rPr>
      </w:pPr>
      <w:r>
        <w:rPr>
          <w:rFonts w:ascii="Arial" w:cs="Arial" w:eastAsia="Arial" w:hAnsi="Arial"/>
          <w:sz w:val="16"/>
          <w:szCs w:val="16"/>
          <w:color w:val="auto"/>
        </w:rPr>
        <w:t>In connection with the annual report of Mereo BioPharma Group plc (the “Company”) on Form 20-F for the year ended December 31, 2018 as filed with the Securities and Exchange Commission on the date hereof (the “Report”), I, Richard Jones, Chief Financial Officer of the Company, certify, pursuant to 18 U.S.C. Section 1350, as adopted pursuant to Section 906 of the Sarbanes-Oxley Act of 2002, that to my knowledge:</w:t>
      </w:r>
    </w:p>
    <w:p>
      <w:pPr>
        <w:spacing w:after="0" w:line="155" w:lineRule="exact"/>
        <w:rPr>
          <w:sz w:val="20"/>
          <w:szCs w:val="20"/>
          <w:color w:val="auto"/>
        </w:rPr>
      </w:pPr>
    </w:p>
    <w:p>
      <w:pPr>
        <w:ind w:left="249" w:hanging="249"/>
        <w:spacing w:after="0"/>
        <w:tabs>
          <w:tab w:leader="none" w:pos="249"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8" w:lineRule="exact"/>
        <w:rPr>
          <w:rFonts w:ascii="Arial" w:cs="Arial" w:eastAsia="Arial" w:hAnsi="Arial"/>
          <w:sz w:val="17"/>
          <w:szCs w:val="17"/>
          <w:color w:val="auto"/>
        </w:rPr>
      </w:pPr>
    </w:p>
    <w:p>
      <w:pPr>
        <w:ind w:left="9" w:right="300" w:hanging="9"/>
        <w:spacing w:after="0" w:line="524" w:lineRule="auto"/>
        <w:tabs>
          <w:tab w:leader="none" w:pos="254"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April 29, 2019</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220"/>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Richard Jones</w:t>
            </w:r>
          </w:p>
        </w:tc>
      </w:tr>
      <w:tr>
        <w:trPr>
          <w:trHeight w:val="201"/>
        </w:trPr>
        <w:tc>
          <w:tcPr>
            <w:tcW w:w="580" w:type="dxa"/>
            <w:vAlign w:val="bottom"/>
          </w:tcPr>
          <w:p>
            <w:pPr>
              <w:spacing w:after="0"/>
              <w:rPr>
                <w:sz w:val="20"/>
                <w:szCs w:val="20"/>
                <w:color w:val="auto"/>
              </w:rPr>
            </w:pPr>
            <w:r>
              <w:rPr>
                <w:rFonts w:ascii="Arial" w:cs="Arial" w:eastAsia="Arial" w:hAnsi="Arial"/>
                <w:sz w:val="17"/>
                <w:szCs w:val="17"/>
                <w:color w:val="auto"/>
              </w:rPr>
              <w:t>Name:</w:t>
            </w:r>
          </w:p>
        </w:tc>
        <w:tc>
          <w:tcPr>
            <w:tcW w:w="3640" w:type="dxa"/>
            <w:vAlign w:val="bottom"/>
          </w:tcPr>
          <w:p>
            <w:pPr>
              <w:spacing w:after="0"/>
              <w:rPr>
                <w:sz w:val="20"/>
                <w:szCs w:val="20"/>
                <w:color w:val="auto"/>
              </w:rPr>
            </w:pPr>
            <w:r>
              <w:rPr>
                <w:rFonts w:ascii="Arial" w:cs="Arial" w:eastAsia="Arial" w:hAnsi="Arial"/>
                <w:sz w:val="17"/>
                <w:szCs w:val="17"/>
                <w:color w:val="auto"/>
              </w:rPr>
              <w:t>Richard Jones</w:t>
            </w:r>
          </w:p>
        </w:tc>
      </w:tr>
      <w:tr>
        <w:trPr>
          <w:trHeight w:val="220"/>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364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1" w:lineRule="exact"/>
        <w:rPr>
          <w:sz w:val="20"/>
          <w:szCs w:val="20"/>
          <w:color w:val="auto"/>
        </w:rPr>
      </w:pPr>
    </w:p>
    <w:sectPr>
      <w:pgSz w:w="11900" w:h="16838" w:orient="portrait"/>
      <w:cols w:equalWidth="0" w:num="1">
        <w:col w:w="10569"/>
      </w:cols>
      <w:pgMar w:left="671" w:top="12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
      <w:numFmt w:val="bullet"/>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
      <w:numFmt w:val="bullet"/>
      <w:start w:val="1"/>
    </w:lvl>
  </w:abstractNum>
  <w:abstractNum w:abstractNumId="5">
    <w:nsid w:val="704E1DD5"/>
    <w:multiLevelType w:val="hybridMultilevel"/>
    <w:lvl w:ilvl="0">
      <w:lvlJc w:val="left"/>
      <w:lvlText w:val="•"/>
      <w:numFmt w:val="bullet"/>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1)"/>
      <w:numFmt w:val="decimal"/>
      <w:start w:val="1"/>
    </w:lvl>
  </w:abstractNum>
  <w:abstractNum w:abstractNumId="8">
    <w:nsid w:val="E3E47A8"/>
    <w:multiLevelType w:val="hybridMultilevel"/>
    <w:lvl w:ilvl="0">
      <w:lvlJc w:val="left"/>
      <w:lvlText w:val="•"/>
      <w:numFmt w:val="bullet"/>
      <w:start w:val="1"/>
    </w:lvl>
  </w:abstractNum>
  <w:abstractNum w:abstractNumId="9">
    <w:nsid w:val="2E48F044"/>
    <w:multiLevelType w:val="hybridMultilevel"/>
    <w:lvl w:ilvl="0">
      <w:lvlJc w:val="left"/>
      <w:lvlText w:val="•"/>
      <w:numFmt w:val="bullet"/>
      <w:start w:val="1"/>
    </w:lvl>
  </w:abstractNum>
  <w:abstractNum w:abstractNumId="10">
    <w:nsid w:val="49D0FEAC"/>
    <w:multiLevelType w:val="hybridMultilevel"/>
    <w:lvl w:ilvl="0">
      <w:lvlJc w:val="left"/>
      <w:lvlText w:val="•"/>
      <w:numFmt w:val="bullet"/>
      <w:start w:val="1"/>
    </w:lvl>
  </w:abstractNum>
  <w:abstractNum w:abstractNumId="11">
    <w:nsid w:val="4BEE5A5B"/>
    <w:multiLevelType w:val="hybridMultilevel"/>
    <w:lvl w:ilvl="0">
      <w:lvlJc w:val="left"/>
      <w:lvlText w:val="•"/>
      <w:numFmt w:val="bullet"/>
      <w:start w:val="1"/>
    </w:lvl>
  </w:abstractNum>
  <w:abstractNum w:abstractNumId="12">
    <w:nsid w:val="5551B9F3"/>
    <w:multiLevelType w:val="hybridMultilevel"/>
    <w:lvl w:ilvl="0">
      <w:lvlJc w:val="left"/>
      <w:lvlText w:val="•"/>
      <w:numFmt w:val="bullet"/>
      <w:start w:val="1"/>
    </w:lvl>
  </w:abstractNum>
  <w:abstractNum w:abstractNumId="13">
    <w:nsid w:val="24F6AB8E"/>
    <w:multiLevelType w:val="hybridMultilevel"/>
    <w:lvl w:ilvl="0">
      <w:lvlJc w:val="left"/>
      <w:lvlText w:val="•"/>
      <w:numFmt w:val="bullet"/>
      <w:start w:val="1"/>
    </w:lvl>
  </w:abstractNum>
  <w:abstractNum w:abstractNumId="14">
    <w:nsid w:val="634C574C"/>
    <w:multiLevelType w:val="hybridMultilevel"/>
    <w:lvl w:ilvl="0">
      <w:lvlJc w:val="left"/>
      <w:lvlText w:val="•"/>
      <w:numFmt w:val="bullet"/>
      <w:start w:val="1"/>
    </w:lvl>
  </w:abstractNum>
  <w:abstractNum w:abstractNumId="15">
    <w:nsid w:val="24E99DD7"/>
    <w:multiLevelType w:val="hybridMultilevel"/>
    <w:lvl w:ilvl="0">
      <w:lvlJc w:val="left"/>
      <w:lvlText w:val="•"/>
      <w:numFmt w:val="bullet"/>
      <w:start w:val="1"/>
    </w:lvl>
  </w:abstractNum>
  <w:abstractNum w:abstractNumId="16">
    <w:nsid w:val="2A31B62D"/>
    <w:multiLevelType w:val="hybridMultilevel"/>
    <w:lvl w:ilvl="0">
      <w:lvlJc w:val="left"/>
      <w:lvlText w:val="•"/>
      <w:numFmt w:val="bullet"/>
      <w:start w:val="1"/>
    </w:lvl>
  </w:abstractNum>
  <w:abstractNum w:abstractNumId="17">
    <w:nsid w:val="1849C29B"/>
    <w:multiLevelType w:val="hybridMultilevel"/>
    <w:lvl w:ilvl="0">
      <w:lvlJc w:val="left"/>
      <w:lvlText w:val="•"/>
      <w:numFmt w:val="bullet"/>
      <w:start w:val="1"/>
    </w:lvl>
  </w:abstractNum>
  <w:abstractNum w:abstractNumId="18">
    <w:nsid w:val="7DFF9D09"/>
    <w:multiLevelType w:val="hybridMultilevel"/>
    <w:lvl w:ilvl="0">
      <w:lvlJc w:val="left"/>
      <w:lvlText w:val="•"/>
      <w:numFmt w:val="bullet"/>
      <w:start w:val="1"/>
    </w:lvl>
  </w:abstractNum>
  <w:abstractNum w:abstractNumId="19">
    <w:nsid w:val="754342"/>
    <w:multiLevelType w:val="hybridMultilevel"/>
    <w:lvl w:ilvl="0">
      <w:lvlJc w:val="left"/>
      <w:lvlText w:val="•"/>
      <w:numFmt w:val="bullet"/>
      <w:start w:val="1"/>
    </w:lvl>
  </w:abstractNum>
  <w:abstractNum w:abstractNumId="20">
    <w:nsid w:val="69E7F3E5"/>
    <w:multiLevelType w:val="hybridMultilevel"/>
    <w:lvl w:ilvl="0">
      <w:lvlJc w:val="left"/>
      <w:lvlText w:val="•"/>
      <w:numFmt w:val="bullet"/>
      <w:start w:val="1"/>
    </w:lvl>
  </w:abstractNum>
  <w:abstractNum w:abstractNumId="21">
    <w:nsid w:val="2A6DE806"/>
    <w:multiLevelType w:val="hybridMultilevel"/>
    <w:lvl w:ilvl="0">
      <w:lvlJc w:val="left"/>
      <w:lvlText w:val="•"/>
      <w:numFmt w:val="bullet"/>
      <w:start w:val="1"/>
    </w:lvl>
  </w:abstractNum>
  <w:abstractNum w:abstractNumId="22">
    <w:nsid w:val="1816F8C4"/>
    <w:multiLevelType w:val="hybridMultilevel"/>
    <w:lvl w:ilvl="0">
      <w:lvlJc w:val="left"/>
      <w:lvlText w:val="•"/>
      <w:numFmt w:val="bullet"/>
      <w:start w:val="1"/>
    </w:lvl>
  </w:abstractNum>
  <w:abstractNum w:abstractNumId="23">
    <w:nsid w:val="37DF2233"/>
    <w:multiLevelType w:val="hybridMultilevel"/>
    <w:lvl w:ilvl="0">
      <w:lvlJc w:val="left"/>
      <w:lvlText w:val="•"/>
      <w:numFmt w:val="bullet"/>
      <w:start w:val="1"/>
    </w:lvl>
  </w:abstractNum>
  <w:abstractNum w:abstractNumId="24">
    <w:nsid w:val="7AB49DAF"/>
    <w:multiLevelType w:val="hybridMultilevel"/>
    <w:lvl w:ilvl="0">
      <w:lvlJc w:val="left"/>
      <w:lvlText w:val="•"/>
      <w:numFmt w:val="bullet"/>
      <w:start w:val="1"/>
    </w:lvl>
  </w:abstractNum>
  <w:abstractNum w:abstractNumId="25">
    <w:nsid w:val="759F82CD"/>
    <w:multiLevelType w:val="hybridMultilevel"/>
    <w:lvl w:ilvl="0">
      <w:lvlJc w:val="left"/>
      <w:lvlText w:val="•"/>
      <w:numFmt w:val="bullet"/>
      <w:start w:val="1"/>
    </w:lvl>
  </w:abstractNum>
  <w:abstractNum w:abstractNumId="26">
    <w:nsid w:val="61E74EA3"/>
    <w:multiLevelType w:val="hybridMultilevel"/>
    <w:lvl w:ilvl="0">
      <w:lvlJc w:val="left"/>
      <w:lvlText w:val="•"/>
      <w:numFmt w:val="bullet"/>
      <w:start w:val="1"/>
    </w:lvl>
  </w:abstractNum>
  <w:abstractNum w:abstractNumId="27">
    <w:nsid w:val="597B4D84"/>
    <w:multiLevelType w:val="hybridMultilevel"/>
    <w:lvl w:ilvl="0">
      <w:lvlJc w:val="left"/>
      <w:lvlText w:val="•"/>
      <w:numFmt w:val="bullet"/>
      <w:start w:val="1"/>
    </w:lvl>
  </w:abstractNum>
  <w:abstractNum w:abstractNumId="28">
    <w:nsid w:val="F819E7F"/>
    <w:multiLevelType w:val="hybridMultilevel"/>
    <w:lvl w:ilvl="0">
      <w:lvlJc w:val="left"/>
      <w:lvlText w:val="•"/>
      <w:numFmt w:val="bullet"/>
      <w:start w:val="1"/>
    </w:lvl>
  </w:abstractNum>
  <w:abstractNum w:abstractNumId="29">
    <w:nsid w:val="57C7D42D"/>
    <w:multiLevelType w:val="hybridMultilevel"/>
    <w:lvl w:ilvl="0">
      <w:lvlJc w:val="left"/>
      <w:lvlText w:val="(%1)"/>
      <w:numFmt w:val="lowerRoman"/>
      <w:start w:val="3"/>
    </w:lvl>
  </w:abstractNum>
  <w:abstractNum w:abstractNumId="30">
    <w:nsid w:val="312167AD"/>
    <w:multiLevelType w:val="hybridMultilevel"/>
    <w:lvl w:ilvl="0">
      <w:lvlJc w:val="left"/>
      <w:lvlText w:val="•"/>
      <w:numFmt w:val="bullet"/>
      <w:start w:val="1"/>
    </w:lvl>
  </w:abstractNum>
  <w:abstractNum w:abstractNumId="31">
    <w:nsid w:val="631B64D4"/>
    <w:multiLevelType w:val="hybridMultilevel"/>
    <w:lvl w:ilvl="0">
      <w:lvlJc w:val="left"/>
      <w:lvlText w:val="•"/>
      <w:numFmt w:val="bullet"/>
      <w:start w:val="1"/>
    </w:lvl>
  </w:abstractNum>
  <w:abstractNum w:abstractNumId="32">
    <w:nsid w:val="78B5E776"/>
    <w:multiLevelType w:val="hybridMultilevel"/>
    <w:lvl w:ilvl="0">
      <w:lvlJc w:val="left"/>
      <w:lvlText w:val="•"/>
      <w:numFmt w:val="bullet"/>
      <w:start w:val="1"/>
    </w:lvl>
  </w:abstractNum>
  <w:abstractNum w:abstractNumId="33">
    <w:nsid w:val="75486E47"/>
    <w:multiLevelType w:val="hybridMultilevel"/>
    <w:lvl w:ilvl="0">
      <w:lvlJc w:val="left"/>
      <w:lvlText w:val="•"/>
      <w:numFmt w:val="bullet"/>
      <w:start w:val="1"/>
    </w:lvl>
  </w:abstractNum>
  <w:abstractNum w:abstractNumId="34">
    <w:nsid w:val="6E534CDE"/>
    <w:multiLevelType w:val="hybridMultilevel"/>
    <w:lvl w:ilvl="0">
      <w:lvlJc w:val="left"/>
      <w:lvlText w:val="•"/>
      <w:numFmt w:val="bullet"/>
      <w:start w:val="1"/>
    </w:lvl>
  </w:abstractNum>
  <w:abstractNum w:abstractNumId="35">
    <w:nsid w:val="1A0DDE32"/>
    <w:multiLevelType w:val="hybridMultilevel"/>
    <w:lvl w:ilvl="0">
      <w:lvlJc w:val="left"/>
      <w:lvlText w:val="•"/>
      <w:numFmt w:val="bullet"/>
      <w:start w:val="1"/>
    </w:lvl>
  </w:abstractNum>
  <w:abstractNum w:abstractNumId="36">
    <w:nsid w:val="65968C1C"/>
    <w:multiLevelType w:val="hybridMultilevel"/>
    <w:lvl w:ilvl="0">
      <w:lvlJc w:val="left"/>
      <w:lvlText w:val="•"/>
      <w:numFmt w:val="bullet"/>
      <w:start w:val="1"/>
    </w:lvl>
  </w:abstractNum>
  <w:abstractNum w:abstractNumId="37">
    <w:nsid w:val="46263DEC"/>
    <w:multiLevelType w:val="hybridMultilevel"/>
    <w:lvl w:ilvl="0">
      <w:lvlJc w:val="left"/>
      <w:lvlText w:val="•"/>
      <w:numFmt w:val="bullet"/>
      <w:start w:val="1"/>
    </w:lvl>
  </w:abstractNum>
  <w:abstractNum w:abstractNumId="38">
    <w:nsid w:val="260D8C4A"/>
    <w:multiLevelType w:val="hybridMultilevel"/>
    <w:lvl w:ilvl="0">
      <w:lvlJc w:val="left"/>
      <w:lvlText w:val="(%1)"/>
      <w:numFmt w:val="lowerRoman"/>
      <w:start w:val="2"/>
    </w:lvl>
  </w:abstractNum>
  <w:abstractNum w:abstractNumId="39">
    <w:nsid w:val="73D4D3C4"/>
    <w:multiLevelType w:val="hybridMultilevel"/>
    <w:lvl w:ilvl="0">
      <w:lvlJc w:val="left"/>
      <w:lvlText w:val="•"/>
      <w:numFmt w:val="bullet"/>
      <w:start w:val="1"/>
    </w:lvl>
  </w:abstractNum>
  <w:abstractNum w:abstractNumId="40">
    <w:nsid w:val="746F2E30"/>
    <w:multiLevelType w:val="hybridMultilevel"/>
    <w:lvl w:ilvl="0">
      <w:lvlJc w:val="left"/>
      <w:lvlText w:val="•"/>
      <w:numFmt w:val="bullet"/>
      <w:start w:val="1"/>
    </w:lvl>
  </w:abstractNum>
  <w:abstractNum w:abstractNumId="41">
    <w:nsid w:val="6FDE8AF6"/>
    <w:multiLevelType w:val="hybridMultilevel"/>
    <w:lvl w:ilvl="0">
      <w:lvlJc w:val="left"/>
      <w:lvlText w:val="•"/>
      <w:numFmt w:val="bullet"/>
      <w:start w:val="1"/>
    </w:lvl>
  </w:abstractNum>
  <w:abstractNum w:abstractNumId="42">
    <w:nsid w:val="3FC32E20"/>
    <w:multiLevelType w:val="hybridMultilevel"/>
    <w:lvl w:ilvl="0">
      <w:lvlJc w:val="left"/>
      <w:lvlText w:val="•"/>
      <w:numFmt w:val="bullet"/>
      <w:start w:val="1"/>
    </w:lvl>
  </w:abstractNum>
  <w:abstractNum w:abstractNumId="43">
    <w:nsid w:val="49C0E823"/>
    <w:multiLevelType w:val="hybridMultilevel"/>
    <w:lvl w:ilvl="0">
      <w:lvlJc w:val="left"/>
      <w:lvlText w:val="•"/>
      <w:numFmt w:val="bullet"/>
      <w:start w:val="1"/>
    </w:lvl>
    <w:lvl w:ilvl="1">
      <w:lvlJc w:val="left"/>
      <w:lvlText w:val="•"/>
      <w:numFmt w:val="bullet"/>
      <w:start w:val="1"/>
    </w:lvl>
  </w:abstractNum>
  <w:abstractNum w:abstractNumId="44">
    <w:nsid w:val="14D53685"/>
    <w:multiLevelType w:val="hybridMultilevel"/>
    <w:lvl w:ilvl="0">
      <w:lvlJc w:val="left"/>
      <w:lvlText w:val="•"/>
      <w:numFmt w:val="bullet"/>
      <w:start w:val="1"/>
    </w:lvl>
  </w:abstractNum>
  <w:abstractNum w:abstractNumId="45">
    <w:nsid w:val="230F856C"/>
    <w:multiLevelType w:val="hybridMultilevel"/>
    <w:lvl w:ilvl="0">
      <w:lvlJc w:val="left"/>
      <w:lvlText w:val="(%1)"/>
      <w:numFmt w:val="decimal"/>
      <w:start w:val="1"/>
    </w:lvl>
  </w:abstractNum>
  <w:abstractNum w:abstractNumId="46">
    <w:nsid w:val="6EAA85FB"/>
    <w:multiLevelType w:val="hybridMultilevel"/>
    <w:lvl w:ilvl="0">
      <w:lvlJc w:val="left"/>
      <w:lvlText w:val="(%1)"/>
      <w:numFmt w:val="decimal"/>
      <w:start w:val="1"/>
    </w:lvl>
  </w:abstractNum>
  <w:abstractNum w:abstractNumId="47">
    <w:nsid w:val="3F06ECB2"/>
    <w:multiLevelType w:val="hybridMultilevel"/>
    <w:lvl w:ilvl="0">
      <w:lvlJc w:val="left"/>
      <w:lvlText w:val="•"/>
      <w:numFmt w:val="bullet"/>
      <w:start w:val="1"/>
    </w:lvl>
  </w:abstractNum>
  <w:abstractNum w:abstractNumId="48">
    <w:nsid w:val="3B594807"/>
    <w:multiLevelType w:val="hybridMultilevel"/>
    <w:lvl w:ilvl="0">
      <w:lvlJc w:val="left"/>
      <w:lvlText w:val="•"/>
      <w:numFmt w:val="bullet"/>
      <w:start w:val="1"/>
    </w:lvl>
  </w:abstractNum>
  <w:abstractNum w:abstractNumId="49">
    <w:nsid w:val="6CAA2304"/>
    <w:multiLevelType w:val="hybridMultilevel"/>
    <w:lvl w:ilvl="0">
      <w:lvlJc w:val="left"/>
      <w:lvlText w:val="(%1)"/>
      <w:numFmt w:val="decimal"/>
      <w:start w:val="1"/>
    </w:lvl>
  </w:abstractNum>
  <w:abstractNum w:abstractNumId="50">
    <w:nsid w:val="3F7C2FF4"/>
    <w:multiLevelType w:val="hybridMultilevel"/>
    <w:lvl w:ilvl="0">
      <w:lvlJc w:val="left"/>
      <w:lvlText w:val="•"/>
      <w:numFmt w:val="bullet"/>
      <w:start w:val="1"/>
    </w:lvl>
  </w:abstractNum>
  <w:abstractNum w:abstractNumId="51">
    <w:nsid w:val="25413BEC"/>
    <w:multiLevelType w:val="hybridMultilevel"/>
    <w:lvl w:ilvl="0">
      <w:lvlJc w:val="left"/>
      <w:lvlText w:val="•"/>
      <w:numFmt w:val="bullet"/>
      <w:start w:val="1"/>
    </w:lvl>
  </w:abstractNum>
  <w:abstractNum w:abstractNumId="52">
    <w:nsid w:val="17180B0B"/>
    <w:multiLevelType w:val="hybridMultilevel"/>
    <w:lvl w:ilvl="0">
      <w:lvlJc w:val="left"/>
      <w:lvlText w:val="%1"/>
      <w:numFmt w:val="upperLetter"/>
      <w:start w:val="34"/>
    </w:lvl>
  </w:abstractNum>
  <w:abstractNum w:abstractNumId="53">
    <w:nsid w:val="579328B9"/>
    <w:multiLevelType w:val="hybridMultilevel"/>
    <w:lvl w:ilvl="0">
      <w:lvlJc w:val="left"/>
      <w:lvlText w:val="*"/>
      <w:numFmt w:val="bullet"/>
      <w:start w:val="1"/>
    </w:lvl>
  </w:abstractNum>
  <w:abstractNum w:abstractNumId="54">
    <w:nsid w:val="5D205E20"/>
    <w:multiLevelType w:val="hybridMultilevel"/>
    <w:lvl w:ilvl="0">
      <w:lvlJc w:val="left"/>
      <w:lvlText w:val="**"/>
      <w:numFmt w:val="bullet"/>
      <w:start w:val="1"/>
    </w:lvl>
  </w:abstractNum>
  <w:abstractNum w:abstractNumId="55">
    <w:nsid w:val="11CCA8BA"/>
    <w:multiLevelType w:val="hybridMultilevel"/>
    <w:lvl w:ilvl="0">
      <w:lvlJc w:val="left"/>
      <w:lvlText w:val="***"/>
      <w:numFmt w:val="bullet"/>
      <w:start w:val="1"/>
    </w:lvl>
  </w:abstractNum>
  <w:abstractNum w:abstractNumId="56">
    <w:nsid w:val="4D32AB86"/>
    <w:multiLevelType w:val="hybridMultilevel"/>
    <w:lvl w:ilvl="0">
      <w:lvlJc w:val="left"/>
      <w:lvlText w:val="****"/>
      <w:numFmt w:val="bullet"/>
      <w:start w:val="1"/>
    </w:lvl>
  </w:abstractNum>
  <w:abstractNum w:abstractNumId="57">
    <w:nsid w:val="3F07ACC3"/>
    <w:multiLevelType w:val="hybridMultilevel"/>
    <w:lvl w:ilvl="0">
      <w:lvlJc w:val="left"/>
      <w:lvlText w:val="•"/>
      <w:numFmt w:val="bullet"/>
      <w:start w:val="1"/>
    </w:lvl>
  </w:abstractNum>
  <w:abstractNum w:abstractNumId="58">
    <w:nsid w:val="6B47F63E"/>
    <w:multiLevelType w:val="hybridMultilevel"/>
    <w:lvl w:ilvl="0">
      <w:lvlJc w:val="left"/>
      <w:lvlText w:val="•"/>
      <w:numFmt w:val="bullet"/>
      <w:start w:val="1"/>
    </w:lvl>
  </w:abstractNum>
  <w:abstractNum w:abstractNumId="59">
    <w:nsid w:val="5CB44A05"/>
    <w:multiLevelType w:val="hybridMultilevel"/>
    <w:lvl w:ilvl="0">
      <w:lvlJc w:val="left"/>
      <w:lvlText w:val="•"/>
      <w:numFmt w:val="bullet"/>
      <w:start w:val="1"/>
    </w:lvl>
  </w:abstractNum>
  <w:abstractNum w:abstractNumId="60">
    <w:nsid w:val="16CF80F1"/>
    <w:multiLevelType w:val="hybridMultilevel"/>
    <w:lvl w:ilvl="0">
      <w:lvlJc w:val="left"/>
      <w:lvlText w:val="•"/>
      <w:numFmt w:val="bullet"/>
      <w:start w:val="1"/>
    </w:lvl>
  </w:abstractNum>
  <w:abstractNum w:abstractNumId="61">
    <w:nsid w:val="1C695DEC"/>
    <w:multiLevelType w:val="hybridMultilevel"/>
    <w:lvl w:ilvl="0">
      <w:lvlJc w:val="left"/>
      <w:lvlText w:val="(%1)"/>
      <w:numFmt w:val="lowerRoman"/>
      <w:start w:val="10"/>
    </w:lvl>
  </w:abstractNum>
  <w:abstractNum w:abstractNumId="62">
    <w:nsid w:val="3FCFAED9"/>
    <w:multiLevelType w:val="hybridMultilevel"/>
    <w:lvl w:ilvl="0">
      <w:lvlJc w:val="left"/>
      <w:lvlText w:val="•"/>
      <w:numFmt w:val="bullet"/>
      <w:start w:val="1"/>
    </w:lvl>
  </w:abstractNum>
  <w:abstractNum w:abstractNumId="63">
    <w:nsid w:val="F856867"/>
    <w:multiLevelType w:val="hybridMultilevel"/>
    <w:lvl w:ilvl="0">
      <w:lvlJc w:val="left"/>
      <w:lvlText w:val="•"/>
      <w:numFmt w:val="bullet"/>
      <w:start w:val="1"/>
    </w:lvl>
  </w:abstractNum>
  <w:abstractNum w:abstractNumId="64">
    <w:nsid w:val="11B1CC33"/>
    <w:multiLevelType w:val="hybridMultilevel"/>
    <w:lvl w:ilvl="0">
      <w:lvlJc w:val="left"/>
      <w:lvlText w:val="•"/>
      <w:numFmt w:val="bullet"/>
      <w:start w:val="1"/>
    </w:lvl>
  </w:abstractNum>
  <w:abstractNum w:abstractNumId="65">
    <w:nsid w:val="2E22FBB7"/>
    <w:multiLevelType w:val="hybridMultilevel"/>
    <w:lvl w:ilvl="0">
      <w:lvlJc w:val="left"/>
      <w:lvlText w:val="•"/>
      <w:numFmt w:val="bullet"/>
      <w:start w:val="1"/>
    </w:lvl>
  </w:abstractNum>
  <w:abstractNum w:abstractNumId="66">
    <w:nsid w:val="29934699"/>
    <w:multiLevelType w:val="hybridMultilevel"/>
    <w:lvl w:ilvl="0">
      <w:lvlJc w:val="left"/>
      <w:lvlText w:val="•"/>
      <w:numFmt w:val="bullet"/>
      <w:start w:val="1"/>
    </w:lvl>
  </w:abstractNum>
  <w:abstractNum w:abstractNumId="67">
    <w:nsid w:val="77485850"/>
    <w:multiLevelType w:val="hybridMultilevel"/>
    <w:lvl w:ilvl="0">
      <w:lvlJc w:val="left"/>
      <w:lvlText w:val="•"/>
      <w:numFmt w:val="bullet"/>
      <w:start w:val="1"/>
    </w:lvl>
  </w:abstractNum>
  <w:abstractNum w:abstractNumId="68">
    <w:nsid w:val="744939A3"/>
    <w:multiLevelType w:val="hybridMultilevel"/>
    <w:lvl w:ilvl="0">
      <w:lvlJc w:val="left"/>
      <w:lvlText w:val="•"/>
      <w:numFmt w:val="bullet"/>
      <w:start w:val="1"/>
    </w:lvl>
  </w:abstractNum>
  <w:abstractNum w:abstractNumId="69">
    <w:nsid w:val="4FA0D2E3"/>
    <w:multiLevelType w:val="hybridMultilevel"/>
    <w:lvl w:ilvl="0">
      <w:lvlJc w:val="left"/>
      <w:lvlText w:val="•"/>
      <w:numFmt w:val="bullet"/>
      <w:start w:val="1"/>
    </w:lvl>
  </w:abstractNum>
  <w:abstractNum w:abstractNumId="70">
    <w:nsid w:val="6B1D2C14"/>
    <w:multiLevelType w:val="hybridMultilevel"/>
    <w:lvl w:ilvl="0">
      <w:lvlJc w:val="left"/>
      <w:lvlText w:val="•"/>
      <w:numFmt w:val="bullet"/>
      <w:start w:val="1"/>
    </w:lvl>
  </w:abstractNum>
  <w:abstractNum w:abstractNumId="71">
    <w:nsid w:val="68B867D3"/>
    <w:multiLevelType w:val="hybridMultilevel"/>
    <w:lvl w:ilvl="0">
      <w:lvlJc w:val="left"/>
      <w:lvlText w:val="•"/>
      <w:numFmt w:val="bullet"/>
      <w:start w:val="1"/>
    </w:lvl>
  </w:abstractNum>
  <w:abstractNum w:abstractNumId="72">
    <w:nsid w:val="3F7F5DD9"/>
    <w:multiLevelType w:val="hybridMultilevel"/>
    <w:lvl w:ilvl="0">
      <w:lvlJc w:val="left"/>
      <w:lvlText w:val="•"/>
      <w:numFmt w:val="bullet"/>
      <w:start w:val="1"/>
    </w:lvl>
  </w:abstractNum>
  <w:abstractNum w:abstractNumId="73">
    <w:nsid w:val="2AE05A34"/>
    <w:multiLevelType w:val="hybridMultilevel"/>
    <w:lvl w:ilvl="0">
      <w:lvlJc w:val="left"/>
      <w:lvlText w:val="•"/>
      <w:numFmt w:val="bullet"/>
      <w:start w:val="1"/>
    </w:lvl>
  </w:abstractNum>
  <w:abstractNum w:abstractNumId="74">
    <w:nsid w:val="32794FF7"/>
    <w:multiLevelType w:val="hybridMultilevel"/>
    <w:lvl w:ilvl="0">
      <w:lvlJc w:val="left"/>
      <w:lvlText w:val="•"/>
      <w:numFmt w:val="bullet"/>
      <w:start w:val="1"/>
    </w:lvl>
  </w:abstractNum>
  <w:abstractNum w:abstractNumId="75">
    <w:nsid w:val="5454945E"/>
    <w:multiLevelType w:val="hybridMultilevel"/>
    <w:lvl w:ilvl="0">
      <w:lvlJc w:val="left"/>
      <w:lvlText w:val="•"/>
      <w:numFmt w:val="bullet"/>
      <w:start w:val="1"/>
    </w:lvl>
  </w:abstractNum>
  <w:abstractNum w:abstractNumId="76">
    <w:nsid w:val="4DEFDFA0"/>
    <w:multiLevelType w:val="hybridMultilevel"/>
    <w:lvl w:ilvl="0">
      <w:lvlJc w:val="left"/>
      <w:lvlText w:val="•"/>
      <w:numFmt w:val="bullet"/>
      <w:start w:val="1"/>
    </w:lvl>
  </w:abstractNum>
  <w:abstractNum w:abstractNumId="77">
    <w:nsid w:val="2123D5F2"/>
    <w:multiLevelType w:val="hybridMultilevel"/>
    <w:lvl w:ilvl="0">
      <w:lvlJc w:val="left"/>
      <w:lvlText w:val="(%1)"/>
      <w:numFmt w:val="decimal"/>
      <w:start w:val="1"/>
    </w:lvl>
  </w:abstractNum>
  <w:abstractNum w:abstractNumId="78">
    <w:nsid w:val="135B8110"/>
    <w:multiLevelType w:val="hybridMultilevel"/>
    <w:lvl w:ilvl="0">
      <w:lvlJc w:val="left"/>
      <w:lvlText w:val="•"/>
      <w:numFmt w:val="bullet"/>
      <w:start w:val="1"/>
    </w:lvl>
    <w:lvl w:ilvl="1">
      <w:lvlJc w:val="left"/>
      <w:lvlText w:val="•"/>
      <w:numFmt w:val="bullet"/>
      <w:start w:val="1"/>
    </w:lvl>
  </w:abstractNum>
  <w:abstractNum w:abstractNumId="79">
    <w:nsid w:val="94927A8"/>
    <w:multiLevelType w:val="hybridMultilevel"/>
    <w:lvl w:ilvl="0">
      <w:lvlJc w:val="left"/>
      <w:lvlText w:val="•"/>
      <w:numFmt w:val="bullet"/>
      <w:start w:val="1"/>
    </w:lvl>
  </w:abstractNum>
  <w:abstractNum w:abstractNumId="80">
    <w:nsid w:val="DCDF8F6"/>
    <w:multiLevelType w:val="hybridMultilevel"/>
    <w:lvl w:ilvl="0">
      <w:lvlJc w:val="left"/>
      <w:lvlText w:val="•"/>
      <w:numFmt w:val="bullet"/>
      <w:start w:val="1"/>
    </w:lvl>
  </w:abstractNum>
  <w:abstractNum w:abstractNumId="81">
    <w:nsid w:val="52D7B105"/>
    <w:multiLevelType w:val="hybridMultilevel"/>
    <w:lvl w:ilvl="0">
      <w:lvlJc w:val="left"/>
      <w:lvlText w:val="(%1)"/>
      <w:numFmt w:val="decimal"/>
      <w:start w:val="1"/>
    </w:lvl>
  </w:abstractNum>
  <w:abstractNum w:abstractNumId="82">
    <w:nsid w:val="2E8A6394"/>
    <w:multiLevelType w:val="hybridMultilevel"/>
    <w:lvl w:ilvl="0">
      <w:lvlJc w:val="left"/>
      <w:lvlText w:val="(%1)"/>
      <w:numFmt w:val="decimal"/>
      <w:start w:val="1"/>
    </w:lvl>
  </w:abstractNum>
  <w:abstractNum w:abstractNumId="83">
    <w:nsid w:val="24E60401"/>
    <w:multiLevelType w:val="hybridMultilevel"/>
    <w:lvl w:ilvl="0">
      <w:lvlJc w:val="left"/>
      <w:lvlText w:val="•"/>
      <w:numFmt w:val="bullet"/>
      <w:start w:val="1"/>
    </w:lvl>
  </w:abstractNum>
  <w:abstractNum w:abstractNumId="84">
    <w:nsid w:val="2A6AD9BE"/>
    <w:multiLevelType w:val="hybridMultilevel"/>
    <w:lvl w:ilvl="0">
      <w:lvlJc w:val="left"/>
      <w:lvlText w:val="•"/>
      <w:numFmt w:val="bullet"/>
      <w:start w:val="1"/>
    </w:lvl>
  </w:abstractNum>
  <w:abstractNum w:abstractNumId="85">
    <w:nsid w:val="BAAC1B4"/>
    <w:multiLevelType w:val="hybridMultilevel"/>
    <w:lvl w:ilvl="0">
      <w:lvlJc w:val="left"/>
      <w:lvlText w:val="•"/>
      <w:numFmt w:val="bullet"/>
      <w:start w:val="1"/>
    </w:lvl>
  </w:abstractNum>
  <w:abstractNum w:abstractNumId="86">
    <w:nsid w:val="36B2ACBC"/>
    <w:multiLevelType w:val="hybridMultilevel"/>
    <w:lvl w:ilvl="0">
      <w:lvlJc w:val="left"/>
      <w:lvlText w:val="•"/>
      <w:numFmt w:val="bullet"/>
      <w:start w:val="1"/>
    </w:lvl>
  </w:abstractNum>
  <w:abstractNum w:abstractNumId="87">
    <w:nsid w:val="779D8544"/>
    <w:multiLevelType w:val="hybridMultilevel"/>
    <w:lvl w:ilvl="0">
      <w:lvlJc w:val="left"/>
      <w:lvlText w:val="•"/>
      <w:numFmt w:val="bullet"/>
      <w:start w:val="1"/>
    </w:lvl>
  </w:abstractNum>
  <w:abstractNum w:abstractNumId="88">
    <w:nsid w:val="4AB26E78"/>
    <w:multiLevelType w:val="hybridMultilevel"/>
    <w:lvl w:ilvl="0">
      <w:lvlJc w:val="left"/>
      <w:lvlText w:val="*"/>
      <w:numFmt w:val="bullet"/>
      <w:start w:val="1"/>
    </w:lvl>
  </w:abstractNum>
  <w:abstractNum w:abstractNumId="89">
    <w:nsid w:val="21FAA2FA"/>
    <w:multiLevelType w:val="hybridMultilevel"/>
    <w:lvl w:ilvl="0">
      <w:lvlJc w:val="left"/>
      <w:lvlText w:val="(%1)"/>
      <w:numFmt w:val="decimal"/>
      <w:start w:val="1"/>
    </w:lvl>
  </w:abstractNum>
  <w:abstractNum w:abstractNumId="90">
    <w:nsid w:val="5451CF49"/>
    <w:multiLevelType w:val="hybridMultilevel"/>
    <w:lvl w:ilvl="0">
      <w:lvlJc w:val="left"/>
      <w:lvlText w:val="(%1)"/>
      <w:numFmt w:val="lowerRoman"/>
      <w:start w:val="1"/>
    </w:lvl>
  </w:abstractNum>
  <w:abstractNum w:abstractNumId="91">
    <w:nsid w:val="6181EF69"/>
    <w:multiLevelType w:val="hybridMultilevel"/>
    <w:lvl w:ilvl="0">
      <w:lvlJc w:val="left"/>
      <w:lvlText w:val="(%1)"/>
      <w:numFmt w:val="decimal"/>
      <w:start w:val="1"/>
    </w:lvl>
  </w:abstractNum>
  <w:abstractNum w:abstractNumId="92">
    <w:nsid w:val="3E6400E6"/>
    <w:multiLevelType w:val="hybridMultilevel"/>
    <w:lvl w:ilvl="0">
      <w:lvlJc w:val="left"/>
      <w:lvlText w:val="(%1)"/>
      <w:numFmt w:val="decimal"/>
      <w:start w:val="4"/>
    </w:lvl>
  </w:abstractNum>
  <w:abstractNum w:abstractNumId="93">
    <w:nsid w:val="14217E23"/>
    <w:multiLevelType w:val="hybridMultilevel"/>
    <w:lvl w:ilvl="0">
      <w:lvlJc w:val="left"/>
      <w:lvlText w:val="%1."/>
      <w:numFmt w:val="decimal"/>
      <w:start w:val="4"/>
    </w:lvl>
  </w:abstractNum>
  <w:abstractNum w:abstractNumId="94">
    <w:nsid w:val="710757D0"/>
    <w:multiLevelType w:val="hybridMultilevel"/>
    <w:lvl w:ilvl="0">
      <w:lvlJc w:val="left"/>
      <w:lvlText w:val="•"/>
      <w:numFmt w:val="bullet"/>
      <w:start w:val="1"/>
    </w:lvl>
  </w:abstractNum>
  <w:abstractNum w:abstractNumId="95">
    <w:nsid w:val="5015CD1A"/>
    <w:multiLevelType w:val="hybridMultilevel"/>
    <w:lvl w:ilvl="0">
      <w:lvlJc w:val="left"/>
      <w:lvlText w:val="•"/>
      <w:numFmt w:val="bullet"/>
      <w:start w:val="1"/>
    </w:lvl>
  </w:abstractNum>
  <w:abstractNum w:abstractNumId="96">
    <w:nsid w:val="424479DA"/>
    <w:multiLevelType w:val="hybridMultilevel"/>
    <w:lvl w:ilvl="0">
      <w:lvlJc w:val="left"/>
      <w:lvlText w:val="•"/>
      <w:numFmt w:val="bullet"/>
      <w:start w:val="1"/>
    </w:lvl>
  </w:abstractNum>
  <w:abstractNum w:abstractNumId="97">
    <w:nsid w:val="1A9A9E69"/>
    <w:multiLevelType w:val="hybridMultilevel"/>
    <w:lvl w:ilvl="0">
      <w:lvlJc w:val="left"/>
      <w:lvlText w:val="•"/>
      <w:numFmt w:val="bullet"/>
      <w:start w:val="1"/>
    </w:lvl>
  </w:abstractNum>
  <w:abstractNum w:abstractNumId="98">
    <w:nsid w:val="475E256A"/>
    <w:multiLevelType w:val="hybridMultilevel"/>
    <w:lvl w:ilvl="0">
      <w:lvlJc w:val="left"/>
      <w:lvlText w:val="•"/>
      <w:numFmt w:val="bullet"/>
      <w:start w:val="1"/>
    </w:lvl>
  </w:abstractNum>
  <w:abstractNum w:abstractNumId="99">
    <w:nsid w:val="368DB37E"/>
    <w:multiLevelType w:val="hybridMultilevel"/>
    <w:lvl w:ilvl="0">
      <w:lvlJc w:val="left"/>
      <w:lvlText w:val="•"/>
      <w:numFmt w:val="bullet"/>
      <w:start w:val="1"/>
    </w:lvl>
    <w:lvl w:ilvl="1">
      <w:lvlJc w:val="left"/>
      <w:lvlText w:val="•"/>
      <w:numFmt w:val="bullet"/>
      <w:start w:val="1"/>
    </w:lvl>
  </w:abstractNum>
  <w:abstractNum w:abstractNumId="100">
    <w:nsid w:val="6A3B714C"/>
    <w:multiLevelType w:val="hybridMultilevel"/>
    <w:lvl w:ilvl="0">
      <w:lvlJc w:val="left"/>
      <w:lvlText w:val="•"/>
      <w:numFmt w:val="bullet"/>
      <w:start w:val="1"/>
    </w:lvl>
  </w:abstractNum>
  <w:abstractNum w:abstractNumId="101">
    <w:nsid w:val="327B517E"/>
    <w:multiLevelType w:val="hybridMultilevel"/>
    <w:lvl w:ilvl="0">
      <w:lvlJc w:val="left"/>
      <w:lvlText w:val="•"/>
      <w:numFmt w:val="bullet"/>
      <w:start w:val="1"/>
    </w:lvl>
  </w:abstractNum>
  <w:abstractNum w:abstractNumId="102">
    <w:nsid w:val="1F461B51"/>
    <w:multiLevelType w:val="hybridMultilevel"/>
    <w:lvl w:ilvl="0">
      <w:lvlJc w:val="left"/>
      <w:lvlText w:val="•"/>
      <w:numFmt w:val="bullet"/>
      <w:start w:val="1"/>
    </w:lvl>
  </w:abstractNum>
  <w:abstractNum w:abstractNumId="103">
    <w:nsid w:val="29BACF25"/>
    <w:multiLevelType w:val="hybridMultilevel"/>
    <w:lvl w:ilvl="0">
      <w:lvlJc w:val="left"/>
      <w:lvlText w:val="•"/>
      <w:numFmt w:val="bullet"/>
      <w:start w:val="1"/>
    </w:lvl>
  </w:abstractNum>
  <w:abstractNum w:abstractNumId="104">
    <w:nsid w:val="5D5BABB3"/>
    <w:multiLevelType w:val="hybridMultilevel"/>
    <w:lvl w:ilvl="0">
      <w:lvlJc w:val="left"/>
      <w:lvlText w:val="•"/>
      <w:numFmt w:val="bullet"/>
      <w:start w:val="1"/>
    </w:lvl>
  </w:abstractNum>
  <w:abstractNum w:abstractNumId="105">
    <w:nsid w:val="51BF6B48"/>
    <w:multiLevelType w:val="hybridMultilevel"/>
    <w:lvl w:ilvl="0">
      <w:lvlJc w:val="left"/>
      <w:lvlText w:val="•"/>
      <w:numFmt w:val="bullet"/>
      <w:start w:val="1"/>
    </w:lvl>
  </w:abstractNum>
  <w:abstractNum w:abstractNumId="106">
    <w:nsid w:val="7E0F6384"/>
    <w:multiLevelType w:val="hybridMultilevel"/>
    <w:lvl w:ilvl="0">
      <w:lvlJc w:val="left"/>
      <w:lvlText w:val="(%1)"/>
      <w:numFmt w:val="lowerRoman"/>
      <w:start w:val="2"/>
    </w:lvl>
  </w:abstractNum>
  <w:abstractNum w:abstractNumId="107">
    <w:nsid w:val="2B4B8B53"/>
    <w:multiLevelType w:val="hybridMultilevel"/>
    <w:lvl w:ilvl="0">
      <w:lvlJc w:val="left"/>
      <w:lvlText w:val="•"/>
      <w:numFmt w:val="bullet"/>
      <w:start w:val="1"/>
    </w:lvl>
  </w:abstractNum>
  <w:abstractNum w:abstractNumId="108">
    <w:nsid w:val="72E3413A"/>
    <w:multiLevelType w:val="hybridMultilevel"/>
    <w:lvl w:ilvl="0">
      <w:lvlJc w:val="left"/>
      <w:lvlText w:val="(%1)"/>
      <w:numFmt w:val="lowerRoman"/>
      <w:start w:val="2"/>
    </w:lvl>
  </w:abstractNum>
  <w:abstractNum w:abstractNumId="109">
    <w:nsid w:val="116AE494"/>
    <w:multiLevelType w:val="hybridMultilevel"/>
    <w:lvl w:ilvl="0">
      <w:lvlJc w:val="left"/>
      <w:lvlText w:val="(%1)"/>
      <w:numFmt w:val="lowerLetter"/>
      <w:start w:val="1"/>
    </w:lvl>
  </w:abstractNum>
  <w:abstractNum w:abstractNumId="110">
    <w:nsid w:val="3494B2FB"/>
    <w:multiLevelType w:val="hybridMultilevel"/>
    <w:lvl w:ilvl="0">
      <w:lvlJc w:val="left"/>
      <w:lvlText w:val="(%1)"/>
      <w:numFmt w:val="lowerLetter"/>
      <w:start w:val="2"/>
    </w:lvl>
  </w:abstractNum>
  <w:abstractNum w:abstractNumId="111">
    <w:nsid w:val="B13A31"/>
    <w:multiLevelType w:val="hybridMultilevel"/>
    <w:lvl w:ilvl="0">
      <w:lvlJc w:val="left"/>
      <w:lvlText w:val="(%1)"/>
      <w:numFmt w:val="lowerLetter"/>
      <w:start w:val="3"/>
    </w:lvl>
  </w:abstractNum>
  <w:abstractNum w:abstractNumId="112">
    <w:nsid w:val="64429599"/>
    <w:multiLevelType w:val="hybridMultilevel"/>
    <w:lvl w:ilvl="0">
      <w:lvlJc w:val="left"/>
      <w:lvlText w:val="(%1)"/>
      <w:numFmt w:val="decimal"/>
      <w:start w:val="1"/>
    </w:lvl>
  </w:abstractNum>
  <w:abstractNum w:abstractNumId="113">
    <w:nsid w:val="631F1690"/>
    <w:multiLevelType w:val="hybridMultilevel"/>
    <w:lvl w:ilvl="0">
      <w:lvlJc w:val="left"/>
      <w:lvlText w:val="(%1)"/>
      <w:numFmt w:val="decimal"/>
      <w:start w:val="1"/>
    </w:lvl>
  </w:abstractNum>
  <w:abstractNum w:abstractNumId="114">
    <w:nsid w:val="25973E32"/>
    <w:multiLevelType w:val="hybridMultilevel"/>
    <w:lvl w:ilvl="0">
      <w:lvlJc w:val="left"/>
      <w:lvlText w:val="•"/>
      <w:numFmt w:val="bullet"/>
      <w:start w:val="1"/>
    </w:lvl>
  </w:abstractNum>
  <w:abstractNum w:abstractNumId="115">
    <w:nsid w:val="EAD6F57"/>
    <w:multiLevelType w:val="hybridMultilevel"/>
    <w:lvl w:ilvl="0">
      <w:lvlJc w:val="left"/>
      <w:lvlText w:val="(%1)"/>
      <w:numFmt w:val="decimal"/>
      <w:start w:val="2"/>
    </w:lvl>
  </w:abstractNum>
  <w:abstractNum w:abstractNumId="116">
    <w:nsid w:val="6EC9D844"/>
    <w:multiLevelType w:val="hybridMultilevel"/>
    <w:lvl w:ilvl="0">
      <w:lvlJc w:val="left"/>
      <w:lvlText w:val="(%1)"/>
      <w:numFmt w:val="decimal"/>
      <w:start w:val="2"/>
    </w:lvl>
  </w:abstractNum>
  <w:abstractNum w:abstractNumId="117">
    <w:nsid w:val="5C49EAEE"/>
    <w:multiLevelType w:val="hybridMultilevel"/>
    <w:lvl w:ilvl="0">
      <w:lvlJc w:val="left"/>
      <w:lvlText w:val="(%1)"/>
      <w:numFmt w:val="decimal"/>
      <w:start w:val="1"/>
    </w:lvl>
  </w:abstractNum>
  <w:abstractNum w:abstractNumId="118">
    <w:nsid w:val="64AF49B"/>
    <w:multiLevelType w:val="hybridMultilevel"/>
    <w:lvl w:ilvl="0">
      <w:lvlJc w:val="left"/>
      <w:lvlText w:val="•"/>
      <w:numFmt w:val="bullet"/>
      <w:start w:val="1"/>
    </w:lvl>
  </w:abstractNum>
  <w:abstractNum w:abstractNumId="119">
    <w:nsid w:val="397C46BC"/>
    <w:multiLevelType w:val="hybridMultilevel"/>
    <w:lvl w:ilvl="0">
      <w:lvlJc w:val="left"/>
      <w:lvlText w:val="•"/>
      <w:numFmt w:val="bullet"/>
      <w:start w:val="1"/>
    </w:lvl>
  </w:abstractNum>
  <w:abstractNum w:abstractNumId="120">
    <w:nsid w:val="7E448DE9"/>
    <w:multiLevelType w:val="hybridMultilevel"/>
    <w:lvl w:ilvl="0">
      <w:lvlJc w:val="left"/>
      <w:lvlText w:val="•"/>
      <w:numFmt w:val="bullet"/>
      <w:start w:val="1"/>
    </w:lvl>
  </w:abstractNum>
  <w:abstractNum w:abstractNumId="121">
    <w:nsid w:val="5A9CC3E5"/>
    <w:multiLevelType w:val="hybridMultilevel"/>
    <w:lvl w:ilvl="0">
      <w:lvlJc w:val="left"/>
      <w:lvlText w:val="•"/>
      <w:numFmt w:val="bullet"/>
      <w:start w:val="1"/>
    </w:lvl>
  </w:abstractNum>
  <w:abstractNum w:abstractNumId="122">
    <w:nsid w:val="1AFE3625"/>
    <w:multiLevelType w:val="hybridMultilevel"/>
    <w:lvl w:ilvl="0">
      <w:lvlJc w:val="left"/>
      <w:lvlText w:val="%1)"/>
      <w:numFmt w:val="lowerLetter"/>
      <w:start w:val="1"/>
    </w:lvl>
  </w:abstractNum>
  <w:abstractNum w:abstractNumId="123">
    <w:nsid w:val="3CA88ECF"/>
    <w:multiLevelType w:val="hybridMultilevel"/>
    <w:lvl w:ilvl="0">
      <w:lvlJc w:val="left"/>
      <w:lvlText w:val="•"/>
      <w:numFmt w:val="bullet"/>
      <w:start w:val="1"/>
    </w:lvl>
  </w:abstractNum>
  <w:abstractNum w:abstractNumId="124">
    <w:nsid w:val="6EBE4208"/>
    <w:multiLevelType w:val="hybridMultilevel"/>
    <w:lvl w:ilvl="0">
      <w:lvlJc w:val="left"/>
      <w:lvlText w:val="•"/>
      <w:numFmt w:val="bullet"/>
      <w:start w:val="1"/>
    </w:lvl>
  </w:abstractNum>
  <w:abstractNum w:abstractNumId="125">
    <w:nsid w:val="C058DF5"/>
    <w:multiLevelType w:val="hybridMultilevel"/>
    <w:lvl w:ilvl="0">
      <w:lvlJc w:val="left"/>
      <w:lvlText w:val="•"/>
      <w:numFmt w:val="bullet"/>
      <w:start w:val="1"/>
    </w:lvl>
  </w:abstractNum>
  <w:abstractNum w:abstractNumId="126">
    <w:nsid w:val="CBE5BE9"/>
    <w:multiLevelType w:val="hybridMultilevel"/>
    <w:lvl w:ilvl="0">
      <w:lvlJc w:val="left"/>
      <w:lvlText w:val="%1."/>
      <w:numFmt w:val="decimal"/>
      <w:start w:val="5"/>
    </w:lvl>
  </w:abstractNum>
  <w:abstractNum w:abstractNumId="127">
    <w:nsid w:val="3102BBE2"/>
    <w:multiLevelType w:val="hybridMultilevel"/>
    <w:lvl w:ilvl="0">
      <w:lvlJc w:val="left"/>
      <w:lvlText w:val="•"/>
      <w:numFmt w:val="bullet"/>
      <w:start w:val="1"/>
    </w:lvl>
  </w:abstractNum>
  <w:abstractNum w:abstractNumId="128">
    <w:nsid w:val="26A02C5E"/>
    <w:multiLevelType w:val="hybridMultilevel"/>
    <w:lvl w:ilvl="0">
      <w:lvlJc w:val="left"/>
      <w:lvlText w:val="•"/>
      <w:numFmt w:val="bullet"/>
      <w:start w:val="1"/>
    </w:lvl>
  </w:abstractNum>
  <w:abstractNum w:abstractNumId="129">
    <w:nsid w:val="541C8153"/>
    <w:multiLevelType w:val="hybridMultilevel"/>
    <w:lvl w:ilvl="0">
      <w:lvlJc w:val="left"/>
      <w:lvlText w:val="•"/>
      <w:numFmt w:val="bullet"/>
      <w:start w:val="1"/>
    </w:lvl>
  </w:abstractNum>
  <w:abstractNum w:abstractNumId="130">
    <w:nsid w:val="67906F60"/>
    <w:multiLevelType w:val="hybridMultilevel"/>
    <w:lvl w:ilvl="0">
      <w:lvlJc w:val="left"/>
      <w:lvlText w:val="%1."/>
      <w:numFmt w:val="decimal"/>
      <w:start w:val="22"/>
    </w:lvl>
    <w:lvl w:ilvl="1">
      <w:lvlJc w:val="left"/>
      <w:lvlText w:val="•"/>
      <w:numFmt w:val="bullet"/>
      <w:start w:val="1"/>
    </w:lvl>
  </w:abstractNum>
  <w:abstractNum w:abstractNumId="131">
    <w:nsid w:val="10DB9DAA"/>
    <w:multiLevelType w:val="hybridMultilevel"/>
    <w:lvl w:ilvl="0">
      <w:lvlJc w:val="left"/>
      <w:lvlText w:val="•"/>
      <w:numFmt w:val="bullet"/>
      <w:start w:val="1"/>
    </w:lvl>
  </w:abstractNum>
  <w:abstractNum w:abstractNumId="132">
    <w:nsid w:val="697D2D2"/>
    <w:multiLevelType w:val="hybridMultilevel"/>
    <w:lvl w:ilvl="0">
      <w:lvlJc w:val="left"/>
      <w:lvlText w:val="%1."/>
      <w:numFmt w:val="decimal"/>
      <w:start w:val="28"/>
    </w:lvl>
    <w:lvl w:ilvl="1">
      <w:lvlJc w:val="left"/>
      <w:lvlText w:val="•"/>
      <w:numFmt w:val="bullet"/>
      <w:start w:val="1"/>
    </w:lvl>
    <w:lvl w:ilvl="2">
      <w:lvlJc w:val="left"/>
      <w:lvlText w:val="(%3)"/>
      <w:numFmt w:val="lowerLetter"/>
      <w:start w:val="1"/>
    </w:lvl>
    <w:lvl w:ilvl="3">
      <w:lvlJc w:val="left"/>
      <w:lvlText w:val="•"/>
      <w:numFmt w:val="bullet"/>
      <w:start w:val="1"/>
    </w:lvl>
  </w:abstractNum>
  <w:abstractNum w:abstractNumId="133">
    <w:nsid w:val="6D68AB2"/>
    <w:multiLevelType w:val="hybridMultilevel"/>
    <w:lvl w:ilvl="0">
      <w:lvlJc w:val="left"/>
      <w:lvlText w:val="(%1)"/>
      <w:numFmt w:val="lowerLetter"/>
      <w:start w:val="3"/>
    </w:lvl>
  </w:abstractNum>
  <w:abstractNum w:abstractNumId="134">
    <w:nsid w:val="3A966CD0"/>
    <w:multiLevelType w:val="hybridMultilevel"/>
    <w:lvl w:ilvl="0">
      <w:lvlJc w:val="left"/>
      <w:lvlText w:val="•"/>
      <w:numFmt w:val="bullet"/>
      <w:start w:val="1"/>
    </w:lvl>
  </w:abstractNum>
  <w:abstractNum w:abstractNumId="135">
    <w:nsid w:val="63F37E85"/>
    <w:multiLevelType w:val="hybridMultilevel"/>
    <w:lvl w:ilvl="0">
      <w:lvlJc w:val="left"/>
      <w:lvlText w:val="*"/>
      <w:numFmt w:val="bullet"/>
      <w:start w:val="1"/>
    </w:lvl>
  </w:abstractNum>
  <w:abstractNum w:abstractNumId="136">
    <w:nsid w:val="5895F5FA"/>
    <w:multiLevelType w:val="hybridMultilevel"/>
    <w:lvl w:ilvl="0">
      <w:lvlJc w:val="left"/>
      <w:lvlText w:val="**"/>
      <w:numFmt w:val="bullet"/>
      <w:start w:val="1"/>
    </w:lvl>
  </w:abstractNum>
  <w:abstractNum w:abstractNumId="137">
    <w:nsid w:val="38A5D054"/>
    <w:multiLevelType w:val="hybridMultilevel"/>
    <w:lvl w:ilvl="0">
      <w:lvlJc w:val="left"/>
      <w:lvlText w:val="***"/>
      <w:numFmt w:val="bullet"/>
      <w:start w:val="1"/>
    </w:lvl>
  </w:abstractNum>
  <w:abstractNum w:abstractNumId="138">
    <w:nsid w:val="F3F09D8"/>
    <w:multiLevelType w:val="hybridMultilevel"/>
    <w:lvl w:ilvl="0">
      <w:lvlJc w:val="left"/>
      <w:lvlText w:val="†"/>
      <w:numFmt w:val="bullet"/>
      <w:start w:val="1"/>
    </w:lvl>
  </w:abstractNum>
  <w:abstractNum w:abstractNumId="139">
    <w:nsid w:val="4B793735"/>
    <w:multiLevelType w:val="hybridMultilevel"/>
    <w:lvl w:ilvl="0">
      <w:lvlJc w:val="left"/>
      <w:lvlText w:val="(%1)"/>
      <w:numFmt w:val="lowerLetter"/>
      <w:start w:val="1"/>
    </w:lvl>
  </w:abstractNum>
  <w:abstractNum w:abstractNumId="140">
    <w:nsid w:val="4A10B4E8"/>
    <w:multiLevelType w:val="hybridMultilevel"/>
    <w:lvl w:ilvl="0">
      <w:lvlJc w:val="left"/>
      <w:lvlText w:val="%1"/>
      <w:numFmt w:val="lowerRoman"/>
      <w:start w:val="1"/>
    </w:lvl>
    <w:lvl w:ilvl="1">
      <w:lvlJc w:val="left"/>
      <w:lvlText w:val="(%2)"/>
      <w:numFmt w:val="lowerLetter"/>
      <w:start w:val="1"/>
    </w:lvl>
  </w:abstractNum>
  <w:abstractNum w:abstractNumId="141">
    <w:nsid w:val="43D3BCD4"/>
    <w:multiLevelType w:val="hybridMultilevel"/>
    <w:lvl w:ilvl="0">
      <w:lvlJc w:val="left"/>
      <w:lvlText w:val="(%1)"/>
      <w:numFmt w:val="lowerRoman"/>
      <w:start w:val="4"/>
    </w:lvl>
    <w:lvl w:ilvl="1">
      <w:lvlJc w:val="left"/>
      <w:lvlText w:val="%2"/>
      <w:numFmt w:val="lowerLetter"/>
      <w:start w:val="1"/>
    </w:lvl>
  </w:abstractNum>
  <w:abstractNum w:abstractNumId="142">
    <w:nsid w:val="4C2A7166"/>
    <w:multiLevelType w:val="hybridMultilevel"/>
    <w:lvl w:ilvl="0">
      <w:lvlJc w:val="left"/>
      <w:lvlText w:val="(%1)"/>
      <w:numFmt w:val="lowerRoman"/>
      <w:start w:val="6"/>
    </w:lvl>
    <w:lvl w:ilvl="1">
      <w:lvlJc w:val="left"/>
      <w:lvlText w:val="%2"/>
      <w:numFmt w:val="lowerLetter"/>
      <w:start w:val="1"/>
    </w:lvl>
  </w:abstractNum>
  <w:abstractNum w:abstractNumId="143">
    <w:nsid w:val="2E534A82"/>
    <w:multiLevelType w:val="hybridMultilevel"/>
    <w:lvl w:ilvl="0">
      <w:lvlJc w:val="left"/>
      <w:lvlText w:val="(%1)"/>
      <w:numFmt w:val="lowerRoman"/>
      <w:start w:val="7"/>
    </w:lvl>
    <w:lvl w:ilvl="1">
      <w:lvlJc w:val="left"/>
      <w:lvlText w:val="(%2)"/>
      <w:numFmt w:val="lowerLetter"/>
      <w:start w:val="3"/>
    </w:lvl>
  </w:abstractNum>
  <w:abstractNum w:abstractNumId="144">
    <w:nsid w:val="26F2D364"/>
    <w:multiLevelType w:val="hybridMultilevel"/>
    <w:lvl w:ilvl="0">
      <w:lvlJc w:val="left"/>
      <w:lvlText w:val="(%1)"/>
      <w:numFmt w:val="lowerLetter"/>
      <w:start w:val="1"/>
    </w:lvl>
    <w:lvl w:ilvl="1">
      <w:lvlJc w:val="left"/>
      <w:lvlText w:val="(%2)"/>
      <w:numFmt w:val="lowerRoman"/>
      <w:start w:val="1"/>
    </w:lvl>
  </w:abstractNum>
  <w:abstractNum w:abstractNumId="145">
    <w:nsid w:val="71C1AF98"/>
    <w:multiLevelType w:val="hybridMultilevel"/>
    <w:lvl w:ilvl="0">
      <w:lvlJc w:val="left"/>
      <w:lvlText w:val="%1"/>
      <w:numFmt w:val="lowerLetter"/>
      <w:start w:val="1"/>
    </w:lvl>
    <w:lvl w:ilvl="1">
      <w:lvlJc w:val="left"/>
      <w:lvlText w:val="(%2)"/>
      <w:numFmt w:val="lowerRoman"/>
      <w:start w:val="4"/>
    </w:lvl>
  </w:abstractNum>
  <w:abstractNum w:abstractNumId="146">
    <w:nsid w:val="3D00B9D9"/>
    <w:multiLevelType w:val="hybridMultilevel"/>
    <w:lvl w:ilvl="0">
      <w:lvlJc w:val="left"/>
      <w:lvlText w:val="(%1)"/>
      <w:numFmt w:val="lowerLetter"/>
      <w:start w:val="3"/>
    </w:lvl>
    <w:lvl w:ilvl="1">
      <w:lvlJc w:val="left"/>
      <w:lvlText w:val="(%2)"/>
      <w:numFmt w:val="lowerRoman"/>
      <w:start w:val="1"/>
    </w:lvl>
  </w:abstractNum>
  <w:abstractNum w:abstractNumId="147">
    <w:nsid w:val="15BCABA8"/>
    <w:multiLevelType w:val="hybridMultilevel"/>
    <w:lvl w:ilvl="0">
      <w:lvlJc w:val="left"/>
      <w:lvlText w:val="(%1)"/>
      <w:numFmt w:val="lowerLetter"/>
      <w:start w:val="4"/>
    </w:lvl>
  </w:abstractNum>
  <w:abstractNum w:abstractNumId="148">
    <w:nsid w:val="4E0B9A87"/>
    <w:multiLevelType w:val="hybridMultilevel"/>
    <w:lvl w:ilvl="0">
      <w:lvlJc w:val="left"/>
      <w:lvlText w:val="(%1)"/>
      <w:numFmt w:val="lowerLetter"/>
      <w:start w:val="1"/>
    </w:lvl>
  </w:abstractNum>
  <w:abstractNum w:abstractNumId="149">
    <w:nsid w:val="434BAE75"/>
    <w:multiLevelType w:val="hybridMultilevel"/>
    <w:lvl w:ilvl="0">
      <w:lvlJc w:val="left"/>
      <w:lvlText w:val="(%1)"/>
      <w:numFmt w:val="lowerLetter"/>
      <w:start w:val="2"/>
    </w:lvl>
  </w:abstractNum>
  <w:abstractNum w:abstractNumId="150">
    <w:nsid w:val="4F38F265"/>
    <w:multiLevelType w:val="hybridMultilevel"/>
    <w:lvl w:ilvl="0">
      <w:lvlJc w:val="left"/>
      <w:lvlText w:val="(%1)"/>
      <w:numFmt w:val="lowerLetter"/>
      <w:start w:val="3"/>
    </w:lvl>
  </w:abstractNum>
  <w:abstractNum w:abstractNumId="151">
    <w:nsid w:val="4C502870"/>
    <w:multiLevelType w:val="hybridMultilevel"/>
    <w:lvl w:ilvl="0">
      <w:lvlJc w:val="left"/>
      <w:lvlText w:val="(%1)"/>
      <w:numFmt w:val="lowerLetter"/>
      <w:start w:val="1"/>
    </w:lvl>
  </w:abstractNum>
  <w:abstractNum w:abstractNumId="152">
    <w:nsid w:val="1DE8725A"/>
    <w:multiLevelType w:val="hybridMultilevel"/>
    <w:lvl w:ilvl="0">
      <w:lvlJc w:val="left"/>
      <w:lvlText w:val="(%1)"/>
      <w:numFmt w:val="lowerLetter"/>
      <w:start w:val="4"/>
    </w:lvl>
  </w:abstractNum>
  <w:abstractNum w:abstractNumId="153">
    <w:nsid w:val="6A37288A"/>
    <w:multiLevelType w:val="hybridMultilevel"/>
    <w:lvl w:ilvl="0">
      <w:lvlJc w:val="left"/>
      <w:lvlText w:val="(%1)"/>
      <w:numFmt w:val="lowerLetter"/>
      <w:start w:val="1"/>
    </w:lvl>
  </w:abstractNum>
  <w:abstractNum w:abstractNumId="154">
    <w:nsid w:val="8F8B73F"/>
    <w:multiLevelType w:val="hybridMultilevel"/>
    <w:lvl w:ilvl="0">
      <w:lvlJc w:val="left"/>
      <w:lvlText w:val="(%1)"/>
      <w:numFmt w:val="lowerLetter"/>
      <w:start w:val="3"/>
    </w:lvl>
  </w:abstractNum>
  <w:abstractNum w:abstractNumId="155">
    <w:nsid w:val="CA6B462"/>
    <w:multiLevelType w:val="hybridMultilevel"/>
    <w:lvl w:ilvl="0">
      <w:lvlJc w:val="left"/>
      <w:lvlText w:val="(%1)"/>
      <w:numFmt w:val="lowerLetter"/>
      <w:start w:val="1"/>
    </w:lvl>
    <w:lvl w:ilvl="1">
      <w:lvlJc w:val="left"/>
      <w:lvlText w:val="(%2)"/>
      <w:numFmt w:val="lowerLetter"/>
      <w:start w:val="9"/>
    </w:lvl>
  </w:abstractNum>
  <w:abstractNum w:abstractNumId="156">
    <w:nsid w:val="763CB680"/>
    <w:multiLevelType w:val="hybridMultilevel"/>
    <w:lvl w:ilvl="0">
      <w:lvlJc w:val="left"/>
      <w:lvlText w:val="(%1)"/>
      <w:numFmt w:val="lowerRoman"/>
      <w:start w:val="2"/>
    </w:lvl>
  </w:abstractNum>
  <w:abstractNum w:abstractNumId="157">
    <w:nsid w:val="15B71329"/>
    <w:multiLevelType w:val="hybridMultilevel"/>
    <w:lvl w:ilvl="0">
      <w:lvlJc w:val="left"/>
      <w:lvlText w:val="(%1)"/>
      <w:numFmt w:val="lowerLetter"/>
      <w:start w:val="3"/>
    </w:lvl>
    <w:lvl w:ilvl="1">
      <w:lvlJc w:val="left"/>
      <w:lvlText w:val="(%2)"/>
      <w:numFmt w:val="lowerRoman"/>
      <w:start w:val="1"/>
    </w:lvl>
  </w:abstractNum>
  <w:abstractNum w:abstractNumId="158">
    <w:nsid w:val="3DA97044"/>
    <w:multiLevelType w:val="hybridMultilevel"/>
    <w:lvl w:ilvl="0">
      <w:lvlJc w:val="left"/>
      <w:lvlText w:val="(%1)"/>
      <w:numFmt w:val="lowerRoman"/>
      <w:start w:val="3"/>
    </w:lvl>
  </w:abstractNum>
  <w:abstractNum w:abstractNumId="159">
    <w:nsid w:val="1CDCE2DE"/>
    <w:multiLevelType w:val="hybridMultilevel"/>
    <w:lvl w:ilvl="0">
      <w:lvlJc w:val="left"/>
      <w:lvlText w:val="(%1)"/>
      <w:numFmt w:val="lowerLetter"/>
      <w:start w:val="1"/>
    </w:lvl>
  </w:abstractNum>
  <w:abstractNum w:abstractNumId="160">
    <w:nsid w:val="69D3947C"/>
    <w:multiLevelType w:val="hybridMultilevel"/>
    <w:lvl w:ilvl="0">
      <w:lvlJc w:val="left"/>
      <w:lvlText w:val="(%1)"/>
      <w:numFmt w:val="lowerLetter"/>
      <w:start w:val="5"/>
    </w:lvl>
  </w:abstractNum>
  <w:abstractNum w:abstractNumId="161">
    <w:nsid w:val="2539DFA5"/>
    <w:multiLevelType w:val="hybridMultilevel"/>
    <w:lvl w:ilvl="0">
      <w:lvlJc w:val="left"/>
      <w:lvlText w:val="(%1)"/>
      <w:numFmt w:val="lowerLetter"/>
      <w:start w:val="1"/>
    </w:lvl>
  </w:abstractNum>
  <w:abstractNum w:abstractNumId="162">
    <w:nsid w:val="2DB88089"/>
    <w:multiLevelType w:val="hybridMultilevel"/>
    <w:lvl w:ilvl="0">
      <w:lvlJc w:val="left"/>
      <w:lvlText w:val="(%1)"/>
      <w:numFmt w:val="lowerLetter"/>
      <w:start w:val="9"/>
    </w:lvl>
    <w:lvl w:ilvl="1">
      <w:lvlJc w:val="left"/>
      <w:lvlText w:val="(%2)"/>
      <w:numFmt w:val="lowerLetter"/>
      <w:start w:val="2"/>
    </w:lvl>
  </w:abstractNum>
  <w:abstractNum w:abstractNumId="163">
    <w:nsid w:val="706B674E"/>
    <w:multiLevelType w:val="hybridMultilevel"/>
    <w:lvl w:ilvl="0">
      <w:lvlJc w:val="left"/>
      <w:lvlText w:val="(%1)"/>
      <w:numFmt w:val="lowerLetter"/>
      <w:start w:val="2"/>
    </w:lvl>
    <w:lvl w:ilvl="1">
      <w:lvlJc w:val="left"/>
      <w:lvlText w:val="(%2)"/>
      <w:numFmt w:val="lowerLetter"/>
      <w:start w:val="3"/>
    </w:lvl>
  </w:abstractNum>
  <w:abstractNum w:abstractNumId="164">
    <w:nsid w:val="2C106A57"/>
    <w:multiLevelType w:val="hybridMultilevel"/>
    <w:lvl w:ilvl="0">
      <w:lvlJc w:val="left"/>
      <w:lvlText w:val="(%1)"/>
      <w:numFmt w:val="lowerLetter"/>
      <w:start w:val="1"/>
    </w:lvl>
  </w:abstractNum>
  <w:abstractNum w:abstractNumId="165">
    <w:nsid w:val="684EED59"/>
    <w:multiLevelType w:val="hybridMultilevel"/>
    <w:lvl w:ilvl="0">
      <w:lvlJc w:val="left"/>
      <w:lvlText w:val="(%1)"/>
      <w:numFmt w:val="lowerLetter"/>
      <w:start w:val="5"/>
    </w:lvl>
  </w:abstractNum>
  <w:abstractNum w:abstractNumId="166">
    <w:nsid w:val="545EE5D3"/>
    <w:multiLevelType w:val="hybridMultilevel"/>
    <w:lvl w:ilvl="0">
      <w:lvlJc w:val="left"/>
      <w:lvlText w:val="(%1)"/>
      <w:numFmt w:val="lowerRoman"/>
      <w:start w:val="1"/>
    </w:lvl>
  </w:abstractNum>
  <w:abstractNum w:abstractNumId="167">
    <w:nsid w:val="4A66051"/>
    <w:multiLevelType w:val="hybridMultilevel"/>
    <w:lvl w:ilvl="0">
      <w:lvlJc w:val="left"/>
      <w:lvlText w:val="(%1)"/>
      <w:numFmt w:val="lowerRoman"/>
      <w:start w:val="4"/>
    </w:lvl>
  </w:abstractNum>
  <w:abstractNum w:abstractNumId="168">
    <w:nsid w:val="20F4BDAD"/>
    <w:multiLevelType w:val="hybridMultilevel"/>
    <w:lvl w:ilvl="0">
      <w:lvlJc w:val="left"/>
      <w:lvlText w:val="(%1)"/>
      <w:numFmt w:val="lowerLetter"/>
      <w:start w:val="1"/>
    </w:lvl>
    <w:lvl w:ilvl="1">
      <w:lvlJc w:val="left"/>
      <w:lvlText w:val="(%2)"/>
      <w:numFmt w:val="lowerLetter"/>
      <w:start w:val="9"/>
    </w:lvl>
  </w:abstractNum>
  <w:abstractNum w:abstractNumId="169">
    <w:nsid w:val="639DEFAC"/>
    <w:multiLevelType w:val="hybridMultilevel"/>
    <w:lvl w:ilvl="0">
      <w:lvlJc w:val="left"/>
      <w:lvlText w:val="(%1)"/>
      <w:numFmt w:val="lowerRoman"/>
      <w:start w:val="2"/>
    </w:lvl>
  </w:abstractNum>
  <w:abstractNum w:abstractNumId="170">
    <w:nsid w:val="501F9786"/>
    <w:multiLevelType w:val="hybridMultilevel"/>
    <w:lvl w:ilvl="0">
      <w:lvlJc w:val="left"/>
      <w:lvlText w:val="(%1)"/>
      <w:numFmt w:val="lowerLetter"/>
      <w:start w:val="8"/>
    </w:lvl>
    <w:lvl w:ilvl="1">
      <w:lvlJc w:val="left"/>
      <w:lvlText w:val="(%2)"/>
      <w:numFmt w:val="lowerRoman"/>
      <w:start w:val="1"/>
    </w:lvl>
  </w:abstractNum>
  <w:abstractNum w:abstractNumId="171">
    <w:nsid w:val="6B057295"/>
    <w:multiLevelType w:val="hybridMultilevel"/>
    <w:lvl w:ilvl="0">
      <w:lvlJc w:val="left"/>
      <w:lvlText w:val="(%1)"/>
      <w:numFmt w:val="lowerRoman"/>
      <w:start w:val="3"/>
    </w:lvl>
  </w:abstractNum>
  <w:abstractNum w:abstractNumId="172">
    <w:nsid w:val="2771AC80"/>
    <w:multiLevelType w:val="hybridMultilevel"/>
    <w:lvl w:ilvl="0">
      <w:lvlJc w:val="left"/>
      <w:lvlText w:val="(%1)"/>
      <w:numFmt w:val="lowerLetter"/>
      <w:start w:val="9"/>
    </w:lvl>
    <w:lvl w:ilvl="1">
      <w:lvlJc w:val="left"/>
      <w:lvlText w:val="(%2)"/>
      <w:numFmt w:val="lowerLetter"/>
      <w:start w:val="10"/>
    </w:lvl>
  </w:abstractNum>
  <w:abstractNum w:abstractNumId="173">
    <w:nsid w:val="1C4A08EC"/>
    <w:multiLevelType w:val="hybridMultilevel"/>
    <w:lvl w:ilvl="0">
      <w:lvlJc w:val="left"/>
      <w:lvlText w:val="(%1)"/>
      <w:numFmt w:val="lowerLetter"/>
      <w:start w:val="11"/>
    </w:lvl>
  </w:abstractNum>
  <w:abstractNum w:abstractNumId="174">
    <w:nsid w:val="1958BD17"/>
    <w:multiLevelType w:val="hybridMultilevel"/>
    <w:lvl w:ilvl="0">
      <w:lvlJc w:val="left"/>
      <w:lvlText w:val="(%1)"/>
      <w:numFmt w:val="lowerLetter"/>
      <w:start w:val="22"/>
    </w:lvl>
  </w:abstractNum>
  <w:abstractNum w:abstractNumId="175">
    <w:nsid w:val="4E647FE4"/>
    <w:multiLevelType w:val="hybridMultilevel"/>
    <w:lvl w:ilvl="0">
      <w:lvlJc w:val="left"/>
      <w:lvlText w:val="(%1)"/>
      <w:numFmt w:val="lowerLetter"/>
      <w:start w:val="1"/>
    </w:lvl>
  </w:abstractNum>
  <w:abstractNum w:abstractNumId="176">
    <w:nsid w:val="E0BB885"/>
    <w:multiLevelType w:val="hybridMultilevel"/>
    <w:lvl w:ilvl="0">
      <w:lvlJc w:val="left"/>
      <w:lvlText w:val="(%1)"/>
      <w:numFmt w:val="lowerLetter"/>
      <w:start w:val="1"/>
    </w:lvl>
  </w:abstractNum>
  <w:abstractNum w:abstractNumId="177">
    <w:nsid w:val="565976F1"/>
    <w:multiLevelType w:val="hybridMultilevel"/>
    <w:lvl w:ilvl="0">
      <w:lvlJc w:val="left"/>
      <w:lvlText w:val="(%1)"/>
      <w:numFmt w:val="decimal"/>
      <w:start w:val="1"/>
    </w:lvl>
  </w:abstractNum>
  <w:abstractNum w:abstractNumId="178">
    <w:nsid w:val="64212B8C"/>
    <w:multiLevelType w:val="hybridMultilevel"/>
    <w:lvl w:ilvl="0">
      <w:lvlJc w:val="left"/>
      <w:lvlText w:val="(%1)"/>
      <w:numFmt w:val="decimal"/>
      <w:start w:val="1"/>
    </w:lvl>
  </w:abstractNum>
  <w:abstractNum w:abstractNumId="179">
    <w:nsid w:val="5C17530C"/>
    <w:multiLevelType w:val="hybridMultilevel"/>
    <w:lvl w:ilvl="0">
      <w:lvlJc w:val="left"/>
      <w:lvlText w:val="1"/>
      <w:numFmt w:val="bullet"/>
      <w:start w:val="1"/>
    </w:lvl>
  </w:abstractNum>
  <w:abstractNum w:abstractNumId="180">
    <w:nsid w:val="19A52566"/>
    <w:multiLevelType w:val="hybridMultilevel"/>
    <w:lvl w:ilvl="0">
      <w:lvlJc w:val="left"/>
      <w:lvlText w:val="2"/>
      <w:numFmt w:val="bullet"/>
      <w:start w:val="1"/>
    </w:lvl>
  </w:abstractNum>
  <w:abstractNum w:abstractNumId="181">
    <w:nsid w:val="335A1DF1"/>
    <w:multiLevelType w:val="hybridMultilevel"/>
    <w:lvl w:ilvl="0">
      <w:lvlJc w:val="left"/>
      <w:lvlText w:val="3"/>
      <w:numFmt w:val="bullet"/>
      <w:start w:val="1"/>
    </w:lvl>
  </w:abstractNum>
  <w:abstractNum w:abstractNumId="182">
    <w:nsid w:val="28677B7C"/>
    <w:multiLevelType w:val="hybridMultilevel"/>
    <w:lvl w:ilvl="0">
      <w:lvlJc w:val="left"/>
      <w:lvlText w:val="4"/>
      <w:numFmt w:val="bullet"/>
      <w:start w:val="1"/>
    </w:lvl>
  </w:abstractNum>
  <w:abstractNum w:abstractNumId="183">
    <w:nsid w:val="378D97C0"/>
    <w:multiLevelType w:val="hybridMultilevel"/>
    <w:lvl w:ilvl="0">
      <w:lvlJc w:val="left"/>
      <w:lvlText w:val="5"/>
      <w:numFmt w:val="bullet"/>
      <w:start w:val="1"/>
    </w:lvl>
  </w:abstractNum>
  <w:abstractNum w:abstractNumId="184">
    <w:nsid w:val="1D91467C"/>
    <w:multiLevelType w:val="hybridMultilevel"/>
    <w:lvl w:ilvl="0">
      <w:lvlJc w:val="left"/>
      <w:lvlText w:val="6"/>
      <w:numFmt w:val="bullet"/>
      <w:start w:val="1"/>
    </w:lvl>
  </w:abstractNum>
  <w:abstractNum w:abstractNumId="185">
    <w:nsid w:val="316032BB"/>
    <w:multiLevelType w:val="hybridMultilevel"/>
    <w:lvl w:ilvl="0">
      <w:lvlJc w:val="left"/>
      <w:lvlText w:val="7"/>
      <w:numFmt w:val="bullet"/>
      <w:start w:val="1"/>
    </w:lvl>
  </w:abstractNum>
  <w:abstractNum w:abstractNumId="186">
    <w:nsid w:val="44344C22"/>
    <w:multiLevelType w:val="hybridMultilevel"/>
    <w:lvl w:ilvl="0">
      <w:lvlJc w:val="left"/>
      <w:lvlText w:val="8"/>
      <w:numFmt w:val="bullet"/>
      <w:start w:val="1"/>
    </w:lvl>
  </w:abstractNum>
  <w:abstractNum w:abstractNumId="187">
    <w:nsid w:val="13CDFCFC"/>
    <w:multiLevelType w:val="hybridMultilevel"/>
    <w:lvl w:ilvl="0">
      <w:lvlJc w:val="left"/>
      <w:lvlText w:val="9"/>
      <w:numFmt w:val="bullet"/>
      <w:start w:val="1"/>
    </w:lvl>
  </w:abstractNum>
  <w:abstractNum w:abstractNumId="188">
    <w:nsid w:val="471745E4"/>
    <w:multiLevelType w:val="hybridMultilevel"/>
    <w:lvl w:ilvl="0">
      <w:lvlJc w:val="left"/>
      <w:lvlText w:val="%1"/>
      <w:numFmt w:val="decimal"/>
      <w:start w:val="10"/>
    </w:lvl>
  </w:abstractNum>
  <w:abstractNum w:abstractNumId="189">
    <w:nsid w:val="1DDBC66"/>
    <w:multiLevelType w:val="hybridMultilevel"/>
    <w:lvl w:ilvl="0">
      <w:lvlJc w:val="left"/>
      <w:lvlText w:val="%1"/>
      <w:numFmt w:val="decimal"/>
      <w:start w:val="11"/>
    </w:lvl>
  </w:abstractNum>
  <w:abstractNum w:abstractNumId="190">
    <w:nsid w:val="30AADFDA"/>
    <w:multiLevelType w:val="hybridMultilevel"/>
    <w:lvl w:ilvl="0">
      <w:lvlJc w:val="left"/>
      <w:lvlText w:val="1"/>
      <w:numFmt w:val="bullet"/>
      <w:start w:val="1"/>
    </w:lvl>
  </w:abstractNum>
  <w:abstractNum w:abstractNumId="191">
    <w:nsid w:val="30EADA61"/>
    <w:multiLevelType w:val="hybridMultilevel"/>
    <w:lvl w:ilvl="0">
      <w:lvlJc w:val="left"/>
      <w:lvlText w:val="2"/>
      <w:numFmt w:val="bullet"/>
      <w:start w:val="1"/>
    </w:lvl>
  </w:abstractNum>
  <w:abstractNum w:abstractNumId="192">
    <w:nsid w:val="27179C0B"/>
    <w:multiLevelType w:val="hybridMultilevel"/>
    <w:lvl w:ilvl="0">
      <w:lvlJc w:val="left"/>
      <w:lvlText w:val="3"/>
      <w:numFmt w:val="bullet"/>
      <w:start w:val="1"/>
    </w:lvl>
  </w:abstractNum>
  <w:abstractNum w:abstractNumId="193">
    <w:nsid w:val="5E636063"/>
    <w:multiLevelType w:val="hybridMultilevel"/>
    <w:lvl w:ilvl="0">
      <w:lvlJc w:val="left"/>
      <w:lvlText w:val="4"/>
      <w:numFmt w:val="bullet"/>
      <w:start w:val="1"/>
    </w:lvl>
  </w:abstractNum>
  <w:abstractNum w:abstractNumId="194">
    <w:nsid w:val="215641AF"/>
    <w:multiLevelType w:val="hybridMultilevel"/>
    <w:lvl w:ilvl="0">
      <w:lvlJc w:val="left"/>
      <w:lvlText w:val="5"/>
      <w:numFmt w:val="bullet"/>
      <w:start w:val="1"/>
    </w:lvl>
  </w:abstractNum>
  <w:abstractNum w:abstractNumId="195">
    <w:nsid w:val="53280662"/>
    <w:multiLevelType w:val="hybridMultilevel"/>
    <w:lvl w:ilvl="0">
      <w:lvlJc w:val="left"/>
      <w:lvlText w:val="1"/>
      <w:numFmt w:val="bullet"/>
      <w:start w:val="1"/>
    </w:lvl>
  </w:abstractNum>
  <w:abstractNum w:abstractNumId="196">
    <w:nsid w:val="46B24DBC"/>
    <w:multiLevelType w:val="hybridMultilevel"/>
    <w:lvl w:ilvl="0">
      <w:lvlJc w:val="left"/>
      <w:lvlText w:val="2"/>
      <w:numFmt w:val="bullet"/>
      <w:start w:val="1"/>
    </w:lvl>
  </w:abstractNum>
  <w:abstractNum w:abstractNumId="197">
    <w:nsid w:val="75B52783"/>
    <w:multiLevelType w:val="hybridMultilevel"/>
    <w:lvl w:ilvl="0">
      <w:lvlJc w:val="left"/>
      <w:lvlText w:val="3"/>
      <w:numFmt w:val="bullet"/>
      <w:start w:val="1"/>
    </w:lvl>
  </w:abstractNum>
  <w:abstractNum w:abstractNumId="198">
    <w:nsid w:val="57CE66B4"/>
    <w:multiLevelType w:val="hybridMultilevel"/>
    <w:lvl w:ilvl="0">
      <w:lvlJc w:val="left"/>
      <w:lvlText w:val="4"/>
      <w:numFmt w:val="bullet"/>
      <w:start w:val="1"/>
    </w:lvl>
  </w:abstractNum>
  <w:abstractNum w:abstractNumId="199">
    <w:nsid w:val="67A70B69"/>
    <w:multiLevelType w:val="hybridMultilevel"/>
    <w:lvl w:ilvl="0">
      <w:lvlJc w:val="left"/>
      <w:lvlText w:val="1"/>
      <w:numFmt w:val="bullet"/>
      <w:start w:val="1"/>
    </w:lvl>
  </w:abstractNum>
  <w:abstractNum w:abstractNumId="200">
    <w:nsid w:val="5953172F"/>
    <w:multiLevelType w:val="hybridMultilevel"/>
    <w:lvl w:ilvl="0">
      <w:lvlJc w:val="left"/>
      <w:lvlText w:val="(%1)"/>
      <w:numFmt w:val="lowerLetter"/>
      <w:start w:val="4"/>
    </w:lvl>
  </w:abstractNum>
  <w:abstractNum w:abstractNumId="201">
    <w:nsid w:val="27EDFE3A"/>
    <w:multiLevelType w:val="hybridMultilevel"/>
    <w:lvl w:ilvl="0">
      <w:lvlJc w:val="left"/>
      <w:lvlText w:val="2"/>
      <w:numFmt w:val="bullet"/>
      <w:start w:val="1"/>
    </w:lvl>
  </w:abstractNum>
  <w:abstractNum w:abstractNumId="202">
    <w:nsid w:val="52AC7DFF"/>
    <w:multiLevelType w:val="hybridMultilevel"/>
    <w:lvl w:ilvl="0">
      <w:lvlJc w:val="left"/>
      <w:lvlText w:val="3"/>
      <w:numFmt w:val="bullet"/>
      <w:start w:val="1"/>
    </w:lvl>
  </w:abstractNum>
  <w:abstractNum w:abstractNumId="203">
    <w:nsid w:val="C4C3AF"/>
    <w:multiLevelType w:val="hybridMultilevel"/>
    <w:lvl w:ilvl="0">
      <w:lvlJc w:val="left"/>
      <w:lvlText w:val="4"/>
      <w:numFmt w:val="bullet"/>
      <w:start w:val="1"/>
    </w:lvl>
  </w:abstractNum>
  <w:abstractNum w:abstractNumId="204">
    <w:nsid w:val="44380727"/>
    <w:multiLevelType w:val="hybridMultilevel"/>
    <w:lvl w:ilvl="0">
      <w:lvlJc w:val="left"/>
      <w:lvlText w:val="5"/>
      <w:numFmt w:val="bullet"/>
      <w:start w:val="1"/>
    </w:lvl>
  </w:abstractNum>
  <w:abstractNum w:abstractNumId="205">
    <w:nsid w:val="6C053B16"/>
    <w:multiLevelType w:val="hybridMultilevel"/>
    <w:lvl w:ilvl="0">
      <w:lvlJc w:val="left"/>
      <w:lvlText w:val="6"/>
      <w:numFmt w:val="bullet"/>
      <w:start w:val="1"/>
    </w:lvl>
  </w:abstractNum>
  <w:abstractNum w:abstractNumId="206">
    <w:nsid w:val="4F294393"/>
    <w:multiLevelType w:val="hybridMultilevel"/>
    <w:lvl w:ilvl="0">
      <w:lvlJc w:val="left"/>
      <w:lvlText w:val="7"/>
      <w:numFmt w:val="bullet"/>
      <w:start w:val="1"/>
    </w:lvl>
  </w:abstractNum>
  <w:abstractNum w:abstractNumId="207">
    <w:nsid w:val="5243BFAC"/>
    <w:multiLevelType w:val="hybridMultilevel"/>
    <w:lvl w:ilvl="0">
      <w:lvlJc w:val="left"/>
      <w:lvlText w:val="8"/>
      <w:numFmt w:val="bullet"/>
      <w:start w:val="1"/>
    </w:lvl>
  </w:abstractNum>
  <w:abstractNum w:abstractNumId="208">
    <w:nsid w:val="425EB207"/>
    <w:multiLevelType w:val="hybridMultilevel"/>
    <w:lvl w:ilvl="0">
      <w:lvlJc w:val="left"/>
      <w:lvlText w:val="9"/>
      <w:numFmt w:val="bullet"/>
      <w:start w:val="1"/>
    </w:lvl>
  </w:abstractNum>
  <w:abstractNum w:abstractNumId="209">
    <w:nsid w:val="334A6F1F"/>
    <w:multiLevelType w:val="hybridMultilevel"/>
    <w:lvl w:ilvl="0">
      <w:lvlJc w:val="left"/>
      <w:lvlText w:val="%1"/>
      <w:numFmt w:val="decimal"/>
      <w:start w:val="10"/>
    </w:lvl>
  </w:abstractNum>
  <w:abstractNum w:abstractNumId="210">
    <w:nsid w:val="2E5B12B8"/>
    <w:multiLevelType w:val="hybridMultilevel"/>
    <w:lvl w:ilvl="0">
      <w:lvlJc w:val="left"/>
      <w:lvlText w:val="%1"/>
      <w:numFmt w:val="decimal"/>
      <w:start w:val="11"/>
    </w:lvl>
  </w:abstractNum>
  <w:abstractNum w:abstractNumId="211">
    <w:nsid w:val="5C03D76D"/>
    <w:multiLevelType w:val="hybridMultilevel"/>
    <w:lvl w:ilvl="0">
      <w:lvlJc w:val="left"/>
      <w:lvlText w:val="%1"/>
      <w:numFmt w:val="decimal"/>
      <w:start w:val="16"/>
    </w:lvl>
  </w:abstractNum>
  <w:abstractNum w:abstractNumId="212">
    <w:nsid w:val="66A48D11"/>
    <w:multiLevelType w:val="hybridMultilevel"/>
    <w:lvl w:ilvl="0">
      <w:lvlJc w:val="left"/>
      <w:lvlText w:val="%1"/>
      <w:numFmt w:val="decimal"/>
      <w:start w:val="17"/>
    </w:lvl>
  </w:abstractNum>
  <w:abstractNum w:abstractNumId="213">
    <w:nsid w:val="56C28E34"/>
    <w:multiLevelType w:val="hybridMultilevel"/>
    <w:lvl w:ilvl="0">
      <w:lvlJc w:val="left"/>
      <w:lvlText w:val="%1"/>
      <w:numFmt w:val="decimal"/>
      <w:start w:val="18"/>
    </w:lvl>
  </w:abstractNum>
  <w:abstractNum w:abstractNumId="214">
    <w:nsid w:val="13916F2D"/>
    <w:multiLevelType w:val="hybridMultilevel"/>
    <w:lvl w:ilvl="0">
      <w:lvlJc w:val="left"/>
      <w:lvlText w:val="%1"/>
      <w:numFmt w:val="decimal"/>
      <w:start w:val="19"/>
    </w:lvl>
  </w:abstractNum>
  <w:abstractNum w:abstractNumId="215">
    <w:nsid w:val="435D38D"/>
    <w:multiLevelType w:val="hybridMultilevel"/>
    <w:lvl w:ilvl="0">
      <w:lvlJc w:val="left"/>
      <w:lvlText w:val="%1"/>
      <w:numFmt w:val="decimal"/>
      <w:start w:val="20"/>
    </w:lvl>
  </w:abstractNum>
  <w:abstractNum w:abstractNumId="216">
    <w:nsid w:val="822C0EF"/>
    <w:multiLevelType w:val="hybridMultilevel"/>
    <w:lvl w:ilvl="0">
      <w:lvlJc w:val="left"/>
      <w:lvlText w:val="%1"/>
      <w:numFmt w:val="decimal"/>
      <w:start w:val="21"/>
    </w:lvl>
  </w:abstractNum>
  <w:abstractNum w:abstractNumId="217">
    <w:nsid w:val="57C5BB4F"/>
    <w:multiLevelType w:val="hybridMultilevel"/>
    <w:lvl w:ilvl="0">
      <w:lvlJc w:val="left"/>
      <w:lvlText w:val="%1"/>
      <w:numFmt w:val="decimal"/>
      <w:start w:val="22"/>
    </w:lvl>
  </w:abstractNum>
  <w:abstractNum w:abstractNumId="218">
    <w:nsid w:val="1803D089"/>
    <w:multiLevelType w:val="hybridMultilevel"/>
    <w:lvl w:ilvl="0">
      <w:lvlJc w:val="left"/>
      <w:lvlText w:val="%1"/>
      <w:numFmt w:val="decimal"/>
      <w:start w:val="23"/>
    </w:lvl>
  </w:abstractNum>
  <w:abstractNum w:abstractNumId="219">
    <w:nsid w:val="4F3A06D4"/>
    <w:multiLevelType w:val="hybridMultilevel"/>
    <w:lvl w:ilvl="0">
      <w:lvlJc w:val="left"/>
      <w:lvlText w:val="%1"/>
      <w:numFmt w:val="decimal"/>
      <w:start w:val="24"/>
    </w:lvl>
  </w:abstractNum>
  <w:abstractNum w:abstractNumId="220">
    <w:nsid w:val="59A377B6"/>
    <w:multiLevelType w:val="hybridMultilevel"/>
    <w:lvl w:ilvl="0">
      <w:lvlJc w:val="left"/>
      <w:lvlText w:val="%1"/>
      <w:numFmt w:val="decimal"/>
      <w:start w:val="25"/>
    </w:lvl>
  </w:abstractNum>
  <w:abstractNum w:abstractNumId="221">
    <w:nsid w:val="48AEB063"/>
    <w:multiLevelType w:val="hybridMultilevel"/>
    <w:lvl w:ilvl="0">
      <w:lvlJc w:val="left"/>
      <w:lvlText w:val="(%1)"/>
      <w:numFmt w:val="lowerLetter"/>
      <w:start w:val="1"/>
    </w:lvl>
  </w:abstractNum>
  <w:abstractNum w:abstractNumId="222">
    <w:nsid w:val="24E135"/>
    <w:multiLevelType w:val="hybridMultilevel"/>
    <w:lvl w:ilvl="0">
      <w:lvlJc w:val="left"/>
      <w:lvlText w:val="(%1)"/>
      <w:numFmt w:val="lowerLetter"/>
      <w:start w:val="13"/>
    </w:lvl>
  </w:abstractNum>
  <w:abstractNum w:abstractNumId="223">
    <w:nsid w:val="BB13C1"/>
    <w:multiLevelType w:val="hybridMultilevel"/>
    <w:lvl w:ilvl="0">
      <w:lvlJc w:val="left"/>
      <w:lvlText w:val="(%1)"/>
      <w:numFmt w:val="lowerLetter"/>
      <w:start w:val="25"/>
    </w:lvl>
    <w:lvl w:ilvl="1">
      <w:lvlJc w:val="left"/>
      <w:lvlText w:val="(%2)"/>
      <w:numFmt w:val="lowerRoman"/>
      <w:start w:val="1"/>
    </w:lvl>
  </w:abstractNum>
  <w:abstractNum w:abstractNumId="224">
    <w:nsid w:val="271210C7"/>
    <w:multiLevelType w:val="hybridMultilevel"/>
    <w:lvl w:ilvl="0">
      <w:lvlJc w:val="left"/>
      <w:lvlText w:val="(%1)"/>
      <w:numFmt w:val="lowerLetter"/>
      <w:start w:val="27"/>
    </w:lvl>
  </w:abstractNum>
  <w:abstractNum w:abstractNumId="225">
    <w:nsid w:val="217B22E4"/>
    <w:multiLevelType w:val="hybridMultilevel"/>
    <w:lvl w:ilvl="0">
      <w:lvlJc w:val="left"/>
      <w:lvlText w:val="(%1)"/>
      <w:numFmt w:val="lowerLetter"/>
      <w:start w:val="29"/>
    </w:lvl>
    <w:lvl w:ilvl="1">
      <w:lvlJc w:val="left"/>
      <w:lvlText w:val="(%2)"/>
      <w:numFmt w:val="lowerLetter"/>
      <w:start w:val="1"/>
    </w:lvl>
  </w:abstractNum>
  <w:abstractNum w:abstractNumId="226">
    <w:nsid w:val="53E31A24"/>
    <w:multiLevelType w:val="hybridMultilevel"/>
    <w:lvl w:ilvl="0">
      <w:lvlJc w:val="left"/>
      <w:lvlText w:val="(%1)"/>
      <w:numFmt w:val="lowerLetter"/>
      <w:start w:val="33"/>
    </w:lvl>
    <w:lvl w:ilvl="1">
      <w:lvlJc w:val="left"/>
      <w:lvlText w:val="(%2)"/>
      <w:numFmt w:val="lowerRoman"/>
      <w:start w:val="1"/>
    </w:lvl>
  </w:abstractNum>
  <w:abstractNum w:abstractNumId="227">
    <w:nsid w:val="6DC45E83"/>
    <w:multiLevelType w:val="hybridMultilevel"/>
    <w:lvl w:ilvl="0">
      <w:lvlJc w:val="left"/>
      <w:lvlText w:val="(%1)"/>
      <w:numFmt w:val="lowerLetter"/>
      <w:start w:val="42"/>
    </w:lvl>
  </w:abstractNum>
  <w:abstractNum w:abstractNumId="228">
    <w:nsid w:val="17304A67"/>
    <w:multiLevelType w:val="hybridMultilevel"/>
    <w:lvl w:ilvl="0">
      <w:lvlJc w:val="left"/>
      <w:lvlText w:val="(%1)"/>
      <w:numFmt w:val="decimal"/>
      <w:start w:val="1"/>
    </w:lvl>
  </w:abstractNum>
  <w:abstractNum w:abstractNumId="229">
    <w:nsid w:val="2BB180D8"/>
    <w:multiLevelType w:val="hybridMultilevel"/>
    <w:lvl w:ilvl="0">
      <w:lvlJc w:val="left"/>
      <w:lvlText w:val="(%1)"/>
      <w:numFmt w:val="decimal"/>
      <w:start w:val="1"/>
    </w:lvl>
  </w:abstractNum>
  <w:abstractNum w:abstractNumId="230">
    <w:nsid w:val="556B69ED"/>
    <w:multiLevelType w:val="hybridMultilevel"/>
    <w:lvl w:ilvl="0">
      <w:lvlJc w:val="left"/>
      <w:lvlText w:val="(%1)"/>
      <w:numFmt w:val="decimal"/>
      <w:start w:val="1"/>
    </w:lvl>
  </w:abstractNum>
  <w:abstractNum w:abstractNumId="231">
    <w:nsid w:val="70836196"/>
    <w:multiLevelType w:val="hybridMultilevel"/>
    <w:lvl w:ilvl="0">
      <w:lvlJc w:val="left"/>
      <w:lvlText w:val="(%1)"/>
      <w:numFmt w:val="decimal"/>
      <w:start w:val="1"/>
    </w:lvl>
  </w:abstractNum>
  <w:abstractNum w:abstractNumId="232">
    <w:nsid w:val="539F7F12"/>
    <w:multiLevelType w:val="hybridMultilevel"/>
    <w:lvl w:ilvl="0">
      <w:lvlJc w:val="left"/>
      <w:lvlText w:val="(%1)"/>
      <w:numFmt w:val="decimal"/>
      <w:start w:val="1"/>
    </w:lvl>
  </w:abstractNum>
  <w:abstractNum w:abstractNumId="233">
    <w:nsid w:val="2817E7EC"/>
    <w:multiLevelType w:val="hybridMultilevel"/>
    <w:lvl w:ilvl="0">
      <w:lvlJc w:val="left"/>
      <w:lvlText w:val="%1."/>
      <w:numFmt w:val="decimal"/>
      <w:start w:val="1"/>
    </w:lvl>
  </w:abstractNum>
  <w:abstractNum w:abstractNumId="234">
    <w:nsid w:val="71482545"/>
    <w:multiLevelType w:val="hybridMultilevel"/>
    <w:lvl w:ilvl="0">
      <w:lvlJc w:val="left"/>
      <w:lvlText w:val="%1."/>
      <w:numFmt w:val="decimal"/>
      <w:start w:val="2"/>
    </w:lvl>
  </w:abstractNum>
  <w:abstractNum w:abstractNumId="235">
    <w:nsid w:val="17D78639"/>
    <w:multiLevelType w:val="hybridMultilevel"/>
    <w:lvl w:ilvl="0">
      <w:lvlJc w:val="left"/>
      <w:lvlText w:val="(%1)"/>
      <w:numFmt w:val="lowerLetter"/>
      <w:start w:val="1"/>
    </w:lvl>
  </w:abstractNum>
  <w:abstractNum w:abstractNumId="236">
    <w:nsid w:val="141D2302"/>
    <w:multiLevelType w:val="hybridMultilevel"/>
    <w:lvl w:ilvl="0">
      <w:lvlJc w:val="left"/>
      <w:lvlText w:val="(%1)"/>
      <w:numFmt w:val="lowerLetter"/>
      <w:start w:val="1"/>
    </w:lvl>
  </w:abstractNum>
  <w:abstractNum w:abstractNumId="237">
    <w:nsid w:val="407168D8"/>
    <w:multiLevelType w:val="hybridMultilevel"/>
    <w:lvl w:ilvl="0">
      <w:lvlJc w:val="left"/>
      <w:lvlText w:val="["/>
      <w:numFmt w:val="bullet"/>
      <w:start w:val="1"/>
    </w:lvl>
    <w:lvl w:ilvl="1">
      <w:lvlJc w:val="left"/>
      <w:lvlText w:val="(%2)"/>
      <w:numFmt w:val="lowerLetter"/>
      <w:start w:val="1"/>
    </w:lvl>
  </w:abstractNum>
  <w:abstractNum w:abstractNumId="238">
    <w:nsid w:val="6A1B45E5"/>
    <w:multiLevelType w:val="hybridMultilevel"/>
    <w:lvl w:ilvl="0">
      <w:lvlJc w:val="left"/>
      <w:lvlText w:val="(%1)"/>
      <w:numFmt w:val="lowerLetter"/>
      <w:start w:val="16"/>
    </w:lvl>
  </w:abstractNum>
  <w:abstractNum w:abstractNumId="239">
    <w:nsid w:val="567BD50A"/>
    <w:multiLevelType w:val="hybridMultilevel"/>
    <w:lvl w:ilvl="0">
      <w:lvlJc w:val="left"/>
      <w:lvlText w:val="(%1)"/>
      <w:numFmt w:val="lowerLetter"/>
      <w:start w:val="1"/>
    </w:lvl>
  </w:abstractNum>
  <w:abstractNum w:abstractNumId="240">
    <w:nsid w:val="73BBD7F8"/>
    <w:multiLevelType w:val="hybridMultilevel"/>
    <w:lvl w:ilvl="0">
      <w:lvlJc w:val="left"/>
      <w:lvlText w:val="%1."/>
      <w:numFmt w:val="decimal"/>
      <w:start w:val="3"/>
    </w:lvl>
  </w:abstractNum>
  <w:abstractNum w:abstractNumId="241">
    <w:nsid w:val="1876589D"/>
    <w:multiLevelType w:val="hybridMultilevel"/>
    <w:lvl w:ilvl="0">
      <w:lvlJc w:val="left"/>
      <w:lvlText w:val="%1."/>
      <w:numFmt w:val="decimal"/>
      <w:start w:val="4"/>
    </w:lvl>
  </w:abstractNum>
  <w:abstractNum w:abstractNumId="242">
    <w:nsid w:val="327FAC77"/>
    <w:multiLevelType w:val="hybridMultilevel"/>
    <w:lvl w:ilvl="0">
      <w:lvlJc w:val="left"/>
      <w:lvlText w:val="%1."/>
      <w:numFmt w:val="decimal"/>
      <w:start w:val="5"/>
    </w:lvl>
  </w:abstractNum>
  <w:abstractNum w:abstractNumId="243">
    <w:nsid w:val="5A606509"/>
    <w:multiLevelType w:val="hybridMultilevel"/>
    <w:lvl w:ilvl="0">
      <w:lvlJc w:val="left"/>
      <w:lvlText w:val="(%1)"/>
      <w:numFmt w:val="lowerLetter"/>
      <w:start w:val="1"/>
    </w:lvl>
  </w:abstractNum>
  <w:abstractNum w:abstractNumId="244">
    <w:nsid w:val="6F38E6D1"/>
    <w:multiLevelType w:val="hybridMultilevel"/>
    <w:lvl w:ilvl="0">
      <w:lvlJc w:val="left"/>
      <w:lvlText w:val="%1."/>
      <w:numFmt w:val="decimal"/>
      <w:start w:val="6"/>
    </w:lvl>
  </w:abstractNum>
  <w:abstractNum w:abstractNumId="245">
    <w:nsid w:val="46111BA5"/>
    <w:multiLevelType w:val="hybridMultilevel"/>
    <w:lvl w:ilvl="0">
      <w:lvlJc w:val="left"/>
      <w:lvlText w:val="%1."/>
      <w:numFmt w:val="decimal"/>
      <w:start w:val="7"/>
    </w:lvl>
  </w:abstractNum>
  <w:abstractNum w:abstractNumId="246">
    <w:nsid w:val="5E963896"/>
    <w:multiLevelType w:val="hybridMultilevel"/>
    <w:lvl w:ilvl="0">
      <w:lvlJc w:val="left"/>
      <w:lvlText w:val="%1."/>
      <w:numFmt w:val="decimal"/>
      <w:start w:val="8"/>
    </w:lvl>
  </w:abstractNum>
  <w:abstractNum w:abstractNumId="247">
    <w:nsid w:val="775BA7C1"/>
    <w:multiLevelType w:val="hybridMultilevel"/>
    <w:lvl w:ilvl="0">
      <w:lvlJc w:val="left"/>
      <w:lvlText w:val="%1."/>
      <w:numFmt w:val="decimal"/>
      <w:start w:val="9"/>
    </w:lvl>
  </w:abstractNum>
  <w:abstractNum w:abstractNumId="248">
    <w:nsid w:val="1DD6D6F4"/>
    <w:multiLevelType w:val="hybridMultilevel"/>
    <w:lvl w:ilvl="0">
      <w:lvlJc w:val="left"/>
      <w:lvlText w:val="%1."/>
      <w:numFmt w:val="decimal"/>
      <w:start w:val="10"/>
    </w:lvl>
  </w:abstractNum>
  <w:abstractNum w:abstractNumId="249">
    <w:nsid w:val="769A091F"/>
    <w:multiLevelType w:val="hybridMultilevel"/>
    <w:lvl w:ilvl="0">
      <w:lvlJc w:val="left"/>
      <w:lvlText w:val="%1."/>
      <w:numFmt w:val="decimal"/>
      <w:start w:val="11"/>
    </w:lvl>
  </w:abstractNum>
  <w:abstractNum w:abstractNumId="250">
    <w:nsid w:val="4695AE95"/>
    <w:multiLevelType w:val="hybridMultilevel"/>
    <w:lvl w:ilvl="0">
      <w:lvlJc w:val="left"/>
      <w:lvlText w:val="%1."/>
      <w:numFmt w:val="decimal"/>
      <w:start w:val="12"/>
    </w:lvl>
  </w:abstractNum>
  <w:abstractNum w:abstractNumId="251">
    <w:nsid w:val="777A4EAA"/>
    <w:multiLevelType w:val="hybridMultilevel"/>
    <w:lvl w:ilvl="0">
      <w:lvlJc w:val="left"/>
      <w:lvlText w:val="%1."/>
      <w:numFmt w:val="decimal"/>
      <w:start w:val="13"/>
    </w:lvl>
  </w:abstractNum>
  <w:abstractNum w:abstractNumId="252">
    <w:nsid w:val="3F48B982"/>
    <w:multiLevelType w:val="hybridMultilevel"/>
    <w:lvl w:ilvl="0">
      <w:lvlJc w:val="left"/>
      <w:lvlText w:val="%1."/>
      <w:numFmt w:val="decimal"/>
      <w:start w:val="14"/>
    </w:lvl>
  </w:abstractNum>
  <w:abstractNum w:abstractNumId="253">
    <w:nsid w:val="46BA8FCA"/>
    <w:multiLevelType w:val="hybridMultilevel"/>
    <w:lvl w:ilvl="0">
      <w:lvlJc w:val="left"/>
      <w:lvlText w:val="%1."/>
      <w:numFmt w:val="decimal"/>
      <w:start w:val="15"/>
    </w:lvl>
  </w:abstractNum>
  <w:abstractNum w:abstractNumId="254">
    <w:nsid w:val="7835626C"/>
    <w:multiLevelType w:val="hybridMultilevel"/>
    <w:lvl w:ilvl="0">
      <w:lvlJc w:val="left"/>
      <w:lvlText w:val="%1."/>
      <w:numFmt w:val="decimal"/>
      <w:start w:val="16"/>
    </w:lvl>
  </w:abstractNum>
  <w:abstractNum w:abstractNumId="255">
    <w:nsid w:val="665ACA49"/>
    <w:multiLevelType w:val="hybridMultilevel"/>
    <w:lvl w:ilvl="0">
      <w:lvlJc w:val="left"/>
      <w:lvlText w:val="%1."/>
      <w:numFmt w:val="decimal"/>
      <w:start w:val="17"/>
    </w:lvl>
  </w:abstractNum>
  <w:abstractNum w:abstractNumId="256">
    <w:nsid w:val="6835B2AE"/>
    <w:multiLevelType w:val="hybridMultilevel"/>
    <w:lvl w:ilvl="0">
      <w:lvlJc w:val="left"/>
      <w:lvlText w:val="%1."/>
      <w:numFmt w:val="decimal"/>
      <w:start w:val="18"/>
    </w:lvl>
  </w:abstractNum>
  <w:abstractNum w:abstractNumId="257">
    <w:nsid w:val="4C187C90"/>
    <w:multiLevelType w:val="hybridMultilevel"/>
    <w:lvl w:ilvl="0">
      <w:lvlJc w:val="left"/>
      <w:lvlText w:val="%1."/>
      <w:numFmt w:val="decimal"/>
      <w:start w:val="19"/>
    </w:lvl>
  </w:abstractNum>
  <w:abstractNum w:abstractNumId="258">
    <w:nsid w:val="541F28CD"/>
    <w:multiLevelType w:val="hybridMultilevel"/>
    <w:lvl w:ilvl="0">
      <w:lvlJc w:val="left"/>
      <w:lvlText w:val="%1."/>
      <w:numFmt w:val="decimal"/>
      <w:start w:val="1"/>
    </w:lvl>
    <w:lvl w:ilvl="1">
      <w:lvlJc w:val="left"/>
      <w:lvlText w:val="%2)"/>
      <w:numFmt w:val="lowerLetter"/>
      <w:start w:val="1"/>
    </w:lvl>
  </w:abstractNum>
  <w:abstractNum w:abstractNumId="259">
    <w:nsid w:val="7F65FD16"/>
    <w:multiLevelType w:val="hybridMultilevel"/>
    <w:lvl w:ilvl="0">
      <w:lvlJc w:val="left"/>
      <w:lvlText w:val="%1."/>
      <w:numFmt w:val="decimal"/>
      <w:start w:val="1"/>
    </w:lvl>
    <w:lvl w:ilvl="1">
      <w:lvlJc w:val="left"/>
      <w:lvlText w:val="%2)"/>
      <w:numFmt w:val="lowerLetter"/>
      <w:start w:val="1"/>
    </w:lvl>
  </w:abstractNum>
  <w:abstractNum w:abstractNumId="260">
    <w:nsid w:val="77C9FD68"/>
    <w:multiLevelType w:val="hybridMultilevel"/>
    <w:lvl w:ilvl="0">
      <w:lvlJc w:val="left"/>
      <w:lvlText w:val="(%1)"/>
      <w:numFmt w:val="decimal"/>
      <w:start w:val="1"/>
    </w:lvl>
  </w:abstractNum>
  <w:abstractNum w:abstractNumId="261">
    <w:nsid w:val="298A92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2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304" Type="http://schemas.openxmlformats.org/officeDocument/2006/relationships/hyperlink" Target="http://www.sec.gov/Archives/edgar/data/1719714/000119312519016112/d680874dex31.htm" TargetMode="External"/><Relationship Id="rId305" Type="http://schemas.openxmlformats.org/officeDocument/2006/relationships/hyperlink" Target="http://www.sec.gov/Archives/edgar/data/1719714/000119312519016112/d680874dex42.htm" TargetMode="External"/><Relationship Id="rId306" Type="http://schemas.openxmlformats.org/officeDocument/2006/relationships/hyperlink" Target="http://www.sec.gov/Archives/edgar/data/1719714/000119312519076867/d680874df4a.htm#rom680874_1001" TargetMode="External"/><Relationship Id="rId307" Type="http://schemas.openxmlformats.org/officeDocument/2006/relationships/hyperlink" Target="http://www.sec.gov/Archives/edgar/data/1719714/000119312518094144/d480882dex1013.htm" TargetMode="External"/><Relationship Id="rId308" Type="http://schemas.openxmlformats.org/officeDocument/2006/relationships/hyperlink" Target="http://www.sec.gov/Archives/edgar/data/1719714/000119312518094144/d480882dex1014.htm" TargetMode="External"/><Relationship Id="rId309" Type="http://schemas.openxmlformats.org/officeDocument/2006/relationships/hyperlink" Target="http://www.sec.gov/Archives/edgar/data/1719714/000119312518094144/d480882dex1015.htm" TargetMode="External"/><Relationship Id="rId310" Type="http://schemas.openxmlformats.org/officeDocument/2006/relationships/hyperlink" Target="http://www.sec.gov/Archives/edgar/data/1719714/000119312518094144/d480882dex1016.htm" TargetMode="External"/><Relationship Id="rId311" Type="http://schemas.openxmlformats.org/officeDocument/2006/relationships/hyperlink" Target="http://www.sec.gov/Archives/edgar/data/1719714/000119312519016112/d680874dex1018.htm" TargetMode="External"/><Relationship Id="rId312" Type="http://schemas.openxmlformats.org/officeDocument/2006/relationships/hyperlink" Target="http://www.sec.gov/Archives/edgar/data/1719714/000119312518094144/d480882dex1017.htm" TargetMode="External"/><Relationship Id="rId313" Type="http://schemas.openxmlformats.org/officeDocument/2006/relationships/hyperlink" Target="http://www.sec.gov/Archives/edgar/data/1719714/000119312519016112/d680874dex1020.htm" TargetMode="External"/><Relationship Id="rId314" Type="http://schemas.openxmlformats.org/officeDocument/2006/relationships/hyperlink" Target="http://www.sec.gov/Archives/edgar/data/1719714/000119312519016112/d680874dex10201.htm" TargetMode="External"/><Relationship Id="rId315" Type="http://schemas.openxmlformats.org/officeDocument/2006/relationships/hyperlink" Target="http://www.sec.gov/Archives/edgar/data/1719714/000119312519016112/d680874dex10202.htm" TargetMode="External"/><Relationship Id="rId316" Type="http://schemas.openxmlformats.org/officeDocument/2006/relationships/hyperlink" Target="http://www.sec.gov/Archives/edgar/data/1719714/000119312519016112/d680874dex10203.htm" TargetMode="External"/><Relationship Id="rId317" Type="http://schemas.openxmlformats.org/officeDocument/2006/relationships/hyperlink" Target="http://www.sec.gov/Archives/edgar/data/1719714/000119312519016112/d680874dex1021.htm" TargetMode="External"/><Relationship Id="rId318" Type="http://schemas.openxmlformats.org/officeDocument/2006/relationships/hyperlink" Target="http://www.sec.gov/Archives/edgar/data/1719714/000119312519016112/d680874dex10211.htm" TargetMode="External"/><Relationship Id="rId319" Type="http://schemas.openxmlformats.org/officeDocument/2006/relationships/hyperlink" Target="http://www.sec.gov/Archives/edgar/data/1719714/000119312519016112/d680874dex10212.htm" TargetMode="External"/><Relationship Id="rId320" Type="http://schemas.openxmlformats.org/officeDocument/2006/relationships/hyperlink" Target="http://www.sec.gov/Archives/edgar/data/1719714/000119312519016112/d680874dex1022.htm" TargetMode="External"/><Relationship Id="rId322" Type="http://schemas.openxmlformats.org/officeDocument/2006/relationships/hyperlink" Target="http://www.sec.gov/Archives/edgar/data/1719714/000119312519016112/d680874dex10221.htm" TargetMode="External"/><Relationship Id="rId323" Type="http://schemas.openxmlformats.org/officeDocument/2006/relationships/hyperlink" Target="http://www.sec.gov/Archives/edgar/data/1719714/000119312519016112/d680874dex10222.htm" TargetMode="External"/><Relationship Id="rId324" Type="http://schemas.openxmlformats.org/officeDocument/2006/relationships/hyperlink" Target="http://www.sec.gov/Archives/edgar/data/1719714/000119312519016112/d680874dex1023.htm" TargetMode="External"/><Relationship Id="rId325" Type="http://schemas.openxmlformats.org/officeDocument/2006/relationships/hyperlink" Target="http://www.sec.gov/Archives/edgar/data/1719714/000119312519016112/d680874dex1024.htm" TargetMode="External"/><Relationship Id="rId326" Type="http://schemas.openxmlformats.org/officeDocument/2006/relationships/hyperlink" Target="http://www.sec.gov/Archives/edgar/data/1719714/000119312519016112/d680874dex1025.htm" TargetMode="External"/><Relationship Id="rId327" Type="http://schemas.openxmlformats.org/officeDocument/2006/relationships/hyperlink" Target="http://www.sec.gov/Archives/edgar/data/1719714/000119312519016112/d680874dex1026.htm" TargetMode="External"/><Relationship Id="rId328" Type="http://schemas.openxmlformats.org/officeDocument/2006/relationships/hyperlink" Target="http://www.sec.gov/Archives/edgar/data/1719714/000119312519016112/d680874dex1027.htm" TargetMode="External"/><Relationship Id="rId329" Type="http://schemas.openxmlformats.org/officeDocument/2006/relationships/hyperlink" Target="http://www.sec.gov/Archives/edgar/data/1719714/000119312519076867/d680874df4a.htm#rom680874_1002" TargetMode="External"/><Relationship Id="rId330" Type="http://schemas.openxmlformats.org/officeDocument/2006/relationships/hyperlink" Target="http://www.sec.gov/Archives/edgar/data/1302573/000119312519075599/d709280dex101.htm" TargetMode="External"/><Relationship Id="rId331" Type="http://schemas.openxmlformats.org/officeDocument/2006/relationships/hyperlink" Target="http://www.sec.gov/Archives/edgar/data/1302573/000119312514104564/d669910d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2019-12-03T03:52:38Z</dcterms:created>
  <dcterms:modified xsi:type="dcterms:W3CDTF">2019-12-03T03:52:38Z</dcterms:modified>
</cp:coreProperties>
</file>