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9, 2025</w:t>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MEREO BIOPHARMA GROUP PLC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720"/>
          </w:cols>
          <w:pgMar w:left="1080" w:top="1321" w:right="1099" w:bottom="1440" w:gutter="0" w:footer="0" w:header="0"/>
        </w:sectPr>
      </w:pPr>
    </w:p>
    <w:p>
      <w:pPr>
        <w:spacing w:after="0" w:line="14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001-38452</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160" w:space="720"/>
            <w:col w:w="2340" w:space="720"/>
            <w:col w:w="2780"/>
          </w:cols>
          <w:pgMar w:left="1080" w:top="1321" w:right="1099" w:bottom="1440" w:gutter="0" w:footer="0" w:header="0"/>
          <w:type w:val="continuous"/>
        </w:sectPr>
      </w:pPr>
    </w:p>
    <w:p>
      <w:pPr>
        <w:ind w:left="1040"/>
        <w:spacing w:after="0"/>
        <w:rPr>
          <w:sz w:val="20"/>
          <w:szCs w:val="20"/>
          <w:color w:val="auto"/>
        </w:rPr>
      </w:pPr>
      <w:r>
        <w:rPr>
          <w:rFonts w:ascii="Times New Roman" w:cs="Times New Roman" w:eastAsia="Times New Roman" w:hAnsi="Times New Roman"/>
          <w:sz w:val="18"/>
          <w:szCs w:val="18"/>
          <w:color w:val="auto"/>
        </w:rPr>
        <w:t>incorporation)</w:t>
      </w:r>
    </w:p>
    <w:p>
      <w:pPr>
        <w:sectPr>
          <w:pgSz w:w="11900" w:h="16838" w:orient="portrait"/>
          <w:cols w:equalWidth="0" w:num="1">
            <w:col w:w="9720"/>
          </w:cols>
          <w:pgMar w:left="1080" w:top="1321" w:right="1099" w:bottom="1440" w:gutter="0" w:footer="0" w:header="0"/>
          <w:type w:val="continuous"/>
        </w:sectPr>
      </w:pP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4th Floor, One Cavendish Place,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W1G 0QF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5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+44-333-023-7300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9"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3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00" w:type="dxa"/>
            <w:vAlign w:val="bottom"/>
          </w:tcPr>
          <w:p>
            <w:pPr>
              <w:spacing w:after="0"/>
              <w:rPr>
                <w:sz w:val="13"/>
                <w:szCs w:val="13"/>
                <w:color w:val="auto"/>
              </w:rPr>
            </w:pPr>
          </w:p>
        </w:tc>
        <w:tc>
          <w:tcPr>
            <w:tcW w:w="28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73"/>
        </w:trPr>
        <w:tc>
          <w:tcPr>
            <w:tcW w:w="3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191"/>
        </w:trPr>
        <w:tc>
          <w:tcPr>
            <w:tcW w:w="370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American Depositary Shares, each representing</w:t>
            </w:r>
          </w:p>
        </w:tc>
        <w:tc>
          <w:tcPr>
            <w:tcW w:w="120" w:type="dxa"/>
            <w:vAlign w:val="bottom"/>
          </w:tcPr>
          <w:p>
            <w:pPr>
              <w:spacing w:after="0"/>
              <w:rPr>
                <w:sz w:val="16"/>
                <w:szCs w:val="16"/>
                <w:color w:val="auto"/>
              </w:rPr>
            </w:pPr>
          </w:p>
        </w:tc>
        <w:tc>
          <w:tcPr>
            <w:tcW w:w="3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MREO</w:t>
            </w:r>
          </w:p>
        </w:tc>
        <w:tc>
          <w:tcPr>
            <w:tcW w:w="100" w:type="dxa"/>
            <w:vAlign w:val="bottom"/>
          </w:tcPr>
          <w:p>
            <w:pPr>
              <w:spacing w:after="0"/>
              <w:rPr>
                <w:sz w:val="16"/>
                <w:szCs w:val="16"/>
                <w:color w:val="auto"/>
              </w:rPr>
            </w:pPr>
          </w:p>
        </w:tc>
        <w:tc>
          <w:tcPr>
            <w:tcW w:w="28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five Ordinary Shares, par value £0.003 per share</w:t>
            </w:r>
          </w:p>
        </w:tc>
        <w:tc>
          <w:tcPr>
            <w:tcW w:w="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£0.003 per share*</w:t>
            </w:r>
          </w:p>
        </w:tc>
        <w:tc>
          <w:tcPr>
            <w:tcW w:w="3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*Not for trading, but only in connection with the listing of the American Depositary Shares on The Nasdaq Stock Market LLC.</w:t>
      </w:r>
    </w:p>
    <w:p>
      <w:pPr>
        <w:spacing w:after="0" w:line="225" w:lineRule="exact"/>
        <w:rPr>
          <w:sz w:val="24"/>
          <w:szCs w:val="24"/>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71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1067435</wp:posOffset>
            </wp:positionV>
            <wp:extent cx="70377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171450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213995</wp:posOffset>
            </wp:positionV>
            <wp:extent cx="617220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34290"/>
                    </a:xfrm>
                    <a:prstGeom prst="rect">
                      <a:avLst/>
                    </a:prstGeom>
                    <a:noFill/>
                  </pic:spPr>
                </pic:pic>
              </a:graphicData>
            </a:graphic>
          </wp:anchor>
        </w:drawing>
      </w:r>
    </w:p>
    <w:p>
      <w:pPr>
        <w:sectPr>
          <w:pgSz w:w="11900" w:h="16838" w:orient="portrait"/>
          <w:cols w:equalWidth="0" w:num="1">
            <w:col w:w="9720"/>
          </w:cols>
          <w:pgMar w:left="1080" w:top="1321" w:right="1099" w:bottom="1440" w:gutter="0" w:footer="0" w:header="0"/>
          <w:type w:val="continuous"/>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8.01</w:t>
      </w:r>
      <w:r>
        <w:rPr>
          <w:sz w:val="20"/>
          <w:szCs w:val="20"/>
          <w:color w:val="auto"/>
        </w:rPr>
        <w:tab/>
      </w:r>
      <w:r>
        <w:rPr>
          <w:rFonts w:ascii="Times New Roman" w:cs="Times New Roman" w:eastAsia="Times New Roman" w:hAnsi="Times New Roman"/>
          <w:sz w:val="19"/>
          <w:szCs w:val="19"/>
          <w:b w:val="1"/>
          <w:bCs w:val="1"/>
          <w:color w:val="auto"/>
        </w:rPr>
        <w:t>Other Events.</w:t>
      </w:r>
    </w:p>
    <w:p>
      <w:pPr>
        <w:spacing w:after="0" w:line="220" w:lineRule="exact"/>
        <w:rPr>
          <w:sz w:val="20"/>
          <w:szCs w:val="20"/>
          <w:color w:val="auto"/>
        </w:rPr>
      </w:pPr>
    </w:p>
    <w:p>
      <w:pPr>
        <w:ind w:right="100" w:firstLine="648"/>
        <w:spacing w:after="0" w:line="249" w:lineRule="auto"/>
        <w:rPr>
          <w:sz w:val="20"/>
          <w:szCs w:val="20"/>
          <w:color w:val="auto"/>
        </w:rPr>
      </w:pPr>
      <w:r>
        <w:rPr>
          <w:rFonts w:ascii="Times New Roman" w:cs="Times New Roman" w:eastAsia="Times New Roman" w:hAnsi="Times New Roman"/>
          <w:sz w:val="20"/>
          <w:szCs w:val="20"/>
          <w:color w:val="auto"/>
        </w:rPr>
        <w:t>On July 9, 2025, Mereo BioPharma Group plc (“Mereo” or the “Company”) and Ultragenyx Pharmaceutical Inc. (“Ultragenyx”) announced that the randomized, placebo-controlled Phase 3 portion of the Orbit study evaluating UX143 (setrusumab) in pediatric and young adult patients with osteogenesis imperfecta is progressing toward a final analysis consistent with the original plan, expected around the end of the year.</w:t>
      </w:r>
    </w:p>
    <w:p>
      <w:pPr>
        <w:spacing w:after="0" w:line="193" w:lineRule="exact"/>
        <w:rPr>
          <w:sz w:val="20"/>
          <w:szCs w:val="20"/>
          <w:color w:val="auto"/>
        </w:rPr>
      </w:pPr>
    </w:p>
    <w:p>
      <w:pPr>
        <w:ind w:right="300" w:firstLine="648"/>
        <w:spacing w:after="0" w:line="269" w:lineRule="auto"/>
        <w:rPr>
          <w:sz w:val="20"/>
          <w:szCs w:val="20"/>
          <w:color w:val="auto"/>
        </w:rPr>
      </w:pPr>
      <w:r>
        <w:rPr>
          <w:rFonts w:ascii="Times New Roman" w:cs="Times New Roman" w:eastAsia="Times New Roman" w:hAnsi="Times New Roman"/>
          <w:sz w:val="20"/>
          <w:szCs w:val="20"/>
          <w:color w:val="auto"/>
        </w:rPr>
        <w:t>The Data Monitoring Committee met and informed Ultragenyx that UX143 demonstrates an acceptable safety profile and Ultragenyx and the Company should continue the study to the final analysis.</w:t>
      </w:r>
    </w:p>
    <w:p>
      <w:pPr>
        <w:spacing w:after="0" w:line="173"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Consistent with the statistical analysis plan, data from the UX143 Cosmic study were not analyzed at this interim timepoint. Study conduct is going well and safety in this younger patient population is consistent with the safety profile in the other studies.</w:t>
      </w:r>
    </w:p>
    <w:p>
      <w:pPr>
        <w:spacing w:after="0" w:line="18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20"/>
          <w:szCs w:val="20"/>
          <w:color w:val="auto"/>
        </w:rPr>
        <w:t>Patients will continue dosing in the ongoing Phase 3 Orbit and Cosmic clinical studies with the final analyses to be conducted after patients have been on therapy for at least 18 months. The threshold for the Phase 3 Orbit final analysis is p&lt;0.04 and for the Phase 3 Cosmic final analysis is p&lt;0.05.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Current Report on Form 8-K contains “forward-looking statements.” All statements other than statements of historical fact contained herein are forward-looking statements within the meaning of Section 27A of the Securities Act, and Section 21E of the Exchange Act. Forward-looking statements usually relate to future events and anticipated revenues, earnings, cash flows or other aspects of the Company’s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Mereo’s current expectations, beliefs and assumptions concerning future developments and business conditions and their potential effect on Mereo. While management believes that these forward-looking statements are reasonable as and when made, there can be no assurance that future developments affecting Mereo will be those that it anticipates. All of Mereo’s forward-looking statements involve known and unknown risks and uncertainties some of which are significant or beyond its control and assumptions that could cause actual results to differ materially from Mereo’s historical experience and its present expectations or projections. Such risks and uncertainties include, among others, the uncertainties inherent in the clinical development process; Mereo’s reliance on third parties to conduct and provide funding for its clinical trials; Mereo’s dependence on enrollment of patients in its clinical trials; and Mereo’s dependence on its key executives. You should carefully consider the foregoing factors and the other risks and uncertainties that affect Mereo’s business, including those described in the “Risk Factors” section of its latest Annual Report on Form 10-K, as well as discussions of potential risks, uncertainties, and other important factors in Mereo’s subsequent filings with the Securities and Exchange Commission. Mereo wishes to caution you not to place undue reliance on any forward-looking statements, which speak only as of the date hereof. Mereo undertakes no obligation to publicly update or revise any of our forward-looking statements after the date they are made, whether as a result of new information, future events or otherwise,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1255395</wp:posOffset>
            </wp:positionV>
            <wp:extent cx="703770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1314" w:right="11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left="660" w:right="840"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the registrant has duly caused this report to be signed on its behalf by the undersigned, hereunto duly authorized.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920" w:type="dxa"/>
            <w:vAlign w:val="bottom"/>
          </w:tcPr>
          <w:p>
            <w:pPr>
              <w:spacing w:after="0"/>
              <w:rPr>
                <w:sz w:val="22"/>
                <w:szCs w:val="22"/>
                <w:color w:val="auto"/>
              </w:rPr>
            </w:pPr>
          </w:p>
        </w:tc>
        <w:tc>
          <w:tcPr>
            <w:tcW w:w="7120" w:type="dxa"/>
            <w:vAlign w:val="bottom"/>
            <w:gridSpan w:val="4"/>
          </w:tcPr>
          <w:p>
            <w:pPr>
              <w:ind w:left="1700"/>
              <w:spacing w:after="0"/>
              <w:rPr>
                <w:sz w:val="20"/>
                <w:szCs w:val="20"/>
                <w:color w:val="auto"/>
              </w:rPr>
            </w:pPr>
            <w:r>
              <w:rPr>
                <w:rFonts w:ascii="Times New Roman" w:cs="Times New Roman" w:eastAsia="Times New Roman" w:hAnsi="Times New Roman"/>
                <w:sz w:val="20"/>
                <w:szCs w:val="20"/>
                <w:color w:val="auto"/>
              </w:rPr>
              <w:t>MEREO BIOPHARMA GROUP PLC</w:t>
            </w:r>
          </w:p>
        </w:tc>
      </w:tr>
      <w:tr>
        <w:trPr>
          <w:trHeight w:val="453"/>
        </w:trPr>
        <w:tc>
          <w:tcPr>
            <w:tcW w:w="39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Date: July 10, 2025</w:t>
            </w:r>
          </w:p>
        </w:tc>
        <w:tc>
          <w:tcPr>
            <w:tcW w:w="7120" w:type="dxa"/>
            <w:vAlign w:val="bottom"/>
            <w:gridSpan w:val="4"/>
          </w:tcPr>
          <w:p>
            <w:pPr>
              <w:ind w:left="1700"/>
              <w:spacing w:after="0"/>
              <w:rPr>
                <w:sz w:val="20"/>
                <w:szCs w:val="20"/>
                <w:color w:val="auto"/>
              </w:rPr>
            </w:pPr>
            <w:r>
              <w:rPr>
                <w:rFonts w:ascii="Times New Roman" w:cs="Times New Roman" w:eastAsia="Times New Roman" w:hAnsi="Times New Roman"/>
                <w:sz w:val="20"/>
                <w:szCs w:val="20"/>
                <w:color w:val="auto"/>
              </w:rPr>
              <w:t>By: /s/ Christine Fox</w:t>
            </w:r>
          </w:p>
        </w:tc>
      </w:tr>
      <w:tr>
        <w:trPr>
          <w:trHeight w:val="200"/>
        </w:trPr>
        <w:tc>
          <w:tcPr>
            <w:tcW w:w="39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3560" w:type="dxa"/>
            <w:vAlign w:val="bottom"/>
            <w:tcBorders>
              <w:top w:val="single" w:sz="8" w:color="auto"/>
            </w:tcBorders>
          </w:tcPr>
          <w:p>
            <w:pPr>
              <w:ind w:left="280"/>
              <w:spacing w:after="0" w:line="200" w:lineRule="exact"/>
              <w:rPr>
                <w:sz w:val="20"/>
                <w:szCs w:val="20"/>
                <w:color w:val="auto"/>
              </w:rPr>
            </w:pPr>
            <w:r>
              <w:rPr>
                <w:rFonts w:ascii="Times New Roman" w:cs="Times New Roman" w:eastAsia="Times New Roman" w:hAnsi="Times New Roman"/>
                <w:sz w:val="20"/>
                <w:szCs w:val="20"/>
                <w:color w:val="auto"/>
              </w:rPr>
              <w:t>Christine Fox</w:t>
            </w:r>
          </w:p>
        </w:tc>
        <w:tc>
          <w:tcPr>
            <w:tcW w:w="660" w:type="dxa"/>
            <w:vAlign w:val="bottom"/>
          </w:tcPr>
          <w:p>
            <w:pPr>
              <w:spacing w:after="0"/>
              <w:rPr>
                <w:sz w:val="17"/>
                <w:szCs w:val="17"/>
                <w:color w:val="auto"/>
              </w:rPr>
            </w:pPr>
          </w:p>
        </w:tc>
      </w:tr>
      <w:tr>
        <w:trPr>
          <w:trHeight w:val="258"/>
        </w:trPr>
        <w:tc>
          <w:tcPr>
            <w:tcW w:w="39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22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1297"/>
        </w:trPr>
        <w:tc>
          <w:tcPr>
            <w:tcW w:w="39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305" w:right="4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2025-07-10T05:51:19Z</dcterms:created>
  <dcterms:modified xsi:type="dcterms:W3CDTF">2025-07-10T05:51:19Z</dcterms:modified>
</cp:coreProperties>
</file>