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Mereo BioPharma Group plc pursuant to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Rule 425 under the Securities Act of 1933, as amended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Subject Company: OncoMed Pharmaceuticals, Inc.</w:t>
      </w:r>
    </w:p>
    <w:p>
      <w:pPr>
        <w:jc w:val="right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February 15, 2019.</w:t>
      </w:r>
    </w:p>
    <w:p>
      <w:pPr>
        <w:ind w:left="6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-816610</wp:posOffset>
            </wp:positionH>
            <wp:positionV relativeFrom="paragraph">
              <wp:posOffset>276225</wp:posOffset>
            </wp:positionV>
            <wp:extent cx="7408545" cy="4182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300"/>
          </w:cols>
          <w:pgMar w:left="1440" w:top="143" w:right="15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97155</wp:posOffset>
            </wp:positionH>
            <wp:positionV relativeFrom="page">
              <wp:posOffset>231140</wp:posOffset>
            </wp:positionV>
            <wp:extent cx="7408545" cy="418274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418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2019-11-25T16:45:07Z</dcterms:created>
  <dcterms:modified xsi:type="dcterms:W3CDTF">2019-11-25T16:45:07Z</dcterms:modified>
</cp:coreProperties>
</file>