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4360"/>
        <w:spacing w:after="0" w:line="243" w:lineRule="auto"/>
        <w:rPr>
          <w:sz w:val="20"/>
          <w:szCs w:val="20"/>
          <w:color w:val="auto"/>
        </w:rPr>
      </w:pPr>
      <w:r>
        <w:rPr>
          <w:rFonts w:ascii="Arial" w:cs="Arial" w:eastAsia="Arial" w:hAnsi="Arial"/>
          <w:sz w:val="22"/>
          <w:szCs w:val="22"/>
          <w:b w:val="1"/>
          <w:bCs w:val="1"/>
          <w:color w:val="auto"/>
        </w:rPr>
        <w:t>240.13d-102 Schedule 13G - Information to be included in statements filed pursuant to 240.13d-1(b), (c), and (d) and amendments thereto filed pursuant to 240.13d-2.</w:t>
      </w:r>
    </w:p>
    <w:p>
      <w:pPr>
        <w:spacing w:after="0" w:line="142" w:lineRule="exact"/>
        <w:rPr>
          <w:sz w:val="24"/>
          <w:szCs w:val="24"/>
          <w:color w:val="auto"/>
        </w:rPr>
      </w:pPr>
    </w:p>
    <w:p>
      <w:pPr>
        <w:spacing w:after="0"/>
        <w:rPr>
          <w:sz w:val="20"/>
          <w:szCs w:val="20"/>
          <w:color w:val="auto"/>
        </w:rPr>
      </w:pPr>
      <w:r>
        <w:rPr>
          <w:rFonts w:ascii="Arial" w:cs="Arial" w:eastAsia="Arial" w:hAnsi="Arial"/>
          <w:sz w:val="22"/>
          <w:szCs w:val="22"/>
          <w:color w:val="auto"/>
        </w:rPr>
        <w:t>Securities and Exchange Commission, Washington, D.C. 20549</w:t>
      </w:r>
    </w:p>
    <w:p>
      <w:pPr>
        <w:spacing w:after="0" w:line="179" w:lineRule="exact"/>
        <w:rPr>
          <w:sz w:val="24"/>
          <w:szCs w:val="24"/>
          <w:color w:val="auto"/>
        </w:rPr>
      </w:pPr>
    </w:p>
    <w:p>
      <w:pPr>
        <w:spacing w:after="0"/>
        <w:rPr>
          <w:sz w:val="20"/>
          <w:szCs w:val="20"/>
          <w:color w:val="auto"/>
        </w:rPr>
      </w:pPr>
      <w:r>
        <w:rPr>
          <w:rFonts w:ascii="Arial" w:cs="Arial" w:eastAsia="Arial" w:hAnsi="Arial"/>
          <w:sz w:val="22"/>
          <w:szCs w:val="22"/>
          <w:color w:val="auto"/>
        </w:rPr>
        <w:t>Schedule 13G</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(Amendment No. 1)*</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Mereo BioPharma Group plc</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Ordinary shares, nominal value £0.003 per ordinary share¹</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589492107²</w:t>
      </w:r>
    </w:p>
    <w:p>
      <w:pPr>
        <w:spacing w:after="0" w:line="166" w:lineRule="exact"/>
        <w:rPr>
          <w:sz w:val="24"/>
          <w:szCs w:val="24"/>
          <w:color w:val="auto"/>
        </w:rPr>
      </w:pPr>
    </w:p>
    <w:p>
      <w:pPr>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December 31, 2021</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Schedule is filed:</w:t>
      </w:r>
    </w:p>
    <w:p>
      <w:pPr>
        <w:spacing w:after="0" w:line="148" w:lineRule="exact"/>
        <w:rPr>
          <w:sz w:val="24"/>
          <w:szCs w:val="24"/>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Rule 13d-1(b)</w:t>
      </w:r>
    </w:p>
    <w:p>
      <w:pPr>
        <w:spacing w:after="0" w:line="179" w:lineRule="exact"/>
        <w:rPr>
          <w:rFonts w:ascii="Arial" w:cs="Arial" w:eastAsia="Arial" w:hAnsi="Arial"/>
          <w:sz w:val="22"/>
          <w:szCs w:val="22"/>
          <w:color w:val="auto"/>
        </w:rPr>
      </w:pPr>
    </w:p>
    <w:p>
      <w:pPr>
        <w:ind w:left="140" w:hanging="132"/>
        <w:spacing w:after="0"/>
        <w:tabs>
          <w:tab w:leader="none" w:pos="140" w:val="left"/>
        </w:tabs>
        <w:numPr>
          <w:ilvl w:val="0"/>
          <w:numId w:val="1"/>
        </w:numPr>
        <w:rPr>
          <w:rFonts w:ascii="Arial" w:cs="Arial" w:eastAsia="Arial" w:hAnsi="Arial"/>
          <w:sz w:val="22"/>
          <w:szCs w:val="22"/>
          <w:color w:val="auto"/>
        </w:rPr>
      </w:pPr>
      <w:r>
        <w:rPr>
          <w:rFonts w:ascii="Arial" w:cs="Arial" w:eastAsia="Arial" w:hAnsi="Arial"/>
          <w:sz w:val="22"/>
          <w:szCs w:val="22"/>
          <w:color w:val="auto"/>
        </w:rPr>
        <w:t>x ] Rule 13d-1(c)</w:t>
      </w:r>
    </w:p>
    <w:p>
      <w:pPr>
        <w:spacing w:after="0" w:line="165"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Rule 13d-1(d)</w:t>
      </w:r>
    </w:p>
    <w:p>
      <w:pPr>
        <w:spacing w:after="0" w:line="166" w:lineRule="exact"/>
        <w:rPr>
          <w:sz w:val="24"/>
          <w:szCs w:val="24"/>
          <w:color w:val="auto"/>
        </w:rPr>
      </w:pPr>
    </w:p>
    <w:p>
      <w:pPr>
        <w:ind w:right="12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56" w:lineRule="exact"/>
        <w:rPr>
          <w:sz w:val="24"/>
          <w:szCs w:val="24"/>
          <w:color w:val="auto"/>
        </w:rPr>
      </w:pPr>
    </w:p>
    <w:p>
      <w:pPr>
        <w:ind w:right="500" w:firstLine="8"/>
        <w:spacing w:after="0" w:line="239" w:lineRule="auto"/>
        <w:tabs>
          <w:tab w:leader="none" w:pos="216"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holdings reported herein are held in the form of American Depositary Shares (“ADS”), which each represent five (5) ordinary shares, nominal value £0.003 per ordinary share of the Issuer (“Ordinary Shares”).</w:t>
      </w:r>
    </w:p>
    <w:p>
      <w:pPr>
        <w:spacing w:after="0"/>
        <w:rPr>
          <w:rFonts w:ascii="Arial" w:cs="Arial" w:eastAsia="Arial" w:hAnsi="Arial"/>
          <w:sz w:val="22"/>
          <w:szCs w:val="22"/>
          <w:color w:val="auto"/>
        </w:rPr>
      </w:pPr>
      <w:r>
        <w:rPr>
          <w:rFonts w:ascii="Arial" w:cs="Arial" w:eastAsia="Arial" w:hAnsi="Arial"/>
          <w:sz w:val="14"/>
          <w:szCs w:val="14"/>
          <w:color w:val="auto"/>
        </w:rPr>
        <w:t xml:space="preserve">2  </w:t>
      </w:r>
      <w:r>
        <w:rPr>
          <w:rFonts w:ascii="Arial" w:cs="Arial" w:eastAsia="Arial" w:hAnsi="Arial"/>
          <w:sz w:val="21"/>
          <w:szCs w:val="21"/>
          <w:color w:val="auto"/>
        </w:rPr>
        <w:t>The CUSIP Number listed throughout this filing is the CUSIP assigned to the ADS of the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0" w:right="3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3669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t>CUSIP No. 589492107</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60" w:type="dxa"/>
            <w:vAlign w:val="bottom"/>
          </w:tcPr>
          <w:p>
            <w:pPr>
              <w:ind w:left="80"/>
              <w:spacing w:after="0"/>
              <w:rPr>
                <w:sz w:val="20"/>
                <w:szCs w:val="20"/>
                <w:color w:val="auto"/>
              </w:rPr>
            </w:pPr>
            <w:r>
              <w:rPr>
                <w:rFonts w:ascii="Arial" w:cs="Arial" w:eastAsia="Arial" w:hAnsi="Arial"/>
                <w:sz w:val="22"/>
                <w:szCs w:val="22"/>
                <w:color w:val="auto"/>
                <w:w w:val="96"/>
              </w:rPr>
              <w:t>(1)</w:t>
            </w:r>
          </w:p>
        </w:tc>
        <w:tc>
          <w:tcPr>
            <w:tcW w:w="2500" w:type="dxa"/>
            <w:vAlign w:val="bottom"/>
          </w:tcPr>
          <w:p>
            <w:pPr>
              <w:ind w:left="20"/>
              <w:spacing w:after="0"/>
              <w:rPr>
                <w:sz w:val="20"/>
                <w:szCs w:val="20"/>
                <w:color w:val="auto"/>
              </w:rPr>
            </w:pPr>
            <w:r>
              <w:rPr>
                <w:rFonts w:ascii="Arial" w:cs="Arial" w:eastAsia="Arial" w:hAnsi="Arial"/>
                <w:sz w:val="22"/>
                <w:szCs w:val="22"/>
                <w:color w:val="auto"/>
                <w:w w:val="90"/>
              </w:rPr>
              <w:t>Names of reporting persons</w:t>
            </w:r>
          </w:p>
        </w:tc>
        <w:tc>
          <w:tcPr>
            <w:tcW w:w="5520" w:type="dxa"/>
            <w:vAlign w:val="bottom"/>
          </w:tcPr>
          <w:p>
            <w:pPr>
              <w:ind w:left="140"/>
              <w:spacing w:after="0"/>
              <w:rPr>
                <w:sz w:val="20"/>
                <w:szCs w:val="20"/>
                <w:color w:val="auto"/>
              </w:rPr>
            </w:pPr>
            <w:r>
              <w:rPr>
                <w:rFonts w:ascii="Arial" w:cs="Arial" w:eastAsia="Arial" w:hAnsi="Arial"/>
                <w:sz w:val="22"/>
                <w:szCs w:val="22"/>
                <w:color w:val="auto"/>
              </w:rPr>
              <w:t>Point72 Asset Management, L.P.</w:t>
            </w:r>
          </w:p>
        </w:tc>
        <w:tc>
          <w:tcPr>
            <w:tcW w:w="2860" w:type="dxa"/>
            <w:vAlign w:val="bottom"/>
          </w:tcPr>
          <w:p>
            <w:pPr>
              <w:spacing w:after="0"/>
              <w:rPr>
                <w:sz w:val="23"/>
                <w:szCs w:val="23"/>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(2)</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Check the appropriate box if a member of a group</w:t>
            </w:r>
          </w:p>
        </w:tc>
        <w:tc>
          <w:tcPr>
            <w:tcW w:w="2860" w:type="dxa"/>
            <w:vAlign w:val="bottom"/>
          </w:tcPr>
          <w:p>
            <w:pPr>
              <w:ind w:left="2220"/>
              <w:spacing w:after="0"/>
              <w:rPr>
                <w:sz w:val="20"/>
                <w:szCs w:val="20"/>
                <w:color w:val="auto"/>
              </w:rPr>
            </w:pPr>
            <w:r>
              <w:rPr>
                <w:rFonts w:ascii="Arial" w:cs="Arial" w:eastAsia="Arial" w:hAnsi="Arial"/>
                <w:sz w:val="22"/>
                <w:szCs w:val="22"/>
                <w:color w:val="auto"/>
              </w:rPr>
              <w:t>(a)</w:t>
            </w: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520" w:type="dxa"/>
            <w:vAlign w:val="bottom"/>
          </w:tcPr>
          <w:p>
            <w:pPr>
              <w:ind w:left="380"/>
              <w:spacing w:after="0"/>
              <w:rPr>
                <w:sz w:val="20"/>
                <w:szCs w:val="20"/>
                <w:color w:val="auto"/>
              </w:rPr>
            </w:pPr>
            <w:r>
              <w:rPr>
                <w:rFonts w:ascii="Arial" w:cs="Arial" w:eastAsia="Arial" w:hAnsi="Arial"/>
                <w:sz w:val="22"/>
                <w:szCs w:val="22"/>
                <w:color w:val="auto"/>
              </w:rPr>
              <w:t>(see instructions)</w:t>
            </w:r>
          </w:p>
        </w:tc>
        <w:tc>
          <w:tcPr>
            <w:tcW w:w="2860" w:type="dxa"/>
            <w:vAlign w:val="bottom"/>
          </w:tcPr>
          <w:p>
            <w:pPr>
              <w:ind w:left="2220"/>
              <w:spacing w:after="0"/>
              <w:rPr>
                <w:sz w:val="20"/>
                <w:szCs w:val="20"/>
                <w:color w:val="auto"/>
              </w:rPr>
            </w:pPr>
            <w:r>
              <w:rPr>
                <w:rFonts w:ascii="Arial" w:cs="Arial" w:eastAsia="Arial" w:hAnsi="Arial"/>
                <w:sz w:val="22"/>
                <w:szCs w:val="22"/>
                <w:color w:val="auto"/>
              </w:rPr>
              <w:t>(b)X</w:t>
            </w: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(3)</w:t>
            </w:r>
          </w:p>
        </w:tc>
        <w:tc>
          <w:tcPr>
            <w:tcW w:w="2500" w:type="dxa"/>
            <w:vAlign w:val="bottom"/>
          </w:tcPr>
          <w:p>
            <w:pPr>
              <w:ind w:left="20"/>
              <w:spacing w:after="0"/>
              <w:rPr>
                <w:sz w:val="20"/>
                <w:szCs w:val="20"/>
                <w:color w:val="auto"/>
              </w:rPr>
            </w:pPr>
            <w:r>
              <w:rPr>
                <w:rFonts w:ascii="Arial" w:cs="Arial" w:eastAsia="Arial" w:hAnsi="Arial"/>
                <w:sz w:val="22"/>
                <w:szCs w:val="22"/>
                <w:color w:val="auto"/>
              </w:rPr>
              <w:t>SEC use only</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(4)</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Citizenship or place of organization Delaware</w:t>
            </w:r>
          </w:p>
        </w:tc>
        <w:tc>
          <w:tcPr>
            <w:tcW w:w="2860" w:type="dxa"/>
            <w:vAlign w:val="bottom"/>
          </w:tcPr>
          <w:p>
            <w:pPr>
              <w:spacing w:after="0"/>
              <w:rPr>
                <w:sz w:val="24"/>
                <w:szCs w:val="24"/>
                <w:color w:val="auto"/>
              </w:rPr>
            </w:pPr>
          </w:p>
        </w:tc>
      </w:tr>
      <w:tr>
        <w:trPr>
          <w:trHeight w:val="37"/>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Number of shares beneficially owned by each reporting person with:</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(5)</w:t>
            </w:r>
          </w:p>
        </w:tc>
        <w:tc>
          <w:tcPr>
            <w:tcW w:w="250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5520" w:type="dxa"/>
            <w:vAlign w:val="bottom"/>
          </w:tcPr>
          <w:p>
            <w:pPr>
              <w:ind w:left="8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(6)</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voting power</w:t>
            </w:r>
          </w:p>
        </w:tc>
        <w:tc>
          <w:tcPr>
            <w:tcW w:w="5520" w:type="dxa"/>
            <w:vAlign w:val="bottom"/>
          </w:tcPr>
          <w:p>
            <w:pPr>
              <w:ind w:left="80"/>
              <w:spacing w:after="0"/>
              <w:rPr>
                <w:sz w:val="20"/>
                <w:szCs w:val="20"/>
                <w:color w:val="auto"/>
              </w:rPr>
            </w:pPr>
            <w:r>
              <w:rPr>
                <w:rFonts w:ascii="Arial" w:cs="Arial" w:eastAsia="Arial" w:hAnsi="Arial"/>
                <w:sz w:val="22"/>
                <w:szCs w:val="22"/>
                <w:color w:val="auto"/>
              </w:rPr>
              <w:t>10,610,000* (see Item 4)</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(7)</w:t>
            </w:r>
          </w:p>
        </w:tc>
        <w:tc>
          <w:tcPr>
            <w:tcW w:w="2500" w:type="dxa"/>
            <w:vAlign w:val="bottom"/>
          </w:tcPr>
          <w:p>
            <w:pPr>
              <w:ind w:left="20"/>
              <w:spacing w:after="0"/>
              <w:rPr>
                <w:sz w:val="20"/>
                <w:szCs w:val="20"/>
                <w:color w:val="auto"/>
              </w:rPr>
            </w:pPr>
            <w:r>
              <w:rPr>
                <w:rFonts w:ascii="Arial" w:cs="Arial" w:eastAsia="Arial" w:hAnsi="Arial"/>
                <w:sz w:val="22"/>
                <w:szCs w:val="22"/>
                <w:color w:val="auto"/>
              </w:rPr>
              <w:t>Sole dispositive power</w:t>
            </w:r>
          </w:p>
        </w:tc>
        <w:tc>
          <w:tcPr>
            <w:tcW w:w="5520" w:type="dxa"/>
            <w:vAlign w:val="bottom"/>
          </w:tcPr>
          <w:p>
            <w:pPr>
              <w:ind w:left="8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(8)</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dispositive power</w:t>
            </w:r>
          </w:p>
        </w:tc>
        <w:tc>
          <w:tcPr>
            <w:tcW w:w="5520" w:type="dxa"/>
            <w:vAlign w:val="bottom"/>
          </w:tcPr>
          <w:p>
            <w:pPr>
              <w:ind w:left="80"/>
              <w:spacing w:after="0"/>
              <w:rPr>
                <w:sz w:val="20"/>
                <w:szCs w:val="20"/>
                <w:color w:val="auto"/>
              </w:rPr>
            </w:pPr>
            <w:r>
              <w:rPr>
                <w:rFonts w:ascii="Arial" w:cs="Arial" w:eastAsia="Arial" w:hAnsi="Arial"/>
                <w:sz w:val="22"/>
                <w:szCs w:val="22"/>
                <w:color w:val="auto"/>
              </w:rPr>
              <w:t>10,610,000* (see Item 4)</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360" w:type="dxa"/>
            <w:vAlign w:val="bottom"/>
          </w:tcPr>
          <w:p>
            <w:pPr>
              <w:ind w:left="80"/>
              <w:spacing w:after="0"/>
              <w:rPr>
                <w:sz w:val="20"/>
                <w:szCs w:val="20"/>
                <w:color w:val="auto"/>
              </w:rPr>
            </w:pPr>
            <w:r>
              <w:rPr>
                <w:rFonts w:ascii="Arial" w:cs="Arial" w:eastAsia="Arial" w:hAnsi="Arial"/>
                <w:sz w:val="22"/>
                <w:szCs w:val="22"/>
                <w:color w:val="auto"/>
                <w:w w:val="96"/>
              </w:rPr>
              <w:t>(9)</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Aggregate amount beneficially owned by each reporting person</w:t>
            </w:r>
          </w:p>
        </w:tc>
        <w:tc>
          <w:tcPr>
            <w:tcW w:w="2860" w:type="dxa"/>
            <w:vAlign w:val="bottom"/>
          </w:tcPr>
          <w:p>
            <w:pPr>
              <w:spacing w:after="0"/>
              <w:rPr>
                <w:sz w:val="22"/>
                <w:szCs w:val="22"/>
                <w:color w:val="auto"/>
              </w:rPr>
            </w:pPr>
          </w:p>
        </w:tc>
      </w:tr>
      <w:tr>
        <w:trPr>
          <w:trHeight w:val="274"/>
        </w:trPr>
        <w:tc>
          <w:tcPr>
            <w:tcW w:w="360" w:type="dxa"/>
            <w:vAlign w:val="bottom"/>
          </w:tcPr>
          <w:p>
            <w:pPr>
              <w:spacing w:after="0"/>
              <w:rPr>
                <w:sz w:val="23"/>
                <w:szCs w:val="23"/>
                <w:color w:val="auto"/>
              </w:rPr>
            </w:pPr>
          </w:p>
        </w:tc>
        <w:tc>
          <w:tcPr>
            <w:tcW w:w="2500" w:type="dxa"/>
            <w:vAlign w:val="bottom"/>
          </w:tcPr>
          <w:p>
            <w:pPr>
              <w:ind w:left="100"/>
              <w:spacing w:after="0"/>
              <w:rPr>
                <w:sz w:val="20"/>
                <w:szCs w:val="20"/>
                <w:color w:val="auto"/>
              </w:rPr>
            </w:pPr>
            <w:r>
              <w:rPr>
                <w:rFonts w:ascii="Arial" w:cs="Arial" w:eastAsia="Arial" w:hAnsi="Arial"/>
                <w:sz w:val="22"/>
                <w:szCs w:val="22"/>
                <w:color w:val="auto"/>
                <w:w w:val="98"/>
              </w:rPr>
              <w:t>10,610,000* (see Item 4)</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r>
        <w:trPr>
          <w:trHeight w:val="38"/>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(10) Check if the aggregate amount in Row (9) excludes certain shares</w:t>
            </w:r>
          </w:p>
        </w:tc>
        <w:tc>
          <w:tcPr>
            <w:tcW w:w="2860" w:type="dxa"/>
            <w:vAlign w:val="bottom"/>
          </w:tcPr>
          <w:p>
            <w:pPr>
              <w:spacing w:after="0"/>
              <w:rPr>
                <w:sz w:val="22"/>
                <w:szCs w:val="22"/>
                <w:color w:val="auto"/>
              </w:rPr>
            </w:pPr>
          </w:p>
        </w:tc>
      </w:tr>
      <w:tr>
        <w:trPr>
          <w:trHeight w:val="274"/>
        </w:trPr>
        <w:tc>
          <w:tcPr>
            <w:tcW w:w="2860" w:type="dxa"/>
            <w:vAlign w:val="bottom"/>
            <w:gridSpan w:val="2"/>
          </w:tcPr>
          <w:p>
            <w:pPr>
              <w:ind w:left="80"/>
              <w:spacing w:after="0"/>
              <w:rPr>
                <w:sz w:val="20"/>
                <w:szCs w:val="20"/>
                <w:color w:val="auto"/>
              </w:rPr>
            </w:pPr>
            <w:r>
              <w:rPr>
                <w:rFonts w:ascii="Arial" w:cs="Arial" w:eastAsia="Arial" w:hAnsi="Arial"/>
                <w:sz w:val="22"/>
                <w:szCs w:val="22"/>
                <w:color w:val="auto"/>
              </w:rPr>
              <w:t>(see instructions)</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bl>
    <w:p>
      <w:pPr>
        <w:spacing w:after="0" w:line="77" w:lineRule="exact"/>
        <w:rPr>
          <w:sz w:val="20"/>
          <w:szCs w:val="20"/>
          <w:color w:val="auto"/>
        </w:rPr>
      </w:pPr>
    </w:p>
    <w:p>
      <w:pPr>
        <w:ind w:left="480" w:hanging="405"/>
        <w:spacing w:after="0"/>
        <w:tabs>
          <w:tab w:leader="none" w:pos="480" w:val="left"/>
        </w:tabs>
        <w:numPr>
          <w:ilvl w:val="0"/>
          <w:numId w:val="3"/>
        </w:numPr>
        <w:rPr>
          <w:rFonts w:ascii="Arial" w:cs="Arial" w:eastAsia="Arial" w:hAnsi="Arial"/>
          <w:sz w:val="22"/>
          <w:szCs w:val="22"/>
          <w:color w:val="auto"/>
        </w:rPr>
      </w:pPr>
      <w:r>
        <w:rPr>
          <w:rFonts w:ascii="Arial" w:cs="Arial" w:eastAsia="Arial" w:hAnsi="Arial"/>
          <w:sz w:val="22"/>
          <w:szCs w:val="22"/>
          <w:color w:val="auto"/>
        </w:rPr>
        <w:t>Percent of class represented by amount in Row (9) 9.1% (a) (see Item 4)</w:t>
      </w:r>
    </w:p>
    <w:p>
      <w:pPr>
        <w:spacing w:after="0" w:line="98" w:lineRule="exact"/>
        <w:rPr>
          <w:rFonts w:ascii="Arial" w:cs="Arial" w:eastAsia="Arial" w:hAnsi="Arial"/>
          <w:sz w:val="22"/>
          <w:szCs w:val="22"/>
          <w:color w:val="auto"/>
        </w:rPr>
      </w:pPr>
    </w:p>
    <w:p>
      <w:pPr>
        <w:ind w:left="480" w:hanging="405"/>
        <w:spacing w:after="0"/>
        <w:tabs>
          <w:tab w:leader="none" w:pos="4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Type of reporting person (see instructions) PN</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*Consists of 10,610,000 American Depositary Shares, representing 53,050,000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669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t>CUSIP No. 589492107</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60" w:type="dxa"/>
            <w:vAlign w:val="bottom"/>
          </w:tcPr>
          <w:p>
            <w:pPr>
              <w:ind w:left="80"/>
              <w:spacing w:after="0"/>
              <w:rPr>
                <w:sz w:val="20"/>
                <w:szCs w:val="20"/>
                <w:color w:val="auto"/>
              </w:rPr>
            </w:pPr>
            <w:r>
              <w:rPr>
                <w:rFonts w:ascii="Arial" w:cs="Arial" w:eastAsia="Arial" w:hAnsi="Arial"/>
                <w:sz w:val="22"/>
                <w:szCs w:val="22"/>
                <w:color w:val="auto"/>
                <w:w w:val="96"/>
              </w:rPr>
              <w:t>(1)</w:t>
            </w:r>
          </w:p>
        </w:tc>
        <w:tc>
          <w:tcPr>
            <w:tcW w:w="2500" w:type="dxa"/>
            <w:vAlign w:val="bottom"/>
          </w:tcPr>
          <w:p>
            <w:pPr>
              <w:ind w:left="20"/>
              <w:spacing w:after="0"/>
              <w:rPr>
                <w:sz w:val="20"/>
                <w:szCs w:val="20"/>
                <w:color w:val="auto"/>
              </w:rPr>
            </w:pPr>
            <w:r>
              <w:rPr>
                <w:rFonts w:ascii="Arial" w:cs="Arial" w:eastAsia="Arial" w:hAnsi="Arial"/>
                <w:sz w:val="22"/>
                <w:szCs w:val="22"/>
                <w:color w:val="auto"/>
                <w:w w:val="90"/>
              </w:rPr>
              <w:t>Names of reporting persons</w:t>
            </w:r>
          </w:p>
        </w:tc>
        <w:tc>
          <w:tcPr>
            <w:tcW w:w="5520" w:type="dxa"/>
            <w:vAlign w:val="bottom"/>
          </w:tcPr>
          <w:p>
            <w:pPr>
              <w:ind w:left="140"/>
              <w:spacing w:after="0"/>
              <w:rPr>
                <w:sz w:val="20"/>
                <w:szCs w:val="20"/>
                <w:color w:val="auto"/>
              </w:rPr>
            </w:pPr>
            <w:r>
              <w:rPr>
                <w:rFonts w:ascii="Arial" w:cs="Arial" w:eastAsia="Arial" w:hAnsi="Arial"/>
                <w:sz w:val="22"/>
                <w:szCs w:val="22"/>
                <w:color w:val="auto"/>
              </w:rPr>
              <w:t>Point72 Capital Advisors, Inc.</w:t>
            </w:r>
          </w:p>
        </w:tc>
        <w:tc>
          <w:tcPr>
            <w:tcW w:w="2860" w:type="dxa"/>
            <w:vAlign w:val="bottom"/>
          </w:tcPr>
          <w:p>
            <w:pPr>
              <w:spacing w:after="0"/>
              <w:rPr>
                <w:sz w:val="23"/>
                <w:szCs w:val="23"/>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(2)</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Check the appropriate box if a member of a group</w:t>
            </w:r>
          </w:p>
        </w:tc>
        <w:tc>
          <w:tcPr>
            <w:tcW w:w="2860" w:type="dxa"/>
            <w:vAlign w:val="bottom"/>
          </w:tcPr>
          <w:p>
            <w:pPr>
              <w:ind w:left="2220"/>
              <w:spacing w:after="0"/>
              <w:rPr>
                <w:sz w:val="20"/>
                <w:szCs w:val="20"/>
                <w:color w:val="auto"/>
              </w:rPr>
            </w:pPr>
            <w:r>
              <w:rPr>
                <w:rFonts w:ascii="Arial" w:cs="Arial" w:eastAsia="Arial" w:hAnsi="Arial"/>
                <w:sz w:val="22"/>
                <w:szCs w:val="22"/>
                <w:color w:val="auto"/>
              </w:rPr>
              <w:t>(a)</w:t>
            </w: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520" w:type="dxa"/>
            <w:vAlign w:val="bottom"/>
          </w:tcPr>
          <w:p>
            <w:pPr>
              <w:ind w:left="380"/>
              <w:spacing w:after="0"/>
              <w:rPr>
                <w:sz w:val="20"/>
                <w:szCs w:val="20"/>
                <w:color w:val="auto"/>
              </w:rPr>
            </w:pPr>
            <w:r>
              <w:rPr>
                <w:rFonts w:ascii="Arial" w:cs="Arial" w:eastAsia="Arial" w:hAnsi="Arial"/>
                <w:sz w:val="22"/>
                <w:szCs w:val="22"/>
                <w:color w:val="auto"/>
              </w:rPr>
              <w:t>(see instructions)</w:t>
            </w:r>
          </w:p>
        </w:tc>
        <w:tc>
          <w:tcPr>
            <w:tcW w:w="2860" w:type="dxa"/>
            <w:vAlign w:val="bottom"/>
          </w:tcPr>
          <w:p>
            <w:pPr>
              <w:ind w:left="2220"/>
              <w:spacing w:after="0"/>
              <w:rPr>
                <w:sz w:val="20"/>
                <w:szCs w:val="20"/>
                <w:color w:val="auto"/>
              </w:rPr>
            </w:pPr>
            <w:r>
              <w:rPr>
                <w:rFonts w:ascii="Arial" w:cs="Arial" w:eastAsia="Arial" w:hAnsi="Arial"/>
                <w:sz w:val="22"/>
                <w:szCs w:val="22"/>
                <w:color w:val="auto"/>
              </w:rPr>
              <w:t>(b)X</w:t>
            </w: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(3)</w:t>
            </w:r>
          </w:p>
        </w:tc>
        <w:tc>
          <w:tcPr>
            <w:tcW w:w="2500" w:type="dxa"/>
            <w:vAlign w:val="bottom"/>
          </w:tcPr>
          <w:p>
            <w:pPr>
              <w:ind w:left="20"/>
              <w:spacing w:after="0"/>
              <w:rPr>
                <w:sz w:val="20"/>
                <w:szCs w:val="20"/>
                <w:color w:val="auto"/>
              </w:rPr>
            </w:pPr>
            <w:r>
              <w:rPr>
                <w:rFonts w:ascii="Arial" w:cs="Arial" w:eastAsia="Arial" w:hAnsi="Arial"/>
                <w:sz w:val="22"/>
                <w:szCs w:val="22"/>
                <w:color w:val="auto"/>
              </w:rPr>
              <w:t>SEC use only</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(4)</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Citizenship or place of organization Delaware</w:t>
            </w:r>
          </w:p>
        </w:tc>
        <w:tc>
          <w:tcPr>
            <w:tcW w:w="2860" w:type="dxa"/>
            <w:vAlign w:val="bottom"/>
          </w:tcPr>
          <w:p>
            <w:pPr>
              <w:spacing w:after="0"/>
              <w:rPr>
                <w:sz w:val="24"/>
                <w:szCs w:val="24"/>
                <w:color w:val="auto"/>
              </w:rPr>
            </w:pPr>
          </w:p>
        </w:tc>
      </w:tr>
      <w:tr>
        <w:trPr>
          <w:trHeight w:val="38"/>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Number of shares beneficially owned by each reporting person with:</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(5)</w:t>
            </w:r>
          </w:p>
        </w:tc>
        <w:tc>
          <w:tcPr>
            <w:tcW w:w="250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5520" w:type="dxa"/>
            <w:vAlign w:val="bottom"/>
          </w:tcPr>
          <w:p>
            <w:pPr>
              <w:ind w:left="8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(6)</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voting power</w:t>
            </w:r>
          </w:p>
        </w:tc>
        <w:tc>
          <w:tcPr>
            <w:tcW w:w="5520" w:type="dxa"/>
            <w:vAlign w:val="bottom"/>
          </w:tcPr>
          <w:p>
            <w:pPr>
              <w:ind w:left="80"/>
              <w:spacing w:after="0"/>
              <w:rPr>
                <w:sz w:val="20"/>
                <w:szCs w:val="20"/>
                <w:color w:val="auto"/>
              </w:rPr>
            </w:pPr>
            <w:r>
              <w:rPr>
                <w:rFonts w:ascii="Arial" w:cs="Arial" w:eastAsia="Arial" w:hAnsi="Arial"/>
                <w:sz w:val="22"/>
                <w:szCs w:val="22"/>
                <w:color w:val="auto"/>
              </w:rPr>
              <w:t>10,610,000* (see Item 4)</w:t>
            </w:r>
          </w:p>
        </w:tc>
        <w:tc>
          <w:tcPr>
            <w:tcW w:w="286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(7)</w:t>
            </w:r>
          </w:p>
        </w:tc>
        <w:tc>
          <w:tcPr>
            <w:tcW w:w="2500" w:type="dxa"/>
            <w:vAlign w:val="bottom"/>
          </w:tcPr>
          <w:p>
            <w:pPr>
              <w:ind w:left="20"/>
              <w:spacing w:after="0"/>
              <w:rPr>
                <w:sz w:val="20"/>
                <w:szCs w:val="20"/>
                <w:color w:val="auto"/>
              </w:rPr>
            </w:pPr>
            <w:r>
              <w:rPr>
                <w:rFonts w:ascii="Arial" w:cs="Arial" w:eastAsia="Arial" w:hAnsi="Arial"/>
                <w:sz w:val="22"/>
                <w:szCs w:val="22"/>
                <w:color w:val="auto"/>
              </w:rPr>
              <w:t>Sole dispositive power</w:t>
            </w:r>
          </w:p>
        </w:tc>
        <w:tc>
          <w:tcPr>
            <w:tcW w:w="5520" w:type="dxa"/>
            <w:vAlign w:val="bottom"/>
          </w:tcPr>
          <w:p>
            <w:pPr>
              <w:ind w:left="8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(8)</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Shared dispositive power  10,610,000* (see Item 4)</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360" w:type="dxa"/>
            <w:vAlign w:val="bottom"/>
          </w:tcPr>
          <w:p>
            <w:pPr>
              <w:ind w:left="80"/>
              <w:spacing w:after="0"/>
              <w:rPr>
                <w:sz w:val="20"/>
                <w:szCs w:val="20"/>
                <w:color w:val="auto"/>
              </w:rPr>
            </w:pPr>
            <w:r>
              <w:rPr>
                <w:rFonts w:ascii="Arial" w:cs="Arial" w:eastAsia="Arial" w:hAnsi="Arial"/>
                <w:sz w:val="22"/>
                <w:szCs w:val="22"/>
                <w:color w:val="auto"/>
                <w:w w:val="96"/>
              </w:rPr>
              <w:t>(9)</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Aggregate amount beneficially owned by each reporting person</w:t>
            </w:r>
          </w:p>
        </w:tc>
        <w:tc>
          <w:tcPr>
            <w:tcW w:w="2860" w:type="dxa"/>
            <w:vAlign w:val="bottom"/>
          </w:tcPr>
          <w:p>
            <w:pPr>
              <w:spacing w:after="0"/>
              <w:rPr>
                <w:sz w:val="22"/>
                <w:szCs w:val="22"/>
                <w:color w:val="auto"/>
              </w:rPr>
            </w:pPr>
          </w:p>
        </w:tc>
      </w:tr>
      <w:tr>
        <w:trPr>
          <w:trHeight w:val="274"/>
        </w:trPr>
        <w:tc>
          <w:tcPr>
            <w:tcW w:w="360" w:type="dxa"/>
            <w:vAlign w:val="bottom"/>
          </w:tcPr>
          <w:p>
            <w:pPr>
              <w:spacing w:after="0"/>
              <w:rPr>
                <w:sz w:val="23"/>
                <w:szCs w:val="23"/>
                <w:color w:val="auto"/>
              </w:rPr>
            </w:pPr>
          </w:p>
        </w:tc>
        <w:tc>
          <w:tcPr>
            <w:tcW w:w="2500" w:type="dxa"/>
            <w:vAlign w:val="bottom"/>
          </w:tcPr>
          <w:p>
            <w:pPr>
              <w:ind w:left="100"/>
              <w:spacing w:after="0"/>
              <w:rPr>
                <w:sz w:val="20"/>
                <w:szCs w:val="20"/>
                <w:color w:val="auto"/>
              </w:rPr>
            </w:pPr>
            <w:r>
              <w:rPr>
                <w:rFonts w:ascii="Arial" w:cs="Arial" w:eastAsia="Arial" w:hAnsi="Arial"/>
                <w:sz w:val="22"/>
                <w:szCs w:val="22"/>
                <w:color w:val="auto"/>
                <w:w w:val="98"/>
              </w:rPr>
              <w:t>10,610,000* (see Item 4)</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r>
        <w:trPr>
          <w:trHeight w:val="37"/>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(10) Check if the aggregate amount in Row (9) excludes certain shares</w:t>
            </w:r>
          </w:p>
        </w:tc>
        <w:tc>
          <w:tcPr>
            <w:tcW w:w="2860" w:type="dxa"/>
            <w:vAlign w:val="bottom"/>
          </w:tcPr>
          <w:p>
            <w:pPr>
              <w:spacing w:after="0"/>
              <w:rPr>
                <w:sz w:val="22"/>
                <w:szCs w:val="22"/>
                <w:color w:val="auto"/>
              </w:rPr>
            </w:pPr>
          </w:p>
        </w:tc>
      </w:tr>
      <w:tr>
        <w:trPr>
          <w:trHeight w:val="274"/>
        </w:trPr>
        <w:tc>
          <w:tcPr>
            <w:tcW w:w="2860" w:type="dxa"/>
            <w:vAlign w:val="bottom"/>
            <w:gridSpan w:val="2"/>
          </w:tcPr>
          <w:p>
            <w:pPr>
              <w:ind w:left="80"/>
              <w:spacing w:after="0"/>
              <w:rPr>
                <w:sz w:val="20"/>
                <w:szCs w:val="20"/>
                <w:color w:val="auto"/>
              </w:rPr>
            </w:pPr>
            <w:r>
              <w:rPr>
                <w:rFonts w:ascii="Arial" w:cs="Arial" w:eastAsia="Arial" w:hAnsi="Arial"/>
                <w:sz w:val="22"/>
                <w:szCs w:val="22"/>
                <w:color w:val="auto"/>
              </w:rPr>
              <w:t>(see instructions)</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bl>
    <w:p>
      <w:pPr>
        <w:spacing w:after="0" w:line="77" w:lineRule="exact"/>
        <w:rPr>
          <w:sz w:val="20"/>
          <w:szCs w:val="20"/>
          <w:color w:val="auto"/>
        </w:rPr>
      </w:pPr>
    </w:p>
    <w:p>
      <w:pPr>
        <w:ind w:left="480" w:hanging="405"/>
        <w:spacing w:after="0"/>
        <w:tabs>
          <w:tab w:leader="none" w:pos="48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 represented by amount in Row (9) 9.1% (a) (see Item 4)</w:t>
      </w:r>
    </w:p>
    <w:p>
      <w:pPr>
        <w:spacing w:after="0" w:line="98" w:lineRule="exact"/>
        <w:rPr>
          <w:rFonts w:ascii="Arial" w:cs="Arial" w:eastAsia="Arial" w:hAnsi="Arial"/>
          <w:sz w:val="22"/>
          <w:szCs w:val="22"/>
          <w:color w:val="auto"/>
        </w:rPr>
      </w:pPr>
    </w:p>
    <w:p>
      <w:pPr>
        <w:ind w:left="480" w:hanging="405"/>
        <w:spacing w:after="0"/>
        <w:tabs>
          <w:tab w:leader="none" w:pos="480" w:val="left"/>
        </w:tabs>
        <w:numPr>
          <w:ilvl w:val="0"/>
          <w:numId w:val="4"/>
        </w:numPr>
        <w:rPr>
          <w:rFonts w:ascii="Arial" w:cs="Arial" w:eastAsia="Arial" w:hAnsi="Arial"/>
          <w:sz w:val="22"/>
          <w:szCs w:val="22"/>
          <w:color w:val="auto"/>
        </w:rPr>
      </w:pPr>
      <w:r>
        <w:rPr>
          <w:rFonts w:ascii="Arial" w:cs="Arial" w:eastAsia="Arial" w:hAnsi="Arial"/>
          <w:sz w:val="22"/>
          <w:szCs w:val="22"/>
          <w:color w:val="auto"/>
        </w:rPr>
        <w:t>Type of reporting person (see instructions) CO</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*Consists of 10,610,000 American Depositary Shares, representing 53,050,000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669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t>CUSIP No. 589492107</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60" w:type="dxa"/>
            <w:vAlign w:val="bottom"/>
          </w:tcPr>
          <w:p>
            <w:pPr>
              <w:ind w:left="80"/>
              <w:spacing w:after="0"/>
              <w:rPr>
                <w:sz w:val="20"/>
                <w:szCs w:val="20"/>
                <w:color w:val="auto"/>
              </w:rPr>
            </w:pPr>
            <w:r>
              <w:rPr>
                <w:rFonts w:ascii="Arial" w:cs="Arial" w:eastAsia="Arial" w:hAnsi="Arial"/>
                <w:sz w:val="22"/>
                <w:szCs w:val="22"/>
                <w:color w:val="auto"/>
                <w:w w:val="96"/>
              </w:rPr>
              <w:t>(1)</w:t>
            </w:r>
          </w:p>
        </w:tc>
        <w:tc>
          <w:tcPr>
            <w:tcW w:w="2500" w:type="dxa"/>
            <w:vAlign w:val="bottom"/>
          </w:tcPr>
          <w:p>
            <w:pPr>
              <w:ind w:left="20"/>
              <w:spacing w:after="0"/>
              <w:rPr>
                <w:sz w:val="20"/>
                <w:szCs w:val="20"/>
                <w:color w:val="auto"/>
              </w:rPr>
            </w:pPr>
            <w:r>
              <w:rPr>
                <w:rFonts w:ascii="Arial" w:cs="Arial" w:eastAsia="Arial" w:hAnsi="Arial"/>
                <w:sz w:val="22"/>
                <w:szCs w:val="22"/>
                <w:color w:val="auto"/>
                <w:w w:val="90"/>
              </w:rPr>
              <w:t>Names of reporting persons</w:t>
            </w:r>
          </w:p>
        </w:tc>
        <w:tc>
          <w:tcPr>
            <w:tcW w:w="5520" w:type="dxa"/>
            <w:vAlign w:val="bottom"/>
          </w:tcPr>
          <w:p>
            <w:pPr>
              <w:ind w:left="140"/>
              <w:spacing w:after="0"/>
              <w:rPr>
                <w:sz w:val="20"/>
                <w:szCs w:val="20"/>
                <w:color w:val="auto"/>
              </w:rPr>
            </w:pPr>
            <w:r>
              <w:rPr>
                <w:rFonts w:ascii="Arial" w:cs="Arial" w:eastAsia="Arial" w:hAnsi="Arial"/>
                <w:sz w:val="22"/>
                <w:szCs w:val="22"/>
                <w:color w:val="auto"/>
              </w:rPr>
              <w:t>Steven A. Cohen</w:t>
            </w:r>
          </w:p>
        </w:tc>
        <w:tc>
          <w:tcPr>
            <w:tcW w:w="2860" w:type="dxa"/>
            <w:vAlign w:val="bottom"/>
          </w:tcPr>
          <w:p>
            <w:pPr>
              <w:spacing w:after="0"/>
              <w:rPr>
                <w:sz w:val="23"/>
                <w:szCs w:val="23"/>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(2)</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Check the appropriate box if a member of a group</w:t>
            </w:r>
          </w:p>
        </w:tc>
        <w:tc>
          <w:tcPr>
            <w:tcW w:w="2860" w:type="dxa"/>
            <w:vAlign w:val="bottom"/>
          </w:tcPr>
          <w:p>
            <w:pPr>
              <w:ind w:left="2220"/>
              <w:spacing w:after="0"/>
              <w:rPr>
                <w:sz w:val="20"/>
                <w:szCs w:val="20"/>
                <w:color w:val="auto"/>
              </w:rPr>
            </w:pPr>
            <w:r>
              <w:rPr>
                <w:rFonts w:ascii="Arial" w:cs="Arial" w:eastAsia="Arial" w:hAnsi="Arial"/>
                <w:sz w:val="22"/>
                <w:szCs w:val="22"/>
                <w:color w:val="auto"/>
              </w:rPr>
              <w:t>(a)</w:t>
            </w: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520" w:type="dxa"/>
            <w:vAlign w:val="bottom"/>
          </w:tcPr>
          <w:p>
            <w:pPr>
              <w:ind w:left="380"/>
              <w:spacing w:after="0"/>
              <w:rPr>
                <w:sz w:val="20"/>
                <w:szCs w:val="20"/>
                <w:color w:val="auto"/>
              </w:rPr>
            </w:pPr>
            <w:r>
              <w:rPr>
                <w:rFonts w:ascii="Arial" w:cs="Arial" w:eastAsia="Arial" w:hAnsi="Arial"/>
                <w:sz w:val="22"/>
                <w:szCs w:val="22"/>
                <w:color w:val="auto"/>
              </w:rPr>
              <w:t>(see instructions)</w:t>
            </w:r>
          </w:p>
        </w:tc>
        <w:tc>
          <w:tcPr>
            <w:tcW w:w="2860" w:type="dxa"/>
            <w:vAlign w:val="bottom"/>
          </w:tcPr>
          <w:p>
            <w:pPr>
              <w:ind w:left="2220"/>
              <w:spacing w:after="0"/>
              <w:rPr>
                <w:sz w:val="20"/>
                <w:szCs w:val="20"/>
                <w:color w:val="auto"/>
              </w:rPr>
            </w:pPr>
            <w:r>
              <w:rPr>
                <w:rFonts w:ascii="Arial" w:cs="Arial" w:eastAsia="Arial" w:hAnsi="Arial"/>
                <w:sz w:val="22"/>
                <w:szCs w:val="22"/>
                <w:color w:val="auto"/>
              </w:rPr>
              <w:t>(b)X</w:t>
            </w: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(3)</w:t>
            </w:r>
          </w:p>
        </w:tc>
        <w:tc>
          <w:tcPr>
            <w:tcW w:w="2500" w:type="dxa"/>
            <w:vAlign w:val="bottom"/>
          </w:tcPr>
          <w:p>
            <w:pPr>
              <w:ind w:left="20"/>
              <w:spacing w:after="0"/>
              <w:rPr>
                <w:sz w:val="20"/>
                <w:szCs w:val="20"/>
                <w:color w:val="auto"/>
              </w:rPr>
            </w:pPr>
            <w:r>
              <w:rPr>
                <w:rFonts w:ascii="Arial" w:cs="Arial" w:eastAsia="Arial" w:hAnsi="Arial"/>
                <w:sz w:val="22"/>
                <w:szCs w:val="22"/>
                <w:color w:val="auto"/>
              </w:rPr>
              <w:t>SEC use only</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(4)</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Citizenship or place of organization United States</w:t>
            </w:r>
          </w:p>
        </w:tc>
        <w:tc>
          <w:tcPr>
            <w:tcW w:w="2860" w:type="dxa"/>
            <w:vAlign w:val="bottom"/>
          </w:tcPr>
          <w:p>
            <w:pPr>
              <w:spacing w:after="0"/>
              <w:rPr>
                <w:sz w:val="24"/>
                <w:szCs w:val="24"/>
                <w:color w:val="auto"/>
              </w:rPr>
            </w:pPr>
          </w:p>
        </w:tc>
      </w:tr>
      <w:tr>
        <w:trPr>
          <w:trHeight w:val="38"/>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Number of shares beneficially owned by each reporting person with:</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(5)</w:t>
            </w:r>
          </w:p>
        </w:tc>
        <w:tc>
          <w:tcPr>
            <w:tcW w:w="250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5520" w:type="dxa"/>
            <w:vAlign w:val="bottom"/>
          </w:tcPr>
          <w:p>
            <w:pPr>
              <w:ind w:left="8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(6)</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voting power</w:t>
            </w:r>
          </w:p>
        </w:tc>
        <w:tc>
          <w:tcPr>
            <w:tcW w:w="5520" w:type="dxa"/>
            <w:vAlign w:val="bottom"/>
          </w:tcPr>
          <w:p>
            <w:pPr>
              <w:ind w:left="80"/>
              <w:spacing w:after="0"/>
              <w:rPr>
                <w:sz w:val="20"/>
                <w:szCs w:val="20"/>
                <w:color w:val="auto"/>
              </w:rPr>
            </w:pPr>
            <w:r>
              <w:rPr>
                <w:rFonts w:ascii="Arial" w:cs="Arial" w:eastAsia="Arial" w:hAnsi="Arial"/>
                <w:sz w:val="22"/>
                <w:szCs w:val="22"/>
                <w:color w:val="auto"/>
              </w:rPr>
              <w:t>10,610,000* (see Item 4)</w:t>
            </w:r>
          </w:p>
        </w:tc>
        <w:tc>
          <w:tcPr>
            <w:tcW w:w="286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(7)</w:t>
            </w:r>
          </w:p>
        </w:tc>
        <w:tc>
          <w:tcPr>
            <w:tcW w:w="2500" w:type="dxa"/>
            <w:vAlign w:val="bottom"/>
          </w:tcPr>
          <w:p>
            <w:pPr>
              <w:ind w:left="20"/>
              <w:spacing w:after="0"/>
              <w:rPr>
                <w:sz w:val="20"/>
                <w:szCs w:val="20"/>
                <w:color w:val="auto"/>
              </w:rPr>
            </w:pPr>
            <w:r>
              <w:rPr>
                <w:rFonts w:ascii="Arial" w:cs="Arial" w:eastAsia="Arial" w:hAnsi="Arial"/>
                <w:sz w:val="22"/>
                <w:szCs w:val="22"/>
                <w:color w:val="auto"/>
              </w:rPr>
              <w:t>Sole dispositive power</w:t>
            </w:r>
          </w:p>
        </w:tc>
        <w:tc>
          <w:tcPr>
            <w:tcW w:w="5520" w:type="dxa"/>
            <w:vAlign w:val="bottom"/>
          </w:tcPr>
          <w:p>
            <w:pPr>
              <w:ind w:left="8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(8)</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dispositive power</w:t>
            </w:r>
          </w:p>
        </w:tc>
        <w:tc>
          <w:tcPr>
            <w:tcW w:w="5520" w:type="dxa"/>
            <w:vAlign w:val="bottom"/>
          </w:tcPr>
          <w:p>
            <w:pPr>
              <w:ind w:left="80"/>
              <w:spacing w:after="0"/>
              <w:rPr>
                <w:sz w:val="20"/>
                <w:szCs w:val="20"/>
                <w:color w:val="auto"/>
              </w:rPr>
            </w:pPr>
            <w:r>
              <w:rPr>
                <w:rFonts w:ascii="Arial" w:cs="Arial" w:eastAsia="Arial" w:hAnsi="Arial"/>
                <w:sz w:val="22"/>
                <w:szCs w:val="22"/>
                <w:color w:val="auto"/>
              </w:rPr>
              <w:t>10,610,000* (see Item 4)</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360" w:type="dxa"/>
            <w:vAlign w:val="bottom"/>
          </w:tcPr>
          <w:p>
            <w:pPr>
              <w:ind w:left="80"/>
              <w:spacing w:after="0"/>
              <w:rPr>
                <w:sz w:val="20"/>
                <w:szCs w:val="20"/>
                <w:color w:val="auto"/>
              </w:rPr>
            </w:pPr>
            <w:r>
              <w:rPr>
                <w:rFonts w:ascii="Arial" w:cs="Arial" w:eastAsia="Arial" w:hAnsi="Arial"/>
                <w:sz w:val="22"/>
                <w:szCs w:val="22"/>
                <w:color w:val="auto"/>
                <w:w w:val="96"/>
              </w:rPr>
              <w:t>(9)</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Aggregate amount beneficially owned by each reporting person</w:t>
            </w:r>
          </w:p>
        </w:tc>
        <w:tc>
          <w:tcPr>
            <w:tcW w:w="2860" w:type="dxa"/>
            <w:vAlign w:val="bottom"/>
          </w:tcPr>
          <w:p>
            <w:pPr>
              <w:spacing w:after="0"/>
              <w:rPr>
                <w:sz w:val="22"/>
                <w:szCs w:val="22"/>
                <w:color w:val="auto"/>
              </w:rPr>
            </w:pPr>
          </w:p>
        </w:tc>
      </w:tr>
      <w:tr>
        <w:trPr>
          <w:trHeight w:val="274"/>
        </w:trPr>
        <w:tc>
          <w:tcPr>
            <w:tcW w:w="360" w:type="dxa"/>
            <w:vAlign w:val="bottom"/>
          </w:tcPr>
          <w:p>
            <w:pPr>
              <w:spacing w:after="0"/>
              <w:rPr>
                <w:sz w:val="23"/>
                <w:szCs w:val="23"/>
                <w:color w:val="auto"/>
              </w:rPr>
            </w:pPr>
          </w:p>
        </w:tc>
        <w:tc>
          <w:tcPr>
            <w:tcW w:w="2500" w:type="dxa"/>
            <w:vAlign w:val="bottom"/>
          </w:tcPr>
          <w:p>
            <w:pPr>
              <w:ind w:left="100"/>
              <w:spacing w:after="0"/>
              <w:rPr>
                <w:sz w:val="20"/>
                <w:szCs w:val="20"/>
                <w:color w:val="auto"/>
              </w:rPr>
            </w:pPr>
            <w:r>
              <w:rPr>
                <w:rFonts w:ascii="Arial" w:cs="Arial" w:eastAsia="Arial" w:hAnsi="Arial"/>
                <w:sz w:val="22"/>
                <w:szCs w:val="22"/>
                <w:color w:val="auto"/>
                <w:w w:val="98"/>
              </w:rPr>
              <w:t>10,610,000* (see Item 4)</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r>
        <w:trPr>
          <w:trHeight w:val="37"/>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(10) Check if the aggregate amount in Row (9) excludes certain shares</w:t>
            </w:r>
          </w:p>
        </w:tc>
        <w:tc>
          <w:tcPr>
            <w:tcW w:w="2860" w:type="dxa"/>
            <w:vAlign w:val="bottom"/>
          </w:tcPr>
          <w:p>
            <w:pPr>
              <w:spacing w:after="0"/>
              <w:rPr>
                <w:sz w:val="22"/>
                <w:szCs w:val="22"/>
                <w:color w:val="auto"/>
              </w:rPr>
            </w:pPr>
          </w:p>
        </w:tc>
      </w:tr>
      <w:tr>
        <w:trPr>
          <w:trHeight w:val="274"/>
        </w:trPr>
        <w:tc>
          <w:tcPr>
            <w:tcW w:w="2860" w:type="dxa"/>
            <w:vAlign w:val="bottom"/>
            <w:gridSpan w:val="2"/>
          </w:tcPr>
          <w:p>
            <w:pPr>
              <w:ind w:left="80"/>
              <w:spacing w:after="0"/>
              <w:rPr>
                <w:sz w:val="20"/>
                <w:szCs w:val="20"/>
                <w:color w:val="auto"/>
              </w:rPr>
            </w:pPr>
            <w:r>
              <w:rPr>
                <w:rFonts w:ascii="Arial" w:cs="Arial" w:eastAsia="Arial" w:hAnsi="Arial"/>
                <w:sz w:val="22"/>
                <w:szCs w:val="22"/>
                <w:color w:val="auto"/>
              </w:rPr>
              <w:t>(see instructions)</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bl>
    <w:p>
      <w:pPr>
        <w:spacing w:after="0" w:line="77" w:lineRule="exact"/>
        <w:rPr>
          <w:sz w:val="20"/>
          <w:szCs w:val="20"/>
          <w:color w:val="auto"/>
        </w:rPr>
      </w:pPr>
    </w:p>
    <w:p>
      <w:pPr>
        <w:ind w:left="480" w:hanging="405"/>
        <w:spacing w:after="0"/>
        <w:tabs>
          <w:tab w:leader="none" w:pos="4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 represented by amount in Row (9) 9.1% (a) (see Item 4)</w:t>
      </w:r>
    </w:p>
    <w:p>
      <w:pPr>
        <w:spacing w:after="0" w:line="98" w:lineRule="exact"/>
        <w:rPr>
          <w:rFonts w:ascii="Arial" w:cs="Arial" w:eastAsia="Arial" w:hAnsi="Arial"/>
          <w:sz w:val="22"/>
          <w:szCs w:val="22"/>
          <w:color w:val="auto"/>
        </w:rPr>
      </w:pPr>
    </w:p>
    <w:p>
      <w:pPr>
        <w:ind w:left="480" w:hanging="405"/>
        <w:spacing w:after="0"/>
        <w:tabs>
          <w:tab w:leader="none" w:pos="480" w:val="left"/>
        </w:tabs>
        <w:numPr>
          <w:ilvl w:val="0"/>
          <w:numId w:val="5"/>
        </w:numPr>
        <w:rPr>
          <w:rFonts w:ascii="Arial" w:cs="Arial" w:eastAsia="Arial" w:hAnsi="Arial"/>
          <w:sz w:val="22"/>
          <w:szCs w:val="22"/>
          <w:color w:val="auto"/>
        </w:rPr>
      </w:pPr>
      <w:r>
        <w:rPr>
          <w:rFonts w:ascii="Arial" w:cs="Arial" w:eastAsia="Arial" w:hAnsi="Arial"/>
          <w:sz w:val="22"/>
          <w:szCs w:val="22"/>
          <w:color w:val="auto"/>
        </w:rPr>
        <w:t>Type of reporting person (see instructions) IN</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*Consists of 10,610,000 American Depositary Shares, representing 53,050,000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Item 1(a) Name of issuer: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Mereo BioPharma Group plc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Item 1(b) Address of issuer's principal executive offices:</w:t>
      </w:r>
    </w:p>
    <w:p>
      <w:pPr>
        <w:spacing w:after="0" w:line="206" w:lineRule="exact"/>
        <w:rPr>
          <w:sz w:val="20"/>
          <w:szCs w:val="20"/>
          <w:color w:val="auto"/>
        </w:rPr>
      </w:pPr>
    </w:p>
    <w:p>
      <w:pPr>
        <w:ind w:right="4039"/>
        <w:spacing w:after="0" w:line="435" w:lineRule="auto"/>
        <w:rPr>
          <w:sz w:val="20"/>
          <w:szCs w:val="20"/>
          <w:color w:val="auto"/>
        </w:rPr>
      </w:pPr>
      <w:r>
        <w:rPr>
          <w:rFonts w:ascii="Arial" w:cs="Arial" w:eastAsia="Arial" w:hAnsi="Arial"/>
          <w:sz w:val="22"/>
          <w:szCs w:val="22"/>
          <w:color w:val="auto"/>
        </w:rPr>
        <w:t>4th Floor, One Cavendish Place, London, W1G 0QF, United Kingdom 2(a) Name of person filing:</w:t>
      </w:r>
    </w:p>
    <w:p>
      <w:pPr>
        <w:spacing w:after="0" w:line="1" w:lineRule="exact"/>
        <w:rPr>
          <w:sz w:val="20"/>
          <w:szCs w:val="20"/>
          <w:color w:val="auto"/>
        </w:rPr>
      </w:pPr>
    </w:p>
    <w:p>
      <w:pPr>
        <w:ind w:right="3519"/>
        <w:spacing w:after="0" w:line="269" w:lineRule="auto"/>
        <w:rPr>
          <w:sz w:val="20"/>
          <w:szCs w:val="20"/>
          <w:color w:val="auto"/>
        </w:rPr>
      </w:pPr>
      <w:r>
        <w:rPr>
          <w:rFonts w:ascii="Arial" w:cs="Arial" w:eastAsia="Arial" w:hAnsi="Arial"/>
          <w:sz w:val="19"/>
          <w:szCs w:val="19"/>
          <w:color w:val="auto"/>
        </w:rPr>
        <w:t>The holdings of the Issuer’s ordinary shares, nominal value £0.003 per share (“Ordinary Shares”) reported herein are held in the form of American Depositary Shares (“ADS”), which each represent five (5) Ordinary Shares. This statement is filed by: (i) Point72 Asset Management, L.P. (“Point72 Asset Management”) with respect to Ordinary Shares held, in the form of ADSs, by certain investment funds it manages; (ii) Point72 Capital Advisors, Inc. (“Point72 Capital Advisors Inc.”) with respect to Ordinary Shares held, in the form of ADSs, by certain investment funds managed</w:t>
      </w:r>
    </w:p>
    <w:p>
      <w:pPr>
        <w:spacing w:after="0" w:line="3" w:lineRule="exact"/>
        <w:rPr>
          <w:sz w:val="20"/>
          <w:szCs w:val="20"/>
          <w:color w:val="auto"/>
        </w:rPr>
      </w:pPr>
    </w:p>
    <w:p>
      <w:pPr>
        <w:ind w:right="3839"/>
        <w:spacing w:after="0" w:line="287" w:lineRule="auto"/>
        <w:rPr>
          <w:sz w:val="20"/>
          <w:szCs w:val="20"/>
          <w:color w:val="auto"/>
        </w:rPr>
      </w:pPr>
      <w:r>
        <w:rPr>
          <w:rFonts w:ascii="Arial" w:cs="Arial" w:eastAsia="Arial" w:hAnsi="Arial"/>
          <w:sz w:val="19"/>
          <w:szCs w:val="19"/>
          <w:color w:val="auto"/>
        </w:rPr>
        <w:t>by Point72 Asset Management; and (iii) Steven A. Cohen (“Mr. Cohen”) with respect to Ordinary Shares held, in the form of ADSs, beneficially owned by Point72 Asset Management and Point72 Capital Advisors Inc.</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2(b) Address or principal business office or, if none, residence:</w:t>
      </w:r>
    </w:p>
    <w:p>
      <w:pPr>
        <w:spacing w:after="0" w:line="206" w:lineRule="exact"/>
        <w:rPr>
          <w:sz w:val="20"/>
          <w:szCs w:val="20"/>
          <w:color w:val="auto"/>
        </w:rPr>
      </w:pPr>
    </w:p>
    <w:p>
      <w:pPr>
        <w:jc w:val="both"/>
        <w:ind w:right="3619"/>
        <w:spacing w:after="0"/>
        <w:rPr>
          <w:sz w:val="20"/>
          <w:szCs w:val="20"/>
          <w:color w:val="auto"/>
        </w:rPr>
      </w:pPr>
      <w:r>
        <w:rPr>
          <w:rFonts w:ascii="Arial" w:cs="Arial" w:eastAsia="Arial" w:hAnsi="Arial"/>
          <w:sz w:val="22"/>
          <w:szCs w:val="22"/>
          <w:color w:val="auto"/>
        </w:rPr>
        <w:t>The address of the principal business office of Point72 Asset Management, Point72 Capital Advisors Inc., and Mr. Cohen is 72 Cummings Point Road, Stamford, CT 06902.</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2(c) Citizenship:</w:t>
      </w:r>
    </w:p>
    <w:p>
      <w:pPr>
        <w:spacing w:after="0" w:line="206" w:lineRule="exact"/>
        <w:rPr>
          <w:sz w:val="20"/>
          <w:szCs w:val="20"/>
          <w:color w:val="auto"/>
        </w:rPr>
      </w:pPr>
    </w:p>
    <w:p>
      <w:pPr>
        <w:jc w:val="both"/>
        <w:ind w:right="3359"/>
        <w:spacing w:after="0" w:line="328" w:lineRule="auto"/>
        <w:rPr>
          <w:sz w:val="20"/>
          <w:szCs w:val="20"/>
          <w:color w:val="auto"/>
        </w:rPr>
      </w:pPr>
      <w:r>
        <w:rPr>
          <w:rFonts w:ascii="Arial" w:cs="Arial" w:eastAsia="Arial" w:hAnsi="Arial"/>
          <w:sz w:val="19"/>
          <w:szCs w:val="19"/>
          <w:color w:val="auto"/>
        </w:rPr>
        <w:t>Point72 Asset Management is a Delaware limited partnership. Point72 Capital Advisors Inc. is a Delaware corporation. Mr. Cohen is a United States citizen.</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2(d) Title of class of securities: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Ordinary Shares, nominal value £0.003 per ordinary share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2(e) CUSIP Number: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589492107</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Item 3.</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4. </w:t>
      </w:r>
      <w:r>
        <w:rPr>
          <w:rFonts w:ascii="Arial" w:cs="Arial" w:eastAsia="Arial" w:hAnsi="Arial"/>
          <w:sz w:val="22"/>
          <w:szCs w:val="22"/>
          <w:color w:val="auto"/>
        </w:rPr>
        <w:t>Ownership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As of the close of business on December 31, 2021: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1. Point72 Asset Management, L.P.</w:t>
      </w:r>
    </w:p>
    <w:p>
      <w:pPr>
        <w:ind w:left="300" w:hanging="292"/>
        <w:spacing w:after="0" w:line="238" w:lineRule="auto"/>
        <w:tabs>
          <w:tab w:leader="none" w:pos="300" w:val="left"/>
        </w:tabs>
        <w:numPr>
          <w:ilvl w:val="0"/>
          <w:numId w:val="6"/>
        </w:numPr>
        <w:rPr>
          <w:rFonts w:ascii="Arial" w:cs="Arial" w:eastAsia="Arial" w:hAnsi="Arial"/>
          <w:sz w:val="22"/>
          <w:szCs w:val="22"/>
          <w:color w:val="auto"/>
        </w:rPr>
      </w:pPr>
      <w:r>
        <w:rPr>
          <w:rFonts w:ascii="Arial" w:cs="Arial" w:eastAsia="Arial" w:hAnsi="Arial"/>
          <w:sz w:val="22"/>
          <w:szCs w:val="22"/>
          <w:color w:val="auto"/>
        </w:rPr>
        <w:t>Amount beneficially owned: 10,610,000</w:t>
      </w:r>
    </w:p>
    <w:p>
      <w:pPr>
        <w:ind w:left="320" w:hanging="312"/>
        <w:spacing w:after="0" w:line="230" w:lineRule="auto"/>
        <w:tabs>
          <w:tab w:leader="none" w:pos="320"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Percent of class: 9.1% (a)</w:t>
      </w:r>
    </w:p>
    <w:p>
      <w:pPr>
        <w:ind w:left="300" w:hanging="292"/>
        <w:spacing w:after="0" w:line="230" w:lineRule="auto"/>
        <w:tabs>
          <w:tab w:leader="none" w:pos="300" w:val="left"/>
        </w:tabs>
        <w:numPr>
          <w:ilvl w:val="0"/>
          <w:numId w:val="6"/>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ind w:left="260" w:hanging="252"/>
        <w:spacing w:after="0" w:line="230" w:lineRule="auto"/>
        <w:tabs>
          <w:tab w:leader="none" w:pos="260" w:val="left"/>
        </w:tabs>
        <w:numPr>
          <w:ilvl w:val="0"/>
          <w:numId w:val="7"/>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ind w:left="320" w:hanging="312"/>
        <w:spacing w:after="0" w:line="230" w:lineRule="auto"/>
        <w:tabs>
          <w:tab w:leader="none" w:pos="320" w:val="left"/>
        </w:tabs>
        <w:numPr>
          <w:ilvl w:val="0"/>
          <w:numId w:val="8"/>
        </w:numPr>
        <w:rPr>
          <w:rFonts w:ascii="Arial" w:cs="Arial" w:eastAsia="Arial" w:hAnsi="Arial"/>
          <w:sz w:val="22"/>
          <w:szCs w:val="22"/>
          <w:color w:val="auto"/>
        </w:rPr>
      </w:pPr>
      <w:r>
        <w:rPr>
          <w:rFonts w:ascii="Arial" w:cs="Arial" w:eastAsia="Arial" w:hAnsi="Arial"/>
          <w:sz w:val="22"/>
          <w:szCs w:val="22"/>
          <w:color w:val="auto"/>
        </w:rPr>
        <w:t>Shared power to vote or to direct the vote: 10,610,000</w:t>
      </w:r>
    </w:p>
    <w:p>
      <w:pPr>
        <w:ind w:left="380" w:hanging="372"/>
        <w:spacing w:after="0" w:line="230" w:lineRule="auto"/>
        <w:tabs>
          <w:tab w:leader="none" w:pos="380" w:val="left"/>
        </w:tabs>
        <w:numPr>
          <w:ilvl w:val="0"/>
          <w:numId w:val="9"/>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spacing w:after="0"/>
        <w:rPr>
          <w:rFonts w:ascii="Arial" w:cs="Arial" w:eastAsia="Arial" w:hAnsi="Arial"/>
          <w:sz w:val="22"/>
          <w:szCs w:val="22"/>
          <w:color w:val="auto"/>
        </w:rPr>
      </w:pPr>
      <w:r>
        <w:rPr>
          <w:rFonts w:ascii="Arial" w:cs="Arial" w:eastAsia="Arial" w:hAnsi="Arial"/>
          <w:sz w:val="21"/>
          <w:szCs w:val="21"/>
          <w:color w:val="auto"/>
        </w:rPr>
        <w:t>(iv) Shared power to dispose or to direct the disposition of: 10,610,000</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2. Point72 Capital Advisors, Inc.</w:t>
      </w:r>
    </w:p>
    <w:p>
      <w:pPr>
        <w:ind w:left="300" w:hanging="292"/>
        <w:spacing w:after="0" w:line="238" w:lineRule="auto"/>
        <w:tabs>
          <w:tab w:leader="none" w:pos="3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Amount beneficially owned: 10,610,000</w:t>
      </w:r>
    </w:p>
    <w:p>
      <w:pPr>
        <w:ind w:left="320" w:hanging="312"/>
        <w:spacing w:after="0" w:line="230" w:lineRule="auto"/>
        <w:tabs>
          <w:tab w:leader="none" w:pos="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Percent of class: 9.1% (a)</w:t>
      </w:r>
    </w:p>
    <w:p>
      <w:pPr>
        <w:ind w:left="300" w:hanging="292"/>
        <w:spacing w:after="0" w:line="230" w:lineRule="auto"/>
        <w:tabs>
          <w:tab w:leader="none" w:pos="3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ind w:left="260" w:hanging="252"/>
        <w:spacing w:after="0" w:line="230" w:lineRule="auto"/>
        <w:tabs>
          <w:tab w:leader="none" w:pos="2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ind w:left="320" w:hanging="312"/>
        <w:spacing w:after="0" w:line="230" w:lineRule="auto"/>
        <w:tabs>
          <w:tab w:leader="none" w:pos="3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Shared power to vote or to direct the vote: 10,610,000</w:t>
      </w:r>
    </w:p>
    <w:p>
      <w:pPr>
        <w:ind w:left="380" w:hanging="372"/>
        <w:spacing w:after="0" w:line="230" w:lineRule="auto"/>
        <w:tabs>
          <w:tab w:leader="none" w:pos="3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spacing w:after="0"/>
        <w:rPr>
          <w:rFonts w:ascii="Arial" w:cs="Arial" w:eastAsia="Arial" w:hAnsi="Arial"/>
          <w:sz w:val="22"/>
          <w:szCs w:val="22"/>
          <w:color w:val="auto"/>
        </w:rPr>
      </w:pPr>
      <w:r>
        <w:rPr>
          <w:rFonts w:ascii="Arial" w:cs="Arial" w:eastAsia="Arial" w:hAnsi="Arial"/>
          <w:sz w:val="21"/>
          <w:szCs w:val="21"/>
          <w:color w:val="auto"/>
        </w:rPr>
        <w:t>(iv) Shared power to dispose or to direct the disposition of: 10,610,000</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3. Steven A. Cohen</w:t>
      </w:r>
    </w:p>
    <w:p>
      <w:pPr>
        <w:sectPr>
          <w:pgSz w:w="11900" w:h="16838" w:orient="portrait"/>
          <w:cols w:equalWidth="0" w:num="1">
            <w:col w:w="10139"/>
          </w:cols>
          <w:pgMar w:left="320" w:top="334" w:right="1440" w:bottom="0" w:gutter="0" w:footer="0" w:header="0"/>
        </w:sectPr>
      </w:pPr>
    </w:p>
    <w:bookmarkStart w:id="5" w:name="page6"/>
    <w:bookmarkEnd w:id="5"/>
    <w:p>
      <w:pPr>
        <w:ind w:left="300" w:hanging="292"/>
        <w:spacing w:after="0"/>
        <w:tabs>
          <w:tab w:leader="none" w:pos="3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Amount beneficially owned: 10,610,000</w:t>
      </w:r>
    </w:p>
    <w:p>
      <w:pPr>
        <w:spacing w:after="0" w:line="8" w:lineRule="exact"/>
        <w:rPr>
          <w:rFonts w:ascii="Arial" w:cs="Arial" w:eastAsia="Arial" w:hAnsi="Arial"/>
          <w:sz w:val="22"/>
          <w:szCs w:val="22"/>
          <w:color w:val="auto"/>
        </w:rPr>
      </w:pPr>
    </w:p>
    <w:p>
      <w:pPr>
        <w:ind w:left="320" w:hanging="312"/>
        <w:spacing w:after="0" w:line="230" w:lineRule="auto"/>
        <w:tabs>
          <w:tab w:leader="none" w:pos="3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Percent of class: 9.1% (a)</w:t>
      </w:r>
    </w:p>
    <w:p>
      <w:pPr>
        <w:ind w:left="300" w:hanging="292"/>
        <w:spacing w:after="0" w:line="230" w:lineRule="auto"/>
        <w:tabs>
          <w:tab w:leader="none" w:pos="3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ind w:left="260" w:hanging="252"/>
        <w:spacing w:after="0" w:line="230" w:lineRule="auto"/>
        <w:tabs>
          <w:tab w:leader="none" w:pos="2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ind w:left="320" w:hanging="312"/>
        <w:spacing w:after="0" w:line="230" w:lineRule="auto"/>
        <w:tabs>
          <w:tab w:leader="none" w:pos="3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Shared power to vote or to direct the vote: 10,610,000</w:t>
      </w:r>
    </w:p>
    <w:p>
      <w:pPr>
        <w:ind w:left="380" w:hanging="372"/>
        <w:spacing w:after="0" w:line="230" w:lineRule="auto"/>
        <w:tabs>
          <w:tab w:leader="none" w:pos="3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spacing w:after="0"/>
        <w:rPr>
          <w:rFonts w:ascii="Arial" w:cs="Arial" w:eastAsia="Arial" w:hAnsi="Arial"/>
          <w:sz w:val="22"/>
          <w:szCs w:val="22"/>
          <w:color w:val="auto"/>
        </w:rPr>
      </w:pPr>
      <w:r>
        <w:rPr>
          <w:rFonts w:ascii="Arial" w:cs="Arial" w:eastAsia="Arial" w:hAnsi="Arial"/>
          <w:sz w:val="22"/>
          <w:szCs w:val="22"/>
          <w:color w:val="auto"/>
        </w:rPr>
        <w:t>(iv) Shared power to dispose or to direct the disposition of: 10,610,000</w:t>
      </w:r>
    </w:p>
    <w:p>
      <w:pPr>
        <w:spacing w:after="0" w:line="188" w:lineRule="exact"/>
        <w:rPr>
          <w:sz w:val="20"/>
          <w:szCs w:val="20"/>
          <w:color w:val="auto"/>
        </w:rPr>
      </w:pPr>
    </w:p>
    <w:p>
      <w:pPr>
        <w:ind w:right="3039"/>
        <w:spacing w:after="0" w:line="270" w:lineRule="auto"/>
        <w:rPr>
          <w:sz w:val="20"/>
          <w:szCs w:val="20"/>
          <w:color w:val="auto"/>
        </w:rPr>
      </w:pPr>
      <w:r>
        <w:rPr>
          <w:rFonts w:ascii="Arial" w:cs="Arial" w:eastAsia="Arial" w:hAnsi="Arial"/>
          <w:sz w:val="19"/>
          <w:szCs w:val="19"/>
          <w:color w:val="auto"/>
        </w:rPr>
        <w:t>Point72 Asset Management, Point72 Capital Advisors Inc., and Mr. Cohen own directly no ADSs or Ordinary Shares. Pursuant to an investment management agreement, Point72 Asset Management maintains investment and voting power with respect to the securities held by certain investment funds it manages. Point72 Capital Advisors Inc. is the general partner of Point72 Asset Management.</w:t>
      </w:r>
    </w:p>
    <w:p>
      <w:pPr>
        <w:spacing w:after="0" w:line="4" w:lineRule="exact"/>
        <w:rPr>
          <w:sz w:val="20"/>
          <w:szCs w:val="20"/>
          <w:color w:val="auto"/>
        </w:rPr>
      </w:pPr>
    </w:p>
    <w:p>
      <w:pPr>
        <w:ind w:right="3439"/>
        <w:spacing w:after="0" w:line="272" w:lineRule="auto"/>
        <w:rPr>
          <w:sz w:val="20"/>
          <w:szCs w:val="20"/>
          <w:color w:val="auto"/>
        </w:rPr>
      </w:pPr>
      <w:r>
        <w:rPr>
          <w:rFonts w:ascii="Arial" w:cs="Arial" w:eastAsia="Arial" w:hAnsi="Arial"/>
          <w:sz w:val="19"/>
          <w:szCs w:val="19"/>
          <w:color w:val="auto"/>
        </w:rPr>
        <w:t>Mr. Cohen controls each of Point72 Asset Management and Point72 Capital Advisors Inc. As of December 31, 2021, by reason of the provisions of Rule 13d-3 of the Securities Exchange Act of 1934, as amended, each of Point72 Asset Management, Point72 Capital Advisors Inc. and Mr. Cohen may be deemed to beneficially own 10,610,000 Ordinary Shares (constituting approximately 9.1% (a) of the Ordinary Shares outstanding). Each of Point72 Asset Management, Point72 Capital Advisors Inc., and Mr. Cohen disclaims beneficial ownership of any of the securities covered by this statement.</w:t>
      </w:r>
    </w:p>
    <w:p>
      <w:pPr>
        <w:spacing w:after="0" w:line="161" w:lineRule="exact"/>
        <w:rPr>
          <w:sz w:val="20"/>
          <w:szCs w:val="20"/>
          <w:color w:val="auto"/>
        </w:rPr>
      </w:pPr>
    </w:p>
    <w:p>
      <w:pPr>
        <w:ind w:right="3279" w:firstLine="8"/>
        <w:spacing w:after="0" w:line="328" w:lineRule="auto"/>
        <w:tabs>
          <w:tab w:leader="none" w:pos="294"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This calculation is based on 116,495,802 ADSs outstanding as of December 31, 2021, as disclosed on the Issuer’s Investor Share Data website.</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5. </w:t>
      </w:r>
      <w:r>
        <w:rPr>
          <w:rFonts w:ascii="Arial" w:cs="Arial" w:eastAsia="Arial" w:hAnsi="Arial"/>
          <w:sz w:val="22"/>
          <w:szCs w:val="22"/>
          <w:color w:val="auto"/>
        </w:rPr>
        <w:t>Ownership of 5 Percent or Less of a Class.</w:t>
      </w:r>
    </w:p>
    <w:p>
      <w:pPr>
        <w:spacing w:after="0" w:line="233" w:lineRule="exact"/>
        <w:rPr>
          <w:sz w:val="20"/>
          <w:szCs w:val="20"/>
          <w:color w:val="auto"/>
        </w:rPr>
      </w:pPr>
    </w:p>
    <w:p>
      <w:pPr>
        <w:jc w:val="both"/>
        <w:ind w:right="3879"/>
        <w:spacing w:after="0" w:line="297"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5 percent of the class of securities, check the following [].</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6. </w:t>
      </w:r>
      <w:r>
        <w:rPr>
          <w:rFonts w:ascii="Arial" w:cs="Arial" w:eastAsia="Arial" w:hAnsi="Arial"/>
          <w:sz w:val="22"/>
          <w:szCs w:val="22"/>
          <w:color w:val="auto"/>
        </w:rPr>
        <w:t>Ownership of More than 5 Percent on Behalf of Another Person.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15" w:lineRule="exact"/>
        <w:rPr>
          <w:sz w:val="20"/>
          <w:szCs w:val="20"/>
          <w:color w:val="auto"/>
        </w:rPr>
      </w:pPr>
    </w:p>
    <w:p>
      <w:pPr>
        <w:jc w:val="both"/>
        <w:ind w:right="3539"/>
        <w:spacing w:after="0"/>
        <w:rPr>
          <w:sz w:val="20"/>
          <w:szCs w:val="20"/>
          <w:color w:val="auto"/>
        </w:rPr>
      </w:pPr>
      <w:r>
        <w:rPr>
          <w:rFonts w:ascii="Arial" w:cs="Arial" w:eastAsia="Arial" w:hAnsi="Arial"/>
          <w:sz w:val="22"/>
          <w:szCs w:val="22"/>
          <w:i w:val="1"/>
          <w:iCs w:val="1"/>
          <w:color w:val="auto"/>
        </w:rPr>
        <w:t xml:space="preserve">Item 7. </w:t>
      </w:r>
      <w:r>
        <w:rPr>
          <w:rFonts w:ascii="Arial" w:cs="Arial" w:eastAsia="Arial" w:hAnsi="Arial"/>
          <w:sz w:val="22"/>
          <w:szCs w:val="22"/>
          <w:color w:val="auto"/>
        </w:rPr>
        <w:t>Identification and Classification of the Subsidiary Which Acquired</w:t>
      </w:r>
      <w:r>
        <w:rPr>
          <w:rFonts w:ascii="Arial" w:cs="Arial" w:eastAsia="Arial" w:hAnsi="Arial"/>
          <w:sz w:val="22"/>
          <w:szCs w:val="22"/>
          <w:i w:val="1"/>
          <w:iCs w:val="1"/>
          <w:color w:val="auto"/>
        </w:rPr>
        <w:t xml:space="preserve"> </w:t>
      </w:r>
      <w:r>
        <w:rPr>
          <w:rFonts w:ascii="Arial" w:cs="Arial" w:eastAsia="Arial" w:hAnsi="Arial"/>
          <w:sz w:val="22"/>
          <w:szCs w:val="22"/>
          <w:color w:val="auto"/>
        </w:rPr>
        <w:t>the Security Being Reporting on by the Parent Holding Company or Control Person.</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8. </w:t>
      </w:r>
      <w:r>
        <w:rPr>
          <w:rFonts w:ascii="Arial" w:cs="Arial" w:eastAsia="Arial" w:hAnsi="Arial"/>
          <w:sz w:val="22"/>
          <w:szCs w:val="22"/>
          <w:color w:val="auto"/>
        </w:rPr>
        <w:t>Identification and Classification of Members of the Group</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9. </w:t>
      </w:r>
      <w:r>
        <w:rPr>
          <w:rFonts w:ascii="Arial" w:cs="Arial" w:eastAsia="Arial" w:hAnsi="Arial"/>
          <w:sz w:val="22"/>
          <w:szCs w:val="22"/>
          <w:color w:val="auto"/>
        </w:rPr>
        <w:t>Notice of Dissolution of Group.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10. </w:t>
      </w:r>
      <w:r>
        <w:rPr>
          <w:rFonts w:ascii="Arial" w:cs="Arial" w:eastAsia="Arial" w:hAnsi="Arial"/>
          <w:sz w:val="22"/>
          <w:szCs w:val="22"/>
          <w:color w:val="auto"/>
        </w:rPr>
        <w:t>Certifications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 signing below I certify that, to the best of my knowledge and belief,</w:t>
      </w:r>
    </w:p>
    <w:p>
      <w:pPr>
        <w:spacing w:after="0" w:line="8" w:lineRule="exact"/>
        <w:rPr>
          <w:sz w:val="20"/>
          <w:szCs w:val="20"/>
          <w:color w:val="auto"/>
        </w:rPr>
      </w:pPr>
    </w:p>
    <w:p>
      <w:pPr>
        <w:ind w:right="3059"/>
        <w:spacing w:after="0" w:line="266" w:lineRule="auto"/>
        <w:rPr>
          <w:sz w:val="20"/>
          <w:szCs w:val="20"/>
          <w:color w:val="auto"/>
        </w:rPr>
      </w:pPr>
      <w:r>
        <w:rPr>
          <w:rFonts w:ascii="Arial" w:cs="Arial" w:eastAsia="Arial" w:hAnsi="Arial"/>
          <w:sz w:val="19"/>
          <w:szCs w:val="19"/>
          <w:color w:val="auto"/>
        </w:rPr>
        <w:t>the securities referred to above were not acquired and are not held for the purpose of or with the effect of changing or influencing the control of the issuer of</w:t>
      </w:r>
    </w:p>
    <w:p>
      <w:pPr>
        <w:spacing w:after="0" w:line="2" w:lineRule="exact"/>
        <w:rPr>
          <w:sz w:val="20"/>
          <w:szCs w:val="20"/>
          <w:color w:val="auto"/>
        </w:rPr>
      </w:pPr>
    </w:p>
    <w:p>
      <w:pPr>
        <w:jc w:val="both"/>
        <w:ind w:right="3699"/>
        <w:spacing w:after="0" w:line="287" w:lineRule="auto"/>
        <w:rPr>
          <w:sz w:val="20"/>
          <w:szCs w:val="20"/>
          <w:color w:val="auto"/>
        </w:rPr>
      </w:pPr>
      <w:r>
        <w:rPr>
          <w:rFonts w:ascii="Arial" w:cs="Arial" w:eastAsia="Arial" w:hAnsi="Arial"/>
          <w:sz w:val="19"/>
          <w:szCs w:val="19"/>
          <w:color w:val="auto"/>
        </w:rPr>
        <w:t>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6" w:name="page7"/>
    <w:bookmarkEnd w:id="6"/>
    <w:p>
      <w:pPr>
        <w:ind w:right="3179"/>
        <w:spacing w:after="0"/>
        <w:rPr>
          <w:sz w:val="20"/>
          <w:szCs w:val="20"/>
          <w:color w:val="auto"/>
        </w:rPr>
      </w:pPr>
      <w:r>
        <w:rPr>
          <w:rFonts w:ascii="Arial" w:cs="Arial" w:eastAsia="Arial" w:hAnsi="Arial"/>
          <w:sz w:val="22"/>
          <w:szCs w:val="22"/>
          <w:i w:val="1"/>
          <w:iCs w:val="1"/>
          <w:color w:val="auto"/>
        </w:rPr>
        <w:t xml:space="preserve">Signature. </w:t>
      </w:r>
      <w:r>
        <w:rPr>
          <w:rFonts w:ascii="Arial" w:cs="Arial" w:eastAsia="Arial" w:hAnsi="Arial"/>
          <w:sz w:val="22"/>
          <w:szCs w:val="22"/>
          <w:color w:val="auto"/>
        </w:rPr>
        <w:t>After reasonable inquiry and to the best of my knowledge and belief,</w:t>
      </w:r>
      <w:r>
        <w:rPr>
          <w:rFonts w:ascii="Arial" w:cs="Arial" w:eastAsia="Arial" w:hAnsi="Arial"/>
          <w:sz w:val="22"/>
          <w:szCs w:val="22"/>
          <w:i w:val="1"/>
          <w:iCs w:val="1"/>
          <w:color w:val="auto"/>
        </w:rPr>
        <w:t xml:space="preserve"> </w:t>
      </w:r>
      <w:r>
        <w:rPr>
          <w:rFonts w:ascii="Arial" w:cs="Arial" w:eastAsia="Arial" w:hAnsi="Arial"/>
          <w:sz w:val="22"/>
          <w:szCs w:val="22"/>
          <w:color w:val="auto"/>
        </w:rPr>
        <w:t>I certify that the information set forth in this statement is true, complete and correct.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u w:val="single" w:color="auto"/>
          <w:color w:val="auto"/>
        </w:rPr>
        <w:t>February 14, 2022</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POINT72 ASSET MANAGEMENT, L.P.</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Name: Jason M. Colombo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Person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POINT72 CAPITAL ADVISORS, INC.</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Name: Jason M. Colombo</w:t>
      </w:r>
    </w:p>
    <w:p>
      <w:pPr>
        <w:spacing w:after="0" w:line="238" w:lineRule="auto"/>
        <w:rPr>
          <w:sz w:val="20"/>
          <w:szCs w:val="20"/>
          <w:color w:val="auto"/>
        </w:rPr>
      </w:pPr>
      <w:r>
        <w:rPr>
          <w:rFonts w:ascii="Arial" w:cs="Arial" w:eastAsia="Arial" w:hAnsi="Arial"/>
          <w:sz w:val="22"/>
          <w:szCs w:val="22"/>
          <w:color w:val="auto"/>
        </w:rPr>
        <w:t>Title: Authorized Person</w:t>
      </w:r>
    </w:p>
    <w:p>
      <w:pPr>
        <w:spacing w:after="0"/>
        <w:rPr>
          <w:sz w:val="20"/>
          <w:szCs w:val="20"/>
          <w:color w:val="auto"/>
        </w:rPr>
      </w:pPr>
      <w:r>
        <w:rPr>
          <w:rFonts w:ascii="Arial" w:cs="Arial" w:eastAsia="Arial" w:hAnsi="Arial"/>
          <w:sz w:val="22"/>
          <w:szCs w:val="22"/>
          <w:color w:val="auto"/>
        </w:rPr>
        <w:t>STEVEN A. COHEN</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Name: Jason M. Colombo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Person</w:t>
      </w:r>
    </w:p>
    <w:sectPr>
      <w:pgSz w:w="11900" w:h="16838" w:orient="portrait"/>
      <w:cols w:equalWidth="0" w:num="1">
        <w:col w:w="10139"/>
      </w:cols>
      <w:pgMar w:left="32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bullet"/>
      <w:start w:val="1"/>
    </w:lvl>
  </w:abstractNum>
  <w:abstractNum w:abstractNumId="2">
    <w:nsid w:val="216231B"/>
    <w:multiLevelType w:val="hybridMultilevel"/>
    <w:lvl w:ilvl="0">
      <w:lvlJc w:val="left"/>
      <w:lvlText w:val="(%1)"/>
      <w:numFmt w:val="decimal"/>
      <w:start w:val="11"/>
    </w:lvl>
  </w:abstractNum>
  <w:abstractNum w:abstractNumId="3">
    <w:nsid w:val="1F16E9E8"/>
    <w:multiLevelType w:val="hybridMultilevel"/>
    <w:lvl w:ilvl="0">
      <w:lvlJc w:val="left"/>
      <w:lvlText w:val="(%1)"/>
      <w:numFmt w:val="decimal"/>
      <w:start w:val="11"/>
    </w:lvl>
  </w:abstractNum>
  <w:abstractNum w:abstractNumId="4">
    <w:nsid w:val="1190CDE7"/>
    <w:multiLevelType w:val="hybridMultilevel"/>
    <w:lvl w:ilvl="0">
      <w:lvlJc w:val="left"/>
      <w:lvlText w:val="(%1)"/>
      <w:numFmt w:val="decimal"/>
      <w:start w:val="11"/>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1)"/>
      <w:numFmt w:val="lowerLetter"/>
      <w:start w:val="9"/>
    </w:lvl>
  </w:abstractNum>
  <w:abstractNum w:abstractNumId="7">
    <w:nsid w:val="3352255A"/>
    <w:multiLevelType w:val="hybridMultilevel"/>
    <w:lvl w:ilvl="0">
      <w:lvlJc w:val="left"/>
      <w:lvlText w:val="(%1)"/>
      <w:numFmt w:val="lowerLetter"/>
      <w:start w:val="35"/>
    </w:lvl>
  </w:abstractNum>
  <w:abstractNum w:abstractNumId="8">
    <w:nsid w:val="109CF92E"/>
    <w:multiLevelType w:val="hybridMultilevel"/>
    <w:lvl w:ilvl="0">
      <w:lvlJc w:val="left"/>
      <w:lvlText w:val="(%1)"/>
      <w:numFmt w:val="lowerLetter"/>
      <w:start w:val="6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lowerLetter"/>
      <w:start w:val="9"/>
    </w:lvl>
  </w:abstractNum>
  <w:abstractNum w:abstractNumId="11">
    <w:nsid w:val="1BEFD79F"/>
    <w:multiLevelType w:val="hybridMultilevel"/>
    <w:lvl w:ilvl="0">
      <w:lvlJc w:val="left"/>
      <w:lvlText w:val="(%1)"/>
      <w:numFmt w:val="lowerLetter"/>
      <w:start w:val="35"/>
    </w:lvl>
  </w:abstractNum>
  <w:abstractNum w:abstractNumId="12">
    <w:nsid w:val="41A7C4C9"/>
    <w:multiLevelType w:val="hybridMultilevel"/>
    <w:lvl w:ilvl="0">
      <w:lvlJc w:val="left"/>
      <w:lvlText w:val="(%1)"/>
      <w:numFmt w:val="lowerLetter"/>
      <w:start w:val="6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9"/>
    </w:lvl>
  </w:abstractNum>
  <w:abstractNum w:abstractNumId="15">
    <w:nsid w:val="25E45D32"/>
    <w:multiLevelType w:val="hybridMultilevel"/>
    <w:lvl w:ilvl="0">
      <w:lvlJc w:val="left"/>
      <w:lvlText w:val="(%1)"/>
      <w:numFmt w:val="lowerLetter"/>
      <w:start w:val="35"/>
    </w:lvl>
  </w:abstractNum>
  <w:abstractNum w:abstractNumId="16">
    <w:nsid w:val="519B500D"/>
    <w:multiLevelType w:val="hybridMultilevel"/>
    <w:lvl w:ilvl="0">
      <w:lvlJc w:val="left"/>
      <w:lvlText w:val="(%1)"/>
      <w:numFmt w:val="lowerLetter"/>
      <w:start w:val="6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2022-02-14T16:30:08Z</dcterms:created>
  <dcterms:modified xsi:type="dcterms:W3CDTF">2022-02-14T16:30:08Z</dcterms:modified>
</cp:coreProperties>
</file>