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13)*</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16510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Attention: Brian Kleinhaus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212-418-1888</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-130175</wp:posOffset>
            </wp:positionV>
            <wp:extent cx="7012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40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of the Issuer, which are quoted on the Nasdaq Global Market under the symbol "MREO." Each ADR represents 5 Ordinary Shares.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4"/>
          <w:szCs w:val="24"/>
          <w:color w:val="auto"/>
        </w:rPr>
      </w:pPr>
    </w:p>
    <w:p>
      <w:pPr>
        <w:ind w:right="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920" w:type="dxa"/>
            <w:vAlign w:val="bottom"/>
            <w:tcBorders>
              <w:top w:val="single" w:sz="8" w:color="auto"/>
              <w:lef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920" w:type="dxa"/>
            <w:vAlign w:val="bottom"/>
            <w:tcBorders>
              <w:top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26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6 Pages</w:t>
            </w:r>
          </w:p>
        </w:tc>
        <w:tc>
          <w:tcPr>
            <w:tcW w:w="1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tcBorders>
              <w:left w:val="single" w:sz="8" w:color="auto"/>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gridSpan w:val="2"/>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264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4"/>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1</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6000" w:type="dxa"/>
            <w:vAlign w:val="bottom"/>
            <w:gridSpan w:val="4"/>
          </w:tcPr>
          <w:p>
            <w:pPr>
              <w:ind w:left="420"/>
              <w:spacing w:after="0"/>
              <w:rPr>
                <w:sz w:val="20"/>
                <w:szCs w:val="20"/>
                <w:color w:val="auto"/>
              </w:rPr>
            </w:pPr>
            <w:r>
              <w:rPr>
                <w:rFonts w:ascii="Arial" w:cs="Arial" w:eastAsia="Arial" w:hAnsi="Arial"/>
                <w:sz w:val="18"/>
                <w:szCs w:val="18"/>
                <w:color w:val="auto"/>
              </w:rPr>
              <w:t>Rubric Capital Management LP</w:t>
            </w: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6000" w:type="dxa"/>
            <w:vAlign w:val="bottom"/>
            <w:tcBorders>
              <w:bottom w:val="single" w:sz="8" w:color="auto"/>
            </w:tcBorders>
            <w:gridSpan w:val="4"/>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tcPr>
          <w:p>
            <w:pPr>
              <w:spacing w:after="0"/>
              <w:rPr>
                <w:sz w:val="18"/>
                <w:szCs w:val="18"/>
                <w:color w:val="auto"/>
              </w:rPr>
            </w:pPr>
          </w:p>
        </w:tc>
        <w:tc>
          <w:tcPr>
            <w:tcW w:w="1060" w:type="dxa"/>
            <w:vAlign w:val="bottom"/>
            <w:tcBorders>
              <w:right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4"/>
              </w:rPr>
              <w:t>SEC USE ONLY</w:t>
            </w:r>
          </w:p>
        </w:tc>
        <w:tc>
          <w:tcPr>
            <w:tcW w:w="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bottom w:val="single" w:sz="8" w:color="auto"/>
              <w:right w:val="single" w:sz="8" w:color="auto"/>
            </w:tcBorders>
          </w:tcPr>
          <w:p>
            <w:pPr>
              <w:spacing w:after="0"/>
              <w:rPr>
                <w:sz w:val="9"/>
                <w:szCs w:val="9"/>
                <w:color w:val="auto"/>
              </w:rPr>
            </w:pPr>
          </w:p>
        </w:tc>
        <w:tc>
          <w:tcPr>
            <w:tcW w:w="6000" w:type="dxa"/>
            <w:vAlign w:val="bottom"/>
            <w:tcBorders>
              <w:bottom w:val="single" w:sz="8" w:color="auto"/>
            </w:tcBorders>
            <w:gridSpan w:val="4"/>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4</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AF</w:t>
            </w: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8640" w:type="dxa"/>
            <w:vAlign w:val="bottom"/>
            <w:tcBorders>
              <w:bottom w:val="single" w:sz="8" w:color="auto"/>
            </w:tcBorders>
            <w:gridSpan w:val="5"/>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40" w:type="dxa"/>
            <w:vAlign w:val="bottom"/>
            <w:gridSpan w:val="5"/>
          </w:tcPr>
          <w:p>
            <w:pPr>
              <w:ind w:left="100"/>
              <w:spacing w:after="0"/>
              <w:rPr>
                <w:sz w:val="20"/>
                <w:szCs w:val="20"/>
                <w:color w:val="auto"/>
              </w:rPr>
            </w:pPr>
            <w:r>
              <w:rPr>
                <w:rFonts w:ascii="Arial" w:cs="Arial" w:eastAsia="Arial" w:hAnsi="Arial"/>
                <w:sz w:val="18"/>
                <w:szCs w:val="18"/>
                <w:color w:val="auto"/>
                <w:w w:val="96"/>
              </w:rPr>
              <w:t>CHECK BOX IF DISCLOSURE OF LEGAL PROCEEDING IS REQUIRED PURSUANT TO ITEMS 2(d) or 2(e)</w:t>
            </w:r>
          </w:p>
        </w:tc>
        <w:tc>
          <w:tcPr>
            <w:tcW w:w="106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40" w:type="dxa"/>
            <w:vAlign w:val="bottom"/>
            <w:tcBorders>
              <w:left w:val="single" w:sz="8" w:color="auto"/>
              <w:bottom w:val="single" w:sz="8" w:color="auto"/>
              <w:right w:val="single" w:sz="8" w:color="auto"/>
            </w:tcBorders>
          </w:tcPr>
          <w:p>
            <w:pPr>
              <w:spacing w:after="0"/>
              <w:rPr>
                <w:sz w:val="7"/>
                <w:szCs w:val="7"/>
                <w:color w:val="auto"/>
              </w:rPr>
            </w:pPr>
          </w:p>
        </w:tc>
        <w:tc>
          <w:tcPr>
            <w:tcW w:w="6000" w:type="dxa"/>
            <w:vAlign w:val="bottom"/>
            <w:tcBorders>
              <w:bottom w:val="single" w:sz="8" w:color="auto"/>
            </w:tcBorders>
            <w:gridSpan w:val="4"/>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6</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6000" w:type="dxa"/>
            <w:vAlign w:val="bottom"/>
            <w:gridSpan w:val="4"/>
          </w:tcPr>
          <w:p>
            <w:pPr>
              <w:ind w:left="420"/>
              <w:spacing w:after="0"/>
              <w:rPr>
                <w:sz w:val="20"/>
                <w:szCs w:val="20"/>
                <w:color w:val="auto"/>
              </w:rPr>
            </w:pPr>
            <w:r>
              <w:rPr>
                <w:rFonts w:ascii="Arial" w:cs="Arial" w:eastAsia="Arial" w:hAnsi="Arial"/>
                <w:sz w:val="18"/>
                <w:szCs w:val="18"/>
                <w:color w:val="auto"/>
              </w:rPr>
              <w:t>State of Delaware</w:t>
            </w: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2"/>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80" w:type="dxa"/>
            <w:vAlign w:val="bottom"/>
          </w:tcPr>
          <w:p>
            <w:pPr>
              <w:spacing w:after="0"/>
              <w:rPr>
                <w:sz w:val="21"/>
                <w:szCs w:val="21"/>
                <w:color w:val="auto"/>
              </w:rPr>
            </w:pPr>
          </w:p>
        </w:tc>
        <w:tc>
          <w:tcPr>
            <w:tcW w:w="462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ind w:left="36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40" w:type="dxa"/>
            <w:vAlign w:val="bottom"/>
            <w:tcBorders>
              <w:left w:val="single" w:sz="8" w:color="auto"/>
              <w:right w:val="single" w:sz="8" w:color="auto"/>
            </w:tcBorders>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2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6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80" w:type="dxa"/>
            <w:vAlign w:val="bottom"/>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64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540" w:type="dxa"/>
            <w:vAlign w:val="bottom"/>
            <w:tcBorders>
              <w:left w:val="single" w:sz="8" w:color="auto"/>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tcBorders>
              <w:right w:val="single" w:sz="8" w:color="auto"/>
            </w:tcBorders>
            <w:gridSpan w:val="4"/>
          </w:tcPr>
          <w:p>
            <w:pPr>
              <w:ind w:left="360"/>
              <w:spacing w:after="0" w:line="176" w:lineRule="exact"/>
              <w:rPr>
                <w:sz w:val="20"/>
                <w:szCs w:val="20"/>
                <w:color w:val="auto"/>
              </w:rPr>
            </w:pPr>
            <w:r>
              <w:rPr>
                <w:rFonts w:ascii="Arial" w:cs="Arial" w:eastAsia="Arial" w:hAnsi="Arial"/>
                <w:sz w:val="18"/>
                <w:szCs w:val="18"/>
                <w:color w:val="auto"/>
                <w:w w:val="96"/>
              </w:rPr>
              <w:t>99,704,885 Ordinary Shares (including 67,754,885 Ordinary Shares represented by 13,550,977 ADRs)</w:t>
            </w:r>
          </w:p>
        </w:tc>
        <w:tc>
          <w:tcPr>
            <w:tcW w:w="0" w:type="dxa"/>
            <w:vAlign w:val="bottom"/>
          </w:tcPr>
          <w:p>
            <w:pPr>
              <w:spacing w:after="0"/>
              <w:rPr>
                <w:sz w:val="1"/>
                <w:szCs w:val="1"/>
                <w:color w:val="auto"/>
              </w:rPr>
            </w:pPr>
          </w:p>
        </w:tc>
      </w:tr>
      <w:tr>
        <w:trPr>
          <w:trHeight w:val="175"/>
        </w:trPr>
        <w:tc>
          <w:tcPr>
            <w:tcW w:w="154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color w:val="auto"/>
                <w:w w:val="99"/>
              </w:rPr>
              <w:t>BENEFICIALLY</w:t>
            </w:r>
          </w:p>
        </w:tc>
        <w:tc>
          <w:tcPr>
            <w:tcW w:w="1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40" w:type="dxa"/>
            <w:vAlign w:val="bottom"/>
            <w:tcBorders>
              <w:left w:val="single" w:sz="8" w:color="auto"/>
              <w:right w:val="single" w:sz="8" w:color="auto"/>
            </w:tcBorders>
            <w:vMerge w:val="continue"/>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2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64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8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vMerge w:val="continue"/>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540" w:type="dxa"/>
            <w:vAlign w:val="bottom"/>
            <w:tcBorders>
              <w:left w:val="single" w:sz="8" w:color="auto"/>
              <w:right w:val="single" w:sz="8" w:color="auto"/>
            </w:tcBorders>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54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8"/>
                <w:szCs w:val="18"/>
                <w:color w:val="auto"/>
                <w:w w:val="95"/>
              </w:rPr>
              <w:t>PERSON WITH:</w:t>
            </w:r>
          </w:p>
        </w:tc>
        <w:tc>
          <w:tcPr>
            <w:tcW w:w="13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80" w:type="dxa"/>
            <w:vAlign w:val="bottom"/>
          </w:tcPr>
          <w:p>
            <w:pPr>
              <w:spacing w:after="0"/>
              <w:rPr>
                <w:sz w:val="21"/>
                <w:szCs w:val="21"/>
                <w:color w:val="auto"/>
              </w:rPr>
            </w:pPr>
          </w:p>
        </w:tc>
        <w:tc>
          <w:tcPr>
            <w:tcW w:w="462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360"/>
              <w:spacing w:after="0"/>
              <w:rPr>
                <w:sz w:val="20"/>
                <w:szCs w:val="20"/>
                <w:color w:val="auto"/>
              </w:rPr>
            </w:pPr>
            <w:r>
              <w:rPr>
                <w:rFonts w:ascii="Arial" w:cs="Arial" w:eastAsia="Arial" w:hAnsi="Arial"/>
                <w:sz w:val="18"/>
                <w:szCs w:val="18"/>
                <w:color w:val="auto"/>
                <w:w w:val="96"/>
              </w:rPr>
              <w:t>99,704,885 Ordinary Shares (including 67,754,885 Ordinary Shares represented by 13,550,977 ADRs)</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8640" w:type="dxa"/>
            <w:vAlign w:val="bottom"/>
            <w:gridSpan w:val="5"/>
          </w:tcPr>
          <w:p>
            <w:pPr>
              <w:ind w:left="420"/>
              <w:spacing w:after="0"/>
              <w:rPr>
                <w:sz w:val="20"/>
                <w:szCs w:val="20"/>
                <w:color w:val="auto"/>
              </w:rPr>
            </w:pPr>
            <w:r>
              <w:rPr>
                <w:rFonts w:ascii="Arial" w:cs="Arial" w:eastAsia="Arial" w:hAnsi="Arial"/>
                <w:sz w:val="18"/>
                <w:szCs w:val="18"/>
                <w:color w:val="auto"/>
              </w:rPr>
              <w:t>99,704,885 Ordinary Shares (including 67,754,885 Ordinary Shares represented by 13,550,977 ADRs)</w:t>
            </w: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gridSpan w:val="4"/>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4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06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40" w:type="dxa"/>
            <w:vAlign w:val="bottom"/>
            <w:tcBorders>
              <w:left w:val="single" w:sz="8" w:color="auto"/>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700" w:type="dxa"/>
            <w:vAlign w:val="bottom"/>
            <w:tcBorders>
              <w:bottom w:val="single" w:sz="8" w:color="auto"/>
            </w:tcBorders>
            <w:gridSpan w:val="3"/>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1300" w:type="dxa"/>
            <w:vAlign w:val="bottom"/>
          </w:tcPr>
          <w:p>
            <w:pPr>
              <w:ind w:left="42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PN, IA</w:t>
            </w: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1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920" w:type="dxa"/>
            <w:vAlign w:val="bottom"/>
            <w:tcBorders>
              <w:top w:val="single" w:sz="8" w:color="auto"/>
              <w:lef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920" w:type="dxa"/>
            <w:vAlign w:val="bottom"/>
            <w:tcBorders>
              <w:top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26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Page 3 of 6 Pages</w:t>
            </w:r>
          </w:p>
        </w:tc>
        <w:tc>
          <w:tcPr>
            <w:tcW w:w="1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4"/>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1</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w w:val="91"/>
              </w:rPr>
              <w:t>David Rosen</w:t>
            </w: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6000" w:type="dxa"/>
            <w:vAlign w:val="bottom"/>
            <w:tcBorders>
              <w:bottom w:val="single" w:sz="8" w:color="auto"/>
            </w:tcBorders>
            <w:gridSpan w:val="4"/>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tcPr>
          <w:p>
            <w:pPr>
              <w:spacing w:after="0"/>
              <w:rPr>
                <w:sz w:val="18"/>
                <w:szCs w:val="18"/>
                <w:color w:val="auto"/>
              </w:rPr>
            </w:pPr>
          </w:p>
        </w:tc>
        <w:tc>
          <w:tcPr>
            <w:tcW w:w="1060" w:type="dxa"/>
            <w:vAlign w:val="bottom"/>
            <w:tcBorders>
              <w:right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4"/>
              </w:rPr>
              <w:t>SEC USE ONLY</w:t>
            </w:r>
          </w:p>
        </w:tc>
        <w:tc>
          <w:tcPr>
            <w:tcW w:w="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bottom w:val="single" w:sz="8" w:color="auto"/>
              <w:right w:val="single" w:sz="8" w:color="auto"/>
            </w:tcBorders>
          </w:tcPr>
          <w:p>
            <w:pPr>
              <w:spacing w:after="0"/>
              <w:rPr>
                <w:sz w:val="9"/>
                <w:szCs w:val="9"/>
                <w:color w:val="auto"/>
              </w:rPr>
            </w:pPr>
          </w:p>
        </w:tc>
        <w:tc>
          <w:tcPr>
            <w:tcW w:w="6000" w:type="dxa"/>
            <w:vAlign w:val="bottom"/>
            <w:tcBorders>
              <w:bottom w:val="single" w:sz="8" w:color="auto"/>
            </w:tcBorders>
            <w:gridSpan w:val="4"/>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4</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AF</w:t>
            </w: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8640" w:type="dxa"/>
            <w:vAlign w:val="bottom"/>
            <w:tcBorders>
              <w:bottom w:val="single" w:sz="8" w:color="auto"/>
            </w:tcBorders>
            <w:gridSpan w:val="5"/>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40" w:type="dxa"/>
            <w:vAlign w:val="bottom"/>
            <w:gridSpan w:val="5"/>
          </w:tcPr>
          <w:p>
            <w:pPr>
              <w:ind w:left="100"/>
              <w:spacing w:after="0"/>
              <w:rPr>
                <w:sz w:val="20"/>
                <w:szCs w:val="20"/>
                <w:color w:val="auto"/>
              </w:rPr>
            </w:pPr>
            <w:r>
              <w:rPr>
                <w:rFonts w:ascii="Arial" w:cs="Arial" w:eastAsia="Arial" w:hAnsi="Arial"/>
                <w:sz w:val="18"/>
                <w:szCs w:val="18"/>
                <w:color w:val="auto"/>
                <w:w w:val="96"/>
              </w:rPr>
              <w:t>CHECK BOX IF DISCLOSURE OF LEGAL PROCEEDING IS REQUIRED PURSUANT TO ITEMS 2(d) or 2(e)</w:t>
            </w:r>
          </w:p>
        </w:tc>
        <w:tc>
          <w:tcPr>
            <w:tcW w:w="106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40" w:type="dxa"/>
            <w:vAlign w:val="bottom"/>
            <w:tcBorders>
              <w:left w:val="single" w:sz="8" w:color="auto"/>
              <w:bottom w:val="single" w:sz="8" w:color="auto"/>
              <w:right w:val="single" w:sz="8" w:color="auto"/>
            </w:tcBorders>
          </w:tcPr>
          <w:p>
            <w:pPr>
              <w:spacing w:after="0"/>
              <w:rPr>
                <w:sz w:val="7"/>
                <w:szCs w:val="7"/>
                <w:color w:val="auto"/>
              </w:rPr>
            </w:pPr>
          </w:p>
        </w:tc>
        <w:tc>
          <w:tcPr>
            <w:tcW w:w="6000" w:type="dxa"/>
            <w:vAlign w:val="bottom"/>
            <w:tcBorders>
              <w:bottom w:val="single" w:sz="8" w:color="auto"/>
            </w:tcBorders>
            <w:gridSpan w:val="4"/>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6</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6000" w:type="dxa"/>
            <w:vAlign w:val="bottom"/>
            <w:gridSpan w:val="4"/>
          </w:tcPr>
          <w:p>
            <w:pPr>
              <w:ind w:left="420"/>
              <w:spacing w:after="0"/>
              <w:rPr>
                <w:sz w:val="20"/>
                <w:szCs w:val="20"/>
                <w:color w:val="auto"/>
              </w:rPr>
            </w:pPr>
            <w:r>
              <w:rPr>
                <w:rFonts w:ascii="Arial" w:cs="Arial" w:eastAsia="Arial" w:hAnsi="Arial"/>
                <w:sz w:val="18"/>
                <w:szCs w:val="18"/>
                <w:color w:val="auto"/>
              </w:rPr>
              <w:t>United States of America</w:t>
            </w: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2"/>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80" w:type="dxa"/>
            <w:vAlign w:val="bottom"/>
          </w:tcPr>
          <w:p>
            <w:pPr>
              <w:spacing w:after="0"/>
              <w:rPr>
                <w:sz w:val="21"/>
                <w:szCs w:val="21"/>
                <w:color w:val="auto"/>
              </w:rPr>
            </w:pPr>
          </w:p>
        </w:tc>
        <w:tc>
          <w:tcPr>
            <w:tcW w:w="462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ind w:left="36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40" w:type="dxa"/>
            <w:vAlign w:val="bottom"/>
            <w:tcBorders>
              <w:left w:val="single" w:sz="8" w:color="auto"/>
              <w:right w:val="single" w:sz="8" w:color="auto"/>
            </w:tcBorders>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2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6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80" w:type="dxa"/>
            <w:vAlign w:val="bottom"/>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64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540" w:type="dxa"/>
            <w:vAlign w:val="bottom"/>
            <w:tcBorders>
              <w:left w:val="single" w:sz="8" w:color="auto"/>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tcBorders>
              <w:right w:val="single" w:sz="8" w:color="auto"/>
            </w:tcBorders>
            <w:gridSpan w:val="4"/>
          </w:tcPr>
          <w:p>
            <w:pPr>
              <w:ind w:left="360"/>
              <w:spacing w:after="0" w:line="176" w:lineRule="exact"/>
              <w:rPr>
                <w:sz w:val="20"/>
                <w:szCs w:val="20"/>
                <w:color w:val="auto"/>
              </w:rPr>
            </w:pPr>
            <w:r>
              <w:rPr>
                <w:rFonts w:ascii="Arial" w:cs="Arial" w:eastAsia="Arial" w:hAnsi="Arial"/>
                <w:sz w:val="18"/>
                <w:szCs w:val="18"/>
                <w:color w:val="auto"/>
                <w:w w:val="96"/>
              </w:rPr>
              <w:t>99,704,885 Ordinary Shares (including 67,754,885 Ordinary Shares represented by 13,550,977 ADRs)</w:t>
            </w:r>
          </w:p>
        </w:tc>
        <w:tc>
          <w:tcPr>
            <w:tcW w:w="0" w:type="dxa"/>
            <w:vAlign w:val="bottom"/>
          </w:tcPr>
          <w:p>
            <w:pPr>
              <w:spacing w:after="0"/>
              <w:rPr>
                <w:sz w:val="1"/>
                <w:szCs w:val="1"/>
                <w:color w:val="auto"/>
              </w:rPr>
            </w:pPr>
          </w:p>
        </w:tc>
      </w:tr>
      <w:tr>
        <w:trPr>
          <w:trHeight w:val="175"/>
        </w:trPr>
        <w:tc>
          <w:tcPr>
            <w:tcW w:w="154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color w:val="auto"/>
                <w:w w:val="99"/>
              </w:rPr>
              <w:t>BENEFICIALLY</w:t>
            </w:r>
          </w:p>
        </w:tc>
        <w:tc>
          <w:tcPr>
            <w:tcW w:w="1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40" w:type="dxa"/>
            <w:vAlign w:val="bottom"/>
            <w:tcBorders>
              <w:left w:val="single" w:sz="8" w:color="auto"/>
              <w:right w:val="single" w:sz="8" w:color="auto"/>
            </w:tcBorders>
            <w:vMerge w:val="continue"/>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2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64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8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vMerge w:val="continue"/>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540" w:type="dxa"/>
            <w:vAlign w:val="bottom"/>
            <w:tcBorders>
              <w:left w:val="single" w:sz="8" w:color="auto"/>
              <w:right w:val="single" w:sz="8" w:color="auto"/>
            </w:tcBorders>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54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8"/>
                <w:szCs w:val="18"/>
                <w:color w:val="auto"/>
                <w:w w:val="95"/>
              </w:rPr>
              <w:t>PERSON WITH:</w:t>
            </w:r>
          </w:p>
        </w:tc>
        <w:tc>
          <w:tcPr>
            <w:tcW w:w="13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80" w:type="dxa"/>
            <w:vAlign w:val="bottom"/>
          </w:tcPr>
          <w:p>
            <w:pPr>
              <w:spacing w:after="0"/>
              <w:rPr>
                <w:sz w:val="21"/>
                <w:szCs w:val="21"/>
                <w:color w:val="auto"/>
              </w:rPr>
            </w:pPr>
          </w:p>
        </w:tc>
        <w:tc>
          <w:tcPr>
            <w:tcW w:w="462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360"/>
              <w:spacing w:after="0"/>
              <w:rPr>
                <w:sz w:val="20"/>
                <w:szCs w:val="20"/>
                <w:color w:val="auto"/>
              </w:rPr>
            </w:pPr>
            <w:r>
              <w:rPr>
                <w:rFonts w:ascii="Arial" w:cs="Arial" w:eastAsia="Arial" w:hAnsi="Arial"/>
                <w:sz w:val="18"/>
                <w:szCs w:val="18"/>
                <w:color w:val="auto"/>
                <w:w w:val="96"/>
              </w:rPr>
              <w:t>99,704,885 Ordinary Shares (including 67,754,885 Ordinary Shares represented by 13,550,977 ADRs)</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8640" w:type="dxa"/>
            <w:vAlign w:val="bottom"/>
            <w:gridSpan w:val="5"/>
          </w:tcPr>
          <w:p>
            <w:pPr>
              <w:ind w:left="420"/>
              <w:spacing w:after="0"/>
              <w:rPr>
                <w:sz w:val="20"/>
                <w:szCs w:val="20"/>
                <w:color w:val="auto"/>
              </w:rPr>
            </w:pPr>
            <w:r>
              <w:rPr>
                <w:rFonts w:ascii="Arial" w:cs="Arial" w:eastAsia="Arial" w:hAnsi="Arial"/>
                <w:sz w:val="18"/>
                <w:szCs w:val="18"/>
                <w:color w:val="auto"/>
              </w:rPr>
              <w:t>99,704,885 Ordinary Shares (including 67,754,885 Ordinary Shares represented by 13,550,977 ADRs)</w:t>
            </w: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gridSpan w:val="4"/>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4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06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40" w:type="dxa"/>
            <w:vAlign w:val="bottom"/>
            <w:tcBorders>
              <w:left w:val="single" w:sz="8" w:color="auto"/>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700" w:type="dxa"/>
            <w:vAlign w:val="bottom"/>
            <w:tcBorders>
              <w:bottom w:val="single" w:sz="8" w:color="auto"/>
            </w:tcBorders>
            <w:gridSpan w:val="3"/>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1300" w:type="dxa"/>
            <w:vAlign w:val="bottom"/>
          </w:tcPr>
          <w:p>
            <w:pPr>
              <w:ind w:left="42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60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continue"/>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IN</w:t>
            </w: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1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6 Pages</w:t>
            </w:r>
          </w:p>
        </w:tc>
      </w:tr>
      <w:tr>
        <w:trPr>
          <w:trHeight w:val="216"/>
        </w:trPr>
        <w:tc>
          <w:tcPr>
            <w:tcW w:w="384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Schedule 13D amends the Schedule 13D initially filed by the Reporting Persons with the Securities and Exchange Commission on May 26, 2022 with respect to the ordinary shares of stock, par value , £0.003 par value per share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of Mereo BioPharma Group plc, a public limited company under the laws of England and Wales (the “</w:t>
      </w:r>
      <w:r>
        <w:rPr>
          <w:rFonts w:ascii="Arial" w:cs="Arial" w:eastAsia="Arial" w:hAnsi="Arial"/>
          <w:sz w:val="17"/>
          <w:szCs w:val="17"/>
          <w:u w:val="single" w:color="auto"/>
          <w:color w:val="auto"/>
        </w:rPr>
        <w:t>Issuer</w:t>
      </w:r>
      <w:r>
        <w:rPr>
          <w:rFonts w:ascii="Arial" w:cs="Arial" w:eastAsia="Arial" w:hAnsi="Arial"/>
          <w:sz w:val="17"/>
          <w:szCs w:val="17"/>
          <w:color w:val="auto"/>
        </w:rPr>
        <w:t>”), which was subsequently amended on June 9, 2022, June 14, 2022, August 24, 2022, September 23, 2022, October 28, 2022, June 14, 2023, October 31, 2023, November 2, 2023, November 6, 2023, November 8, 2023, November 13, 2023, and November 15, 2023 (collectively, including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INTERESTS IN SECURITIES OF THE ISSUER</w:t>
      </w:r>
    </w:p>
    <w:p>
      <w:pPr>
        <w:spacing w:after="0" w:line="229" w:lineRule="exact"/>
        <w:rPr>
          <w:sz w:val="20"/>
          <w:szCs w:val="20"/>
          <w:color w:val="auto"/>
        </w:rPr>
      </w:pPr>
    </w:p>
    <w:p>
      <w:pPr>
        <w:ind w:left="660" w:right="18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rows (11) and (13) of the cover pages to this Schedule 13D for the aggregate number of Ordinary Shares and percentages of the Ordinary Shares beneficially owned by each of the Reporting Persons. The percentages used in this Schedule 13D are calculated based upon 701,217,089 Ordinary Shares reported to be outstanding as of July 2023 in Exhibit 99.1 and 99.2 attached to the Issuer’s filing on Form 6-K filed with the Securities and Exchange Commission on September 7, 2023.</w:t>
      </w:r>
    </w:p>
    <w:p>
      <w:pPr>
        <w:spacing w:after="0" w:line="187" w:lineRule="exact"/>
        <w:rPr>
          <w:sz w:val="20"/>
          <w:szCs w:val="20"/>
          <w:color w:val="auto"/>
        </w:rPr>
      </w:pPr>
    </w:p>
    <w:p>
      <w:pPr>
        <w:ind w:left="660" w:right="7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 A annexed hereto lists all transactions in the securities of the Issuer by the Reporting Persons during the past 60 days. All such transactions were effected in the open market unless otherwise noted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6 Pages</w:t>
            </w:r>
          </w:p>
        </w:tc>
      </w:tr>
      <w:tr>
        <w:trPr>
          <w:trHeight w:val="216"/>
        </w:trPr>
        <w:tc>
          <w:tcPr>
            <w:tcW w:w="384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28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1000" w:type="dxa"/>
            <w:vAlign w:val="bottom"/>
            <w:tcBorders>
              <w:top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SCHEDULE 13D</w:t>
            </w:r>
          </w:p>
        </w:tc>
        <w:tc>
          <w:tcPr>
            <w:tcW w:w="980" w:type="dxa"/>
            <w:vAlign w:val="bottom"/>
            <w:tcBorders>
              <w:right w:val="single" w:sz="8" w:color="auto"/>
            </w:tcBorders>
          </w:tcPr>
          <w:p>
            <w:pPr>
              <w:spacing w:after="0"/>
              <w:rPr>
                <w:sz w:val="24"/>
                <w:szCs w:val="24"/>
                <w:color w:val="auto"/>
              </w:rPr>
            </w:pPr>
          </w:p>
        </w:tc>
        <w:tc>
          <w:tcPr>
            <w:tcW w:w="15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5"/>
              </w:rPr>
              <w:t>Page 6 of 6 Pages</w:t>
            </w:r>
          </w:p>
        </w:tc>
        <w:tc>
          <w:tcPr>
            <w:tcW w:w="2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vMerge w:val="restart"/>
          </w:tcPr>
          <w:p>
            <w:pPr>
              <w:jc w:val="center"/>
              <w:ind w:right="170"/>
              <w:spacing w:after="0"/>
              <w:rPr>
                <w:sz w:val="20"/>
                <w:szCs w:val="20"/>
                <w:color w:val="auto"/>
              </w:rPr>
            </w:pPr>
            <w:r>
              <w:rPr>
                <w:rFonts w:ascii="Arial" w:cs="Arial" w:eastAsia="Arial" w:hAnsi="Arial"/>
                <w:sz w:val="18"/>
                <w:szCs w:val="18"/>
                <w:b w:val="1"/>
                <w:bCs w:val="1"/>
                <w:color w:val="auto"/>
                <w:w w:val="99"/>
              </w:rPr>
              <w:t>SCHEDULE A</w:t>
            </w:r>
          </w:p>
        </w:tc>
        <w:tc>
          <w:tcPr>
            <w:tcW w:w="98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4"/>
                <w:szCs w:val="24"/>
                <w:color w:val="auto"/>
              </w:rPr>
            </w:pPr>
          </w:p>
        </w:tc>
        <w:tc>
          <w:tcPr>
            <w:tcW w:w="6280" w:type="dxa"/>
            <w:vAlign w:val="bottom"/>
            <w:gridSpan w:val="7"/>
          </w:tcPr>
          <w:p>
            <w:pPr>
              <w:jc w:val="center"/>
              <w:ind w:right="720"/>
              <w:spacing w:after="0"/>
              <w:rPr>
                <w:sz w:val="20"/>
                <w:szCs w:val="20"/>
                <w:color w:val="auto"/>
              </w:rPr>
            </w:pPr>
            <w:r>
              <w:rPr>
                <w:rFonts w:ascii="Arial" w:cs="Arial" w:eastAsia="Arial" w:hAnsi="Arial"/>
                <w:sz w:val="18"/>
                <w:szCs w:val="18"/>
                <w:b w:val="1"/>
                <w:bCs w:val="1"/>
                <w:color w:val="auto"/>
                <w:w w:val="89"/>
              </w:rPr>
              <w:t>Transactions in the Securities of the Issuer During the Past 60 Days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Nature of</w:t>
            </w:r>
          </w:p>
        </w:tc>
        <w:tc>
          <w:tcPr>
            <w:tcW w:w="1000" w:type="dxa"/>
            <w:vAlign w:val="bottom"/>
          </w:tcPr>
          <w:p>
            <w:pPr>
              <w:spacing w:after="0"/>
              <w:rPr>
                <w:sz w:val="16"/>
                <w:szCs w:val="16"/>
                <w:color w:val="auto"/>
              </w:rPr>
            </w:pPr>
          </w:p>
        </w:tc>
        <w:tc>
          <w:tcPr>
            <w:tcW w:w="110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85"/>
              </w:rPr>
              <w:t>Securities</w:t>
            </w:r>
          </w:p>
        </w:tc>
        <w:tc>
          <w:tcPr>
            <w:tcW w:w="7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gridSpan w:val="3"/>
          </w:tcPr>
          <w:p>
            <w:pPr>
              <w:ind w:left="700"/>
              <w:spacing w:after="0" w:line="191" w:lineRule="exact"/>
              <w:rPr>
                <w:sz w:val="20"/>
                <w:szCs w:val="20"/>
                <w:color w:val="auto"/>
              </w:rPr>
            </w:pPr>
            <w:r>
              <w:rPr>
                <w:rFonts w:ascii="Arial" w:cs="Arial" w:eastAsia="Arial" w:hAnsi="Arial"/>
                <w:sz w:val="18"/>
                <w:szCs w:val="18"/>
                <w:b w:val="1"/>
                <w:bCs w:val="1"/>
                <w:color w:val="auto"/>
              </w:rPr>
              <w:t>Price per Security</w:t>
            </w:r>
          </w:p>
        </w:tc>
        <w:tc>
          <w:tcPr>
            <w:tcW w:w="660" w:type="dxa"/>
            <w:vAlign w:val="bottom"/>
          </w:tcPr>
          <w:p>
            <w:pPr>
              <w:spacing w:after="0"/>
              <w:rPr>
                <w:sz w:val="16"/>
                <w:szCs w:val="16"/>
                <w:color w:val="auto"/>
              </w:rPr>
            </w:pPr>
          </w:p>
        </w:tc>
        <w:tc>
          <w:tcPr>
            <w:tcW w:w="2120" w:type="dxa"/>
            <w:vAlign w:val="bottom"/>
            <w:tcBorders>
              <w:right w:val="single" w:sz="8" w:color="auto"/>
            </w:tcBorders>
          </w:tcPr>
          <w:p>
            <w:pPr>
              <w:jc w:val="center"/>
              <w:ind w:right="590"/>
              <w:spacing w:after="0" w:line="191" w:lineRule="exact"/>
              <w:rPr>
                <w:sz w:val="20"/>
                <w:szCs w:val="20"/>
                <w:color w:val="auto"/>
              </w:rPr>
            </w:pPr>
            <w:r>
              <w:rPr>
                <w:rFonts w:ascii="Arial" w:cs="Arial" w:eastAsia="Arial" w:hAnsi="Arial"/>
                <w:sz w:val="18"/>
                <w:szCs w:val="18"/>
                <w:b w:val="1"/>
                <w:bCs w:val="1"/>
                <w:color w:val="auto"/>
                <w:w w:val="91"/>
              </w:rPr>
              <w:t>Date of</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10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89"/>
              </w:rPr>
              <w:t>Purchased/(Sold)</w:t>
            </w:r>
          </w:p>
        </w:tc>
        <w:tc>
          <w:tcPr>
            <w:tcW w:w="7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Purchase/Sale</w:t>
            </w: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1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393,540</w:t>
            </w:r>
          </w:p>
        </w:tc>
        <w:tc>
          <w:tcPr>
            <w:tcW w:w="70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7"/>
                <w:szCs w:val="17"/>
                <w:color w:val="auto"/>
                <w:w w:val="89"/>
              </w:rPr>
              <w:t>2.0671</w:t>
            </w:r>
            <w:r>
              <w:rPr>
                <w:rFonts w:ascii="Arial" w:cs="Arial" w:eastAsia="Arial" w:hAnsi="Arial"/>
                <w:sz w:val="28"/>
                <w:szCs w:val="28"/>
                <w:color w:val="auto"/>
                <w:w w:val="89"/>
                <w:vertAlign w:val="superscript"/>
              </w:rPr>
              <w:t>1</w:t>
            </w:r>
          </w:p>
        </w:tc>
        <w:tc>
          <w:tcPr>
            <w:tcW w:w="9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0"/>
              </w:rPr>
              <w:t>11/16/2023</w:t>
            </w: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1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82,126</w:t>
            </w:r>
          </w:p>
        </w:tc>
        <w:tc>
          <w:tcPr>
            <w:tcW w:w="70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7"/>
                <w:szCs w:val="17"/>
                <w:color w:val="auto"/>
                <w:w w:val="89"/>
              </w:rPr>
              <w:t>2.0777</w:t>
            </w:r>
            <w:r>
              <w:rPr>
                <w:rFonts w:ascii="Arial" w:cs="Arial" w:eastAsia="Arial" w:hAnsi="Arial"/>
                <w:sz w:val="28"/>
                <w:szCs w:val="28"/>
                <w:color w:val="auto"/>
                <w:w w:val="89"/>
                <w:vertAlign w:val="superscript"/>
              </w:rPr>
              <w:t>2</w:t>
            </w:r>
          </w:p>
        </w:tc>
        <w:tc>
          <w:tcPr>
            <w:tcW w:w="9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0"/>
              </w:rPr>
              <w:t>11/17/2023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660" w:firstLine="8"/>
        <w:spacing w:after="0" w:line="234" w:lineRule="auto"/>
        <w:tabs>
          <w:tab w:leader="none" w:pos="112"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$1.995 to $2.08,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43" w:lineRule="exact"/>
        <w:rPr>
          <w:sz w:val="20"/>
          <w:szCs w:val="20"/>
          <w:color w:val="auto"/>
        </w:rPr>
      </w:pPr>
    </w:p>
    <w:p>
      <w:pPr>
        <w:jc w:val="both"/>
        <w:ind w:right="740" w:firstLine="8"/>
        <w:spacing w:after="0" w:line="234" w:lineRule="auto"/>
        <w:tabs>
          <w:tab w:leader="none" w:pos="112"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$2.04 to $2.08,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2023-11-20T07:52:40Z</dcterms:created>
  <dcterms:modified xsi:type="dcterms:W3CDTF">2023-11-20T07:52:40Z</dcterms:modified>
</cp:coreProperties>
</file>