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5180" w:type="dxa"/>
            <w:vAlign w:val="bottom"/>
          </w:tcPr>
          <w:p>
            <w:pPr>
              <w:spacing w:after="0"/>
              <w:rPr>
                <w:sz w:val="20"/>
                <w:szCs w:val="20"/>
                <w:color w:val="auto"/>
              </w:rPr>
            </w:pPr>
          </w:p>
        </w:tc>
      </w:tr>
      <w:tr>
        <w:trPr>
          <w:trHeight w:val="477"/>
        </w:trPr>
        <w:tc>
          <w:tcPr>
            <w:tcW w:w="1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PROSPECTUS SUPPLEMENT</w:t>
            </w:r>
          </w:p>
        </w:tc>
        <w:tc>
          <w:tcPr>
            <w:tcW w:w="5180" w:type="dxa"/>
            <w:vAlign w:val="bottom"/>
          </w:tcPr>
          <w:p>
            <w:pPr>
              <w:jc w:val="right"/>
              <w:spacing w:after="0"/>
              <w:rPr>
                <w:sz w:val="20"/>
                <w:szCs w:val="20"/>
                <w:color w:val="auto"/>
              </w:rPr>
            </w:pPr>
            <w:r>
              <w:rPr>
                <w:rFonts w:ascii="Arial" w:cs="Arial" w:eastAsia="Arial" w:hAnsi="Arial"/>
                <w:sz w:val="18"/>
                <w:szCs w:val="18"/>
                <w:b w:val="1"/>
                <w:bCs w:val="1"/>
                <w:color w:val="auto"/>
              </w:rPr>
              <w:t>Filed Pursuant to Rule 424(b)(5)</w:t>
            </w:r>
          </w:p>
        </w:tc>
      </w:tr>
      <w:tr>
        <w:trPr>
          <w:trHeight w:val="239"/>
        </w:trPr>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(To Prospectus Dated October 21, 2020)</w:t>
            </w:r>
          </w:p>
        </w:tc>
        <w:tc>
          <w:tcPr>
            <w:tcW w:w="5180" w:type="dxa"/>
            <w:vAlign w:val="bottom"/>
          </w:tcPr>
          <w:p>
            <w:pPr>
              <w:jc w:val="right"/>
              <w:spacing w:after="0"/>
              <w:rPr>
                <w:sz w:val="20"/>
                <w:szCs w:val="20"/>
                <w:color w:val="auto"/>
              </w:rPr>
            </w:pPr>
            <w:r>
              <w:rPr>
                <w:rFonts w:ascii="Arial" w:cs="Arial" w:eastAsia="Arial" w:hAnsi="Arial"/>
                <w:sz w:val="18"/>
                <w:szCs w:val="18"/>
                <w:b w:val="1"/>
                <w:bCs w:val="1"/>
                <w:color w:val="auto"/>
              </w:rPr>
              <w:t>Registration No. 333-249341</w:t>
            </w:r>
          </w:p>
        </w:tc>
      </w:tr>
      <w:tr>
        <w:trPr>
          <w:trHeight w:val="169"/>
        </w:trPr>
        <w:tc>
          <w:tcPr>
            <w:tcW w:w="120" w:type="dxa"/>
            <w:vAlign w:val="bottom"/>
          </w:tcPr>
          <w:p>
            <w:pPr>
              <w:spacing w:after="0"/>
              <w:rPr>
                <w:sz w:val="14"/>
                <w:szCs w:val="14"/>
                <w:color w:val="auto"/>
              </w:rPr>
            </w:pPr>
          </w:p>
        </w:tc>
        <w:tc>
          <w:tcPr>
            <w:tcW w:w="5840" w:type="dxa"/>
            <w:vAlign w:val="bottom"/>
            <w:tcBorders>
              <w:bottom w:val="single" w:sz="8" w:color="334998"/>
            </w:tcBorders>
          </w:tcPr>
          <w:p>
            <w:pPr>
              <w:spacing w:after="0"/>
              <w:rPr>
                <w:sz w:val="14"/>
                <w:szCs w:val="14"/>
                <w:color w:val="auto"/>
              </w:rPr>
            </w:pPr>
          </w:p>
        </w:tc>
        <w:tc>
          <w:tcPr>
            <w:tcW w:w="5180" w:type="dxa"/>
            <w:vAlign w:val="bottom"/>
            <w:tcBorders>
              <w:bottom w:val="single" w:sz="8" w:color="334998"/>
            </w:tcBorders>
          </w:tcPr>
          <w:p>
            <w:pPr>
              <w:spacing w:after="0"/>
              <w:rPr>
                <w:sz w:val="14"/>
                <w:szCs w:val="14"/>
                <w:color w:val="auto"/>
              </w:rPr>
            </w:pPr>
          </w:p>
        </w:tc>
      </w:tr>
    </w:tbl>
    <w:p>
      <w:pPr>
        <w:spacing w:after="0" w:line="200" w:lineRule="exact"/>
        <w:rPr>
          <w:sz w:val="24"/>
          <w:szCs w:val="24"/>
          <w:color w:val="auto"/>
        </w:rPr>
      </w:pP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$50,000,000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257175</wp:posOffset>
            </wp:positionV>
            <wp:extent cx="2468880" cy="900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Representing Ordinary Shares</w:t>
      </w:r>
    </w:p>
    <w:p>
      <w:pPr>
        <w:spacing w:after="0" w:line="366" w:lineRule="exact"/>
        <w:rPr>
          <w:sz w:val="24"/>
          <w:szCs w:val="24"/>
          <w:color w:val="auto"/>
        </w:rPr>
      </w:pPr>
    </w:p>
    <w:p>
      <w:pPr>
        <w:ind w:left="120" w:right="160"/>
        <w:spacing w:after="0" w:line="253" w:lineRule="auto"/>
        <w:rPr>
          <w:sz w:val="20"/>
          <w:szCs w:val="20"/>
          <w:color w:val="auto"/>
        </w:rPr>
      </w:pPr>
      <w:r>
        <w:rPr>
          <w:rFonts w:ascii="Arial" w:cs="Arial" w:eastAsia="Arial" w:hAnsi="Arial"/>
          <w:sz w:val="16"/>
          <w:szCs w:val="16"/>
          <w:color w:val="auto"/>
        </w:rPr>
        <w:t>We have entered into a sales agreement with SVB Leerink LLC, or SVB Leerink, relating to the ADSs offered by this prospectus supplement. In accordance with the terms of the sales agreement, we may offer and sell our ADSs having an aggregate offering price of up to $50,000,000 from time to time through SVB Leerink acting as our agent.</w:t>
      </w:r>
    </w:p>
    <w:p>
      <w:pPr>
        <w:spacing w:after="0" w:line="309" w:lineRule="exact"/>
        <w:rPr>
          <w:sz w:val="24"/>
          <w:szCs w:val="24"/>
          <w:color w:val="auto"/>
        </w:rPr>
      </w:pPr>
    </w:p>
    <w:p>
      <w:pPr>
        <w:ind w:left="120" w:right="160"/>
        <w:spacing w:after="0" w:line="260" w:lineRule="auto"/>
        <w:rPr>
          <w:sz w:val="20"/>
          <w:szCs w:val="20"/>
          <w:color w:val="auto"/>
        </w:rPr>
      </w:pPr>
      <w:r>
        <w:rPr>
          <w:rFonts w:ascii="Arial" w:cs="Arial" w:eastAsia="Arial" w:hAnsi="Arial"/>
          <w:sz w:val="16"/>
          <w:szCs w:val="16"/>
          <w:color w:val="auto"/>
        </w:rPr>
        <w:t>Our ADSs are traded on The Nasdaq Global Market, or the Nasdaq, under the symbol “MREO.” On October 22, 2020, the last reported sale price of our ADSs on the Nasdaq was $2.56 per ADS.</w:t>
      </w:r>
    </w:p>
    <w:p>
      <w:pPr>
        <w:spacing w:after="0" w:line="303" w:lineRule="exact"/>
        <w:rPr>
          <w:sz w:val="24"/>
          <w:szCs w:val="24"/>
          <w:color w:val="auto"/>
        </w:rPr>
      </w:pPr>
    </w:p>
    <w:p>
      <w:pPr>
        <w:ind w:left="120" w:right="20"/>
        <w:spacing w:after="0" w:line="250" w:lineRule="auto"/>
        <w:rPr>
          <w:sz w:val="20"/>
          <w:szCs w:val="20"/>
          <w:color w:val="auto"/>
        </w:rPr>
      </w:pPr>
      <w:r>
        <w:rPr>
          <w:rFonts w:ascii="Arial" w:cs="Arial" w:eastAsia="Arial" w:hAnsi="Arial"/>
          <w:sz w:val="16"/>
          <w:szCs w:val="16"/>
          <w:color w:val="auto"/>
        </w:rPr>
        <w:t>Sales of our ADSs, if any, under this prospectus supplement may be made in sales deemed to be “at-the-market” offerings, as defined in Rule 415 promulgated under the Securities Act of 1933, as amended (the “Securities Act”), including sales made directly on the Nasdaq or any other trading market for our common shares. SVB Leerink is not required to sell any specific amount of securities, but will act as our sales agent using commercially reasonable efforts consistent with its normal trading and sales practices, on mutually agreed terms between SVB Leerink and us. There is no arrangement for funds to be received in any escrow, trust or similar arrangement.</w:t>
      </w:r>
    </w:p>
    <w:p>
      <w:pPr>
        <w:spacing w:after="0" w:line="311" w:lineRule="exact"/>
        <w:rPr>
          <w:sz w:val="24"/>
          <w:szCs w:val="24"/>
          <w:color w:val="auto"/>
        </w:rPr>
      </w:pPr>
    </w:p>
    <w:p>
      <w:pPr>
        <w:ind w:left="120" w:right="20"/>
        <w:spacing w:after="0" w:line="249" w:lineRule="auto"/>
        <w:rPr>
          <w:rFonts w:ascii="Arial" w:cs="Arial" w:eastAsia="Arial" w:hAnsi="Arial"/>
          <w:sz w:val="16"/>
          <w:szCs w:val="16"/>
          <w:color w:val="auto"/>
        </w:rPr>
      </w:pPr>
      <w:r>
        <w:rPr>
          <w:rFonts w:ascii="Arial" w:cs="Arial" w:eastAsia="Arial" w:hAnsi="Arial"/>
          <w:sz w:val="16"/>
          <w:szCs w:val="16"/>
          <w:color w:val="auto"/>
        </w:rPr>
        <w:t>The compensation to SVB Leerink for sales of ADSs sold pursuant to the sales agreement will be an amount equal to 3% of the gross proceeds of any ADSs sold under the sales agreement. See “</w:t>
      </w:r>
      <w:hyperlink w:anchor="page20">
        <w:r>
          <w:rPr>
            <w:rFonts w:ascii="Arial" w:cs="Arial" w:eastAsia="Arial" w:hAnsi="Arial"/>
            <w:sz w:val="16"/>
            <w:szCs w:val="16"/>
            <w:u w:val="single" w:color="auto"/>
            <w:color w:val="0000EE"/>
          </w:rPr>
          <w:t>Plan of Distribution</w:t>
        </w:r>
      </w:hyperlink>
      <w:r>
        <w:rPr>
          <w:rFonts w:ascii="Arial" w:cs="Arial" w:eastAsia="Arial" w:hAnsi="Arial"/>
          <w:sz w:val="16"/>
          <w:szCs w:val="16"/>
          <w:color w:val="auto"/>
        </w:rPr>
        <w:t>” beginning on page S-18 for additional information regarding the compensation to be paid to SVB Leerink. In connection with the sale of the ADSs on our behalf, SVB Leerink will be deemed to be an “underwriter” within the meaning of the Securities Act, and the compensation of SVB Leerink will be deemed to be underwriting commissions or discounts. We have also agreed to provide indemnification and contribution to SVB Leerink with respect to certain liabilities, including liabilities under the Securities Act or the Securities Exchange Act of 1934, as amended.</w:t>
      </w:r>
    </w:p>
    <w:p>
      <w:pPr>
        <w:spacing w:after="0" w:line="313" w:lineRule="exact"/>
        <w:rPr>
          <w:sz w:val="24"/>
          <w:szCs w:val="24"/>
          <w:color w:val="auto"/>
        </w:rPr>
      </w:pPr>
    </w:p>
    <w:p>
      <w:pPr>
        <w:ind w:left="120" w:right="20"/>
        <w:spacing w:after="0" w:line="260" w:lineRule="auto"/>
        <w:rPr>
          <w:sz w:val="20"/>
          <w:szCs w:val="20"/>
          <w:color w:val="auto"/>
        </w:rPr>
      </w:pPr>
      <w:r>
        <w:rPr>
          <w:rFonts w:ascii="Arial" w:cs="Arial" w:eastAsia="Arial" w:hAnsi="Arial"/>
          <w:sz w:val="16"/>
          <w:szCs w:val="16"/>
          <w:color w:val="auto"/>
        </w:rPr>
        <w:t>We are both an “emerging growth company” and a “foreign private issuer” as defined under the Securities Act, and, as such, are subject to reduced public company reporting requirements.</w:t>
      </w:r>
    </w:p>
    <w:p>
      <w:pPr>
        <w:spacing w:after="0" w:line="283" w:lineRule="exact"/>
        <w:rPr>
          <w:sz w:val="24"/>
          <w:szCs w:val="24"/>
          <w:color w:val="auto"/>
        </w:rPr>
      </w:pPr>
    </w:p>
    <w:p>
      <w:pPr>
        <w:ind w:left="120" w:right="380"/>
        <w:spacing w:after="0" w:line="286"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ADSs involves a high degree of risk. See “</w:t>
      </w:r>
      <w:hyperlink w:anchor="page10">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on page S-8 of this prospectus supplement and in the documents incorporated by reference into this prospectus supplement concerning factors you should consider before investing in our ADSs.</w:t>
      </w:r>
    </w:p>
    <w:p>
      <w:pPr>
        <w:spacing w:after="0" w:line="284" w:lineRule="exact"/>
        <w:rPr>
          <w:sz w:val="24"/>
          <w:szCs w:val="24"/>
          <w:color w:val="auto"/>
        </w:rPr>
      </w:pPr>
    </w:p>
    <w:p>
      <w:pPr>
        <w:ind w:left="120" w:right="240"/>
        <w:spacing w:after="0" w:line="260" w:lineRule="auto"/>
        <w:rPr>
          <w:sz w:val="20"/>
          <w:szCs w:val="20"/>
          <w:color w:val="auto"/>
        </w:rPr>
      </w:pPr>
      <w:r>
        <w:rPr>
          <w:rFonts w:ascii="Arial" w:cs="Arial" w:eastAsia="Arial" w:hAnsi="Arial"/>
          <w:sz w:val="16"/>
          <w:szCs w:val="16"/>
          <w:color w:val="auto"/>
        </w:rPr>
        <w:t>Neither the U.S.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6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SVB Leerink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329565</wp:posOffset>
            </wp:positionV>
            <wp:extent cx="1817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Prospectus Supplement dated October 23, 2020</w:t>
      </w:r>
    </w:p>
    <w:p>
      <w:pPr>
        <w:sectPr>
          <w:pgSz w:w="11900" w:h="16838" w:orient="portrait"/>
          <w:cols w:equalWidth="0" w:num="1">
            <w:col w:w="11140"/>
          </w:cols>
          <w:pgMar w:left="320" w:top="230"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060" w:type="dxa"/>
            <w:vAlign w:val="bottom"/>
            <w:gridSpan w:val="2"/>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4000" w:type="dxa"/>
            <w:vAlign w:val="bottom"/>
          </w:tcPr>
          <w:p>
            <w:pPr>
              <w:spacing w:after="0"/>
              <w:rPr>
                <w:sz w:val="20"/>
                <w:szCs w:val="20"/>
                <w:color w:val="auto"/>
              </w:rPr>
            </w:pPr>
          </w:p>
        </w:tc>
      </w:tr>
      <w:tr>
        <w:trPr>
          <w:trHeight w:val="513"/>
        </w:trPr>
        <w:tc>
          <w:tcPr>
            <w:tcW w:w="4200" w:type="dxa"/>
            <w:vAlign w:val="bottom"/>
          </w:tcPr>
          <w:p>
            <w:pPr>
              <w:spacing w:after="0"/>
              <w:rPr>
                <w:sz w:val="24"/>
                <w:szCs w:val="24"/>
                <w:color w:val="auto"/>
              </w:rPr>
            </w:pPr>
          </w:p>
        </w:tc>
        <w:tc>
          <w:tcPr>
            <w:tcW w:w="2860" w:type="dxa"/>
            <w:vAlign w:val="bottom"/>
          </w:tcPr>
          <w:p>
            <w:pPr>
              <w:ind w:left="160"/>
              <w:spacing w:after="0"/>
              <w:rPr>
                <w:sz w:val="20"/>
                <w:szCs w:val="20"/>
                <w:color w:val="auto"/>
              </w:rPr>
            </w:pPr>
            <w:r>
              <w:rPr>
                <w:rFonts w:ascii="Arial" w:cs="Arial" w:eastAsia="Arial" w:hAnsi="Arial"/>
                <w:sz w:val="18"/>
                <w:szCs w:val="18"/>
                <w:b w:val="1"/>
                <w:bCs w:val="1"/>
                <w:color w:val="auto"/>
              </w:rPr>
              <w:t>PROSPECTUS SUPPLEMENT</w:t>
            </w:r>
          </w:p>
        </w:tc>
        <w:tc>
          <w:tcPr>
            <w:tcW w:w="4000" w:type="dxa"/>
            <w:vAlign w:val="bottom"/>
          </w:tcPr>
          <w:p>
            <w:pPr>
              <w:spacing w:after="0"/>
              <w:rPr>
                <w:sz w:val="24"/>
                <w:szCs w:val="24"/>
                <w:color w:val="auto"/>
              </w:rPr>
            </w:pPr>
          </w:p>
        </w:tc>
      </w:tr>
      <w:tr>
        <w:trPr>
          <w:trHeight w:val="553"/>
        </w:trPr>
        <w:tc>
          <w:tcPr>
            <w:tcW w:w="7060" w:type="dxa"/>
            <w:vAlign w:val="bottom"/>
            <w:gridSpan w:val="2"/>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400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CAUTIONARY STATEMENT REGARDING FORWARD-LOOKING STATEMENTS</w:t>
              </w:r>
            </w:hyperlink>
          </w:p>
        </w:tc>
        <w:tc>
          <w:tcPr>
            <w:tcW w:w="4000" w:type="dxa"/>
            <w:vAlign w:val="bottom"/>
          </w:tcPr>
          <w:p>
            <w:pPr>
              <w:jc w:val="right"/>
              <w:spacing w:after="0" w:line="202" w:lineRule="exact"/>
              <w:rPr>
                <w:sz w:val="20"/>
                <w:szCs w:val="20"/>
                <w:color w:val="auto"/>
              </w:rPr>
            </w:pPr>
            <w:r>
              <w:rPr>
                <w:rFonts w:ascii="Arial" w:cs="Arial" w:eastAsia="Arial" w:hAnsi="Arial"/>
                <w:sz w:val="18"/>
                <w:szCs w:val="18"/>
                <w:color w:val="auto"/>
              </w:rPr>
              <w:t>S-2</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SUPPLEMENT SUMMARY</w:t>
              </w:r>
            </w:hyperlink>
          </w:p>
        </w:tc>
        <w:tc>
          <w:tcPr>
            <w:tcW w:w="4000" w:type="dxa"/>
            <w:vAlign w:val="bottom"/>
          </w:tcPr>
          <w:p>
            <w:pPr>
              <w:jc w:val="right"/>
              <w:spacing w:after="0" w:line="202" w:lineRule="exact"/>
              <w:rPr>
                <w:sz w:val="20"/>
                <w:szCs w:val="20"/>
                <w:color w:val="auto"/>
              </w:rPr>
            </w:pPr>
            <w:r>
              <w:rPr>
                <w:rFonts w:ascii="Arial" w:cs="Arial" w:eastAsia="Arial" w:hAnsi="Arial"/>
                <w:sz w:val="18"/>
                <w:szCs w:val="18"/>
                <w:color w:val="auto"/>
              </w:rPr>
              <w:t>S-4</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THE OFFERING</w:t>
              </w:r>
            </w:hyperlink>
          </w:p>
        </w:tc>
        <w:tc>
          <w:tcPr>
            <w:tcW w:w="4000" w:type="dxa"/>
            <w:vAlign w:val="bottom"/>
          </w:tcPr>
          <w:p>
            <w:pPr>
              <w:jc w:val="right"/>
              <w:spacing w:after="0" w:line="202" w:lineRule="exact"/>
              <w:rPr>
                <w:sz w:val="20"/>
                <w:szCs w:val="20"/>
                <w:color w:val="auto"/>
              </w:rPr>
            </w:pPr>
            <w:r>
              <w:rPr>
                <w:rFonts w:ascii="Arial" w:cs="Arial" w:eastAsia="Arial" w:hAnsi="Arial"/>
                <w:sz w:val="18"/>
                <w:szCs w:val="18"/>
                <w:color w:val="auto"/>
              </w:rPr>
              <w:t>S-7</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4000" w:type="dxa"/>
            <w:vAlign w:val="bottom"/>
          </w:tcPr>
          <w:p>
            <w:pPr>
              <w:jc w:val="right"/>
              <w:spacing w:after="0" w:line="202" w:lineRule="exact"/>
              <w:rPr>
                <w:sz w:val="20"/>
                <w:szCs w:val="20"/>
                <w:color w:val="auto"/>
              </w:rPr>
            </w:pPr>
            <w:r>
              <w:rPr>
                <w:rFonts w:ascii="Arial" w:cs="Arial" w:eastAsia="Arial" w:hAnsi="Arial"/>
                <w:sz w:val="18"/>
                <w:szCs w:val="18"/>
                <w:color w:val="auto"/>
              </w:rPr>
              <w:t>S-8</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USE OF PROCEEDS</w:t>
              </w:r>
            </w:hyperlink>
          </w:p>
        </w:tc>
        <w:tc>
          <w:tcPr>
            <w:tcW w:w="4000" w:type="dxa"/>
            <w:vAlign w:val="bottom"/>
          </w:tcPr>
          <w:p>
            <w:pPr>
              <w:jc w:val="right"/>
              <w:spacing w:after="0" w:line="202" w:lineRule="exact"/>
              <w:rPr>
                <w:sz w:val="20"/>
                <w:szCs w:val="20"/>
                <w:color w:val="auto"/>
              </w:rPr>
            </w:pPr>
            <w:r>
              <w:rPr>
                <w:rFonts w:ascii="Arial" w:cs="Arial" w:eastAsia="Arial" w:hAnsi="Arial"/>
                <w:sz w:val="18"/>
                <w:szCs w:val="18"/>
                <w:color w:val="auto"/>
              </w:rPr>
              <w:t>S-17</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PLAN OF DISTRIBUTION</w:t>
              </w:r>
            </w:hyperlink>
          </w:p>
        </w:tc>
        <w:tc>
          <w:tcPr>
            <w:tcW w:w="4000" w:type="dxa"/>
            <w:vAlign w:val="bottom"/>
          </w:tcPr>
          <w:p>
            <w:pPr>
              <w:jc w:val="right"/>
              <w:spacing w:after="0" w:line="202" w:lineRule="exact"/>
              <w:rPr>
                <w:sz w:val="20"/>
                <w:szCs w:val="20"/>
                <w:color w:val="auto"/>
              </w:rPr>
            </w:pPr>
            <w:r>
              <w:rPr>
                <w:rFonts w:ascii="Arial" w:cs="Arial" w:eastAsia="Arial" w:hAnsi="Arial"/>
                <w:sz w:val="18"/>
                <w:szCs w:val="18"/>
                <w:color w:val="auto"/>
              </w:rPr>
              <w:t>S-18</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LEGAL MATTERS</w:t>
              </w:r>
            </w:hyperlink>
          </w:p>
        </w:tc>
        <w:tc>
          <w:tcPr>
            <w:tcW w:w="4000" w:type="dxa"/>
            <w:vAlign w:val="bottom"/>
          </w:tcPr>
          <w:p>
            <w:pPr>
              <w:jc w:val="right"/>
              <w:spacing w:after="0" w:line="202" w:lineRule="exact"/>
              <w:rPr>
                <w:sz w:val="20"/>
                <w:szCs w:val="20"/>
                <w:color w:val="auto"/>
              </w:rPr>
            </w:pPr>
            <w:r>
              <w:rPr>
                <w:rFonts w:ascii="Arial" w:cs="Arial" w:eastAsia="Arial" w:hAnsi="Arial"/>
                <w:sz w:val="18"/>
                <w:szCs w:val="18"/>
                <w:color w:val="auto"/>
              </w:rPr>
              <w:t>S-20</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EXPERTS</w:t>
              </w:r>
            </w:hyperlink>
          </w:p>
        </w:tc>
        <w:tc>
          <w:tcPr>
            <w:tcW w:w="4000" w:type="dxa"/>
            <w:vAlign w:val="bottom"/>
          </w:tcPr>
          <w:p>
            <w:pPr>
              <w:jc w:val="right"/>
              <w:spacing w:after="0" w:line="202" w:lineRule="exact"/>
              <w:rPr>
                <w:sz w:val="20"/>
                <w:szCs w:val="20"/>
                <w:color w:val="auto"/>
              </w:rPr>
            </w:pPr>
            <w:r>
              <w:rPr>
                <w:rFonts w:ascii="Arial" w:cs="Arial" w:eastAsia="Arial" w:hAnsi="Arial"/>
                <w:sz w:val="18"/>
                <w:szCs w:val="18"/>
                <w:color w:val="auto"/>
              </w:rPr>
              <w:t>S-20</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WHERE YOU CAN FIND MORE INFORMATION</w:t>
              </w:r>
            </w:hyperlink>
          </w:p>
        </w:tc>
        <w:tc>
          <w:tcPr>
            <w:tcW w:w="4000" w:type="dxa"/>
            <w:vAlign w:val="bottom"/>
          </w:tcPr>
          <w:p>
            <w:pPr>
              <w:jc w:val="right"/>
              <w:spacing w:after="0" w:line="202" w:lineRule="exact"/>
              <w:rPr>
                <w:sz w:val="20"/>
                <w:szCs w:val="20"/>
                <w:color w:val="auto"/>
              </w:rPr>
            </w:pPr>
            <w:r>
              <w:rPr>
                <w:rFonts w:ascii="Arial" w:cs="Arial" w:eastAsia="Arial" w:hAnsi="Arial"/>
                <w:sz w:val="18"/>
                <w:szCs w:val="18"/>
                <w:color w:val="auto"/>
              </w:rPr>
              <w:t>S-21</w:t>
            </w:r>
          </w:p>
        </w:tc>
      </w:tr>
      <w:tr>
        <w:trPr>
          <w:trHeight w:val="217"/>
        </w:trPr>
        <w:tc>
          <w:tcPr>
            <w:tcW w:w="7060" w:type="dxa"/>
            <w:vAlign w:val="bottom"/>
            <w:gridSpan w:val="2"/>
          </w:tcPr>
          <w:p>
            <w:pPr>
              <w:ind w:left="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INCORPORATION BY REFERENCE</w:t>
              </w:r>
            </w:hyperlink>
          </w:p>
        </w:tc>
        <w:tc>
          <w:tcPr>
            <w:tcW w:w="4000" w:type="dxa"/>
            <w:vAlign w:val="bottom"/>
          </w:tcPr>
          <w:p>
            <w:pPr>
              <w:jc w:val="right"/>
              <w:spacing w:after="0"/>
              <w:rPr>
                <w:sz w:val="20"/>
                <w:szCs w:val="20"/>
                <w:color w:val="auto"/>
              </w:rPr>
            </w:pPr>
            <w:r>
              <w:rPr>
                <w:rFonts w:ascii="Arial" w:cs="Arial" w:eastAsia="Arial" w:hAnsi="Arial"/>
                <w:sz w:val="18"/>
                <w:szCs w:val="18"/>
                <w:color w:val="auto"/>
              </w:rPr>
              <w:t>S-22</w:t>
            </w:r>
          </w:p>
        </w:tc>
      </w:tr>
      <w:tr>
        <w:trPr>
          <w:trHeight w:val="338"/>
        </w:trPr>
        <w:tc>
          <w:tcPr>
            <w:tcW w:w="420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0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59"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67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left="300" w:right="60" w:firstLine="426"/>
        <w:spacing w:after="0" w:line="237" w:lineRule="auto"/>
        <w:rPr>
          <w:sz w:val="20"/>
          <w:szCs w:val="20"/>
          <w:color w:val="auto"/>
        </w:rPr>
      </w:pPr>
      <w:r>
        <w:rPr>
          <w:rFonts w:ascii="Arial" w:cs="Arial" w:eastAsia="Arial" w:hAnsi="Arial"/>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more general information, some of which may not apply to this offering. Under this shelf registration process, we may from time to time sell our ADSs having an aggregate offering price of up to $50,000,000 under this prospectus supplement at prices and on terms to be determined by market conditions at the time of the offering.</w:t>
      </w:r>
    </w:p>
    <w:p>
      <w:pPr>
        <w:spacing w:after="0" w:line="205" w:lineRule="exact"/>
        <w:rPr>
          <w:sz w:val="20"/>
          <w:szCs w:val="20"/>
          <w:color w:val="auto"/>
        </w:rPr>
      </w:pPr>
    </w:p>
    <w:p>
      <w:pPr>
        <w:ind w:left="300" w:right="180" w:firstLine="426"/>
        <w:spacing w:after="0" w:line="238" w:lineRule="auto"/>
        <w:rPr>
          <w:sz w:val="20"/>
          <w:szCs w:val="20"/>
          <w:color w:val="auto"/>
        </w:rPr>
      </w:pPr>
      <w:r>
        <w:rPr>
          <w:rFonts w:ascii="Arial" w:cs="Arial" w:eastAsia="Arial" w:hAnsi="Arial"/>
          <w:sz w:val="18"/>
          <w:szCs w:val="18"/>
          <w:color w:val="auto"/>
        </w:rPr>
        <w:t>Before buying any of the ADSs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205" w:lineRule="exact"/>
        <w:rPr>
          <w:sz w:val="20"/>
          <w:szCs w:val="20"/>
          <w:color w:val="auto"/>
        </w:rPr>
      </w:pPr>
    </w:p>
    <w:p>
      <w:pPr>
        <w:ind w:left="300" w:right="140" w:firstLine="426"/>
        <w:spacing w:after="0" w:line="237"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 for example, a document incorporated by reference in this prospectus supplement, the statement in the document having the later date modifies or supersedes the earlier statement.</w:t>
      </w:r>
    </w:p>
    <w:p>
      <w:pPr>
        <w:spacing w:after="0" w:line="205" w:lineRule="exact"/>
        <w:rPr>
          <w:sz w:val="20"/>
          <w:szCs w:val="20"/>
          <w:color w:val="auto"/>
        </w:rPr>
      </w:pPr>
    </w:p>
    <w:p>
      <w:pPr>
        <w:ind w:left="300" w:right="20" w:firstLine="426"/>
        <w:spacing w:after="0" w:line="236"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and any related free writing prospectus filed by us with the SEC. We have not, and SVB Leerink has not, authorized anyone to provide you with different information. If anyone provides you with different or inconsistent information, you should not rely on it.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208" w:lineRule="exact"/>
        <w:rPr>
          <w:sz w:val="20"/>
          <w:szCs w:val="20"/>
          <w:color w:val="auto"/>
        </w:rPr>
      </w:pPr>
    </w:p>
    <w:p>
      <w:pPr>
        <w:ind w:left="300" w:right="520" w:firstLine="426"/>
        <w:spacing w:after="0" w:line="246" w:lineRule="auto"/>
        <w:rPr>
          <w:sz w:val="20"/>
          <w:szCs w:val="20"/>
          <w:color w:val="auto"/>
        </w:rPr>
      </w:pPr>
      <w:r>
        <w:rPr>
          <w:rFonts w:ascii="Arial" w:cs="Arial" w:eastAsia="Arial" w:hAnsi="Arial"/>
          <w:sz w:val="18"/>
          <w:szCs w:val="18"/>
          <w:color w:val="auto"/>
        </w:rPr>
        <w:t>You should also read and consider the information in the documents to which we have referred you in the sections entitled “Where You Can Find More Information” and “Incorporation by Reference” in this prospectus supplement.</w:t>
      </w:r>
    </w:p>
    <w:p>
      <w:pPr>
        <w:spacing w:after="0" w:line="197"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Throughout this prospectus,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5, Inc. (formerly OncoMed Pharmaceuticals, Inc.), Mereo BioPharma Ireland Limited, Mereo US Holdings Inc. and NAVI Subsidiary, Inc. Our consolidated financial statements also treat Mereo BioPharma Group plc Employee Benefit Trust, an employee benefit trust operated by us, as a wholly-owned subsidiary of ours. References in this prospectus to the “Merger” are to the merger of Mereo MergerCo One Inc. and OncoMed Pharmaceuticals, Inc., with OncoMed Pharmaceuticals, Inc. surviving as a wholly-owned subsidiary of Mereo US Holdings Inc., and as an indirect wholly-owned subsidiary of Mereo BioPharma Group plc pursuant to the Agreement and Plan of Merger and Reorganization, dated December 5, 2018, by and among Mereo BioPharma Group plc, Mereo US Holdings Inc., Mereo MergerCo One Inc. and OncoMed Pharmaceuticals,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13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7130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4" w:lineRule="exact"/>
        <w:rPr>
          <w:sz w:val="20"/>
          <w:szCs w:val="20"/>
          <w:color w:val="auto"/>
        </w:rPr>
      </w:pPr>
    </w:p>
    <w:p>
      <w:pPr>
        <w:jc w:val="both"/>
        <w:ind w:left="300" w:right="440" w:firstLine="426"/>
        <w:spacing w:after="0" w:line="261" w:lineRule="auto"/>
        <w:rPr>
          <w:sz w:val="20"/>
          <w:szCs w:val="20"/>
          <w:color w:val="auto"/>
        </w:rPr>
      </w:pPr>
      <w:r>
        <w:rPr>
          <w:rFonts w:ascii="Arial" w:cs="Arial" w:eastAsia="Arial" w:hAnsi="Arial"/>
          <w:sz w:val="17"/>
          <w:szCs w:val="17"/>
          <w:color w:val="auto"/>
        </w:rPr>
        <w:t>This prospectus supplement, the accompanying prospectus and the documents incorporated into it contain statements that constitute forward-looking statements. Many of these forward-looking statements can be identified by the use of forward-looking words such as “anticipate,” “believe,” “could,” “estimate,” “expect,” “intend,” “plan,” “potential” and “should,” among others.</w:t>
      </w:r>
    </w:p>
    <w:p>
      <w:pPr>
        <w:spacing w:after="0" w:line="186" w:lineRule="exact"/>
        <w:rPr>
          <w:sz w:val="20"/>
          <w:szCs w:val="20"/>
          <w:color w:val="auto"/>
        </w:rPr>
      </w:pPr>
    </w:p>
    <w:p>
      <w:pPr>
        <w:ind w:left="300" w:right="20" w:firstLine="426"/>
        <w:spacing w:after="0" w:line="236" w:lineRule="auto"/>
        <w:rPr>
          <w:sz w:val="20"/>
          <w:szCs w:val="20"/>
          <w:color w:val="auto"/>
        </w:rPr>
      </w:pPr>
      <w:r>
        <w:rPr>
          <w:rFonts w:ascii="Arial" w:cs="Arial" w:eastAsia="Arial" w:hAnsi="Arial"/>
          <w:sz w:val="18"/>
          <w:szCs w:val="18"/>
          <w:color w:val="auto"/>
        </w:rPr>
        <w:t>Forward-looking statements appear in a number of places in this prospectus supplement, the accompanying prospectus and the documents incorporated into it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1120" w:right="280" w:hanging="407"/>
        <w:spacing w:after="0" w:line="218" w:lineRule="auto"/>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1"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benefits of our product candidates and their competitive position;</w:t>
      </w:r>
    </w:p>
    <w:p>
      <w:pPr>
        <w:spacing w:after="0" w:line="26" w:lineRule="exact"/>
        <w:rPr>
          <w:rFonts w:ascii="MS PGothic" w:cs="MS PGothic" w:eastAsia="MS PGothic" w:hAnsi="MS PGothic"/>
          <w:sz w:val="25"/>
          <w:szCs w:val="25"/>
          <w:color w:val="auto"/>
          <w:vertAlign w:val="superscript"/>
        </w:rPr>
      </w:pPr>
    </w:p>
    <w:p>
      <w:pPr>
        <w:ind w:left="1120" w:right="140" w:hanging="407"/>
        <w:spacing w:after="0" w:line="218" w:lineRule="auto"/>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partner or sell our two product candidates, acumapimod for the treatment of AECOPD and leflutrozole for the treatment of infertility and HH in obese men, on attractive terms or at all;</w:t>
      </w:r>
    </w:p>
    <w:p>
      <w:pPr>
        <w:spacing w:after="0" w:line="27" w:lineRule="exact"/>
        <w:rPr>
          <w:rFonts w:ascii="MS PGothic" w:cs="MS PGothic" w:eastAsia="MS PGothic" w:hAnsi="MS PGothic"/>
          <w:sz w:val="25"/>
          <w:szCs w:val="25"/>
          <w:color w:val="auto"/>
          <w:vertAlign w:val="superscript"/>
        </w:rPr>
      </w:pPr>
    </w:p>
    <w:p>
      <w:pPr>
        <w:ind w:left="1120" w:hanging="407"/>
        <w:spacing w:after="0" w:line="218" w:lineRule="auto"/>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1"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6" w:lineRule="exact"/>
        <w:rPr>
          <w:rFonts w:ascii="MS PGothic" w:cs="MS PGothic" w:eastAsia="MS PGothic" w:hAnsi="MS PGothic"/>
          <w:sz w:val="25"/>
          <w:szCs w:val="25"/>
          <w:color w:val="auto"/>
          <w:vertAlign w:val="superscript"/>
        </w:rPr>
      </w:pPr>
    </w:p>
    <w:p>
      <w:pPr>
        <w:ind w:left="1120" w:right="60" w:hanging="407"/>
        <w:spacing w:after="0" w:line="218" w:lineRule="auto"/>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volatility in the price of our ordinary shares and ADSs if the shares sold through our recent private placements are sold on the market;</w:t>
      </w:r>
    </w:p>
    <w:p>
      <w:pPr>
        <w:spacing w:after="0" w:line="1"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being subject to ongoing regulatory obligations if our products secure regulatory approval;</w:t>
      </w:r>
    </w:p>
    <w:p>
      <w:pPr>
        <w:spacing w:after="0" w:line="26" w:lineRule="exact"/>
        <w:rPr>
          <w:rFonts w:ascii="MS PGothic" w:cs="MS PGothic" w:eastAsia="MS PGothic" w:hAnsi="MS PGothic"/>
          <w:sz w:val="25"/>
          <w:szCs w:val="25"/>
          <w:color w:val="auto"/>
          <w:vertAlign w:val="superscript"/>
        </w:rPr>
      </w:pPr>
    </w:p>
    <w:p>
      <w:pPr>
        <w:ind w:left="1120" w:right="540" w:hanging="407"/>
        <w:spacing w:after="0" w:line="218" w:lineRule="auto"/>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1"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patient market size of any diseases and market adoption of our products by physicians and patients;</w:t>
      </w:r>
    </w:p>
    <w:p>
      <w:pPr>
        <w:spacing w:after="0" w:line="26" w:lineRule="exact"/>
        <w:rPr>
          <w:rFonts w:ascii="MS PGothic" w:cs="MS PGothic" w:eastAsia="MS PGothic" w:hAnsi="MS PGothic"/>
          <w:sz w:val="25"/>
          <w:szCs w:val="25"/>
          <w:color w:val="auto"/>
          <w:vertAlign w:val="superscript"/>
        </w:rPr>
      </w:pPr>
    </w:p>
    <w:p>
      <w:pPr>
        <w:ind w:left="1120" w:hanging="407"/>
        <w:spacing w:after="0" w:line="205" w:lineRule="auto"/>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6" w:lineRule="exact"/>
        <w:rPr>
          <w:rFonts w:ascii="MS PGothic" w:cs="MS PGothic" w:eastAsia="MS PGothic" w:hAnsi="MS PGothic"/>
          <w:sz w:val="25"/>
          <w:szCs w:val="25"/>
          <w:color w:val="auto"/>
          <w:vertAlign w:val="superscript"/>
        </w:rPr>
      </w:pPr>
    </w:p>
    <w:p>
      <w:pPr>
        <w:ind w:left="1120" w:hanging="407"/>
        <w:spacing w:after="0" w:line="205" w:lineRule="auto"/>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6" w:lineRule="exact"/>
        <w:rPr>
          <w:rFonts w:ascii="MS PGothic" w:cs="MS PGothic" w:eastAsia="MS PGothic" w:hAnsi="MS PGothic"/>
          <w:sz w:val="25"/>
          <w:szCs w:val="25"/>
          <w:color w:val="auto"/>
          <w:vertAlign w:val="superscript"/>
        </w:rPr>
      </w:pPr>
    </w:p>
    <w:p>
      <w:pPr>
        <w:ind w:left="1120" w:right="20" w:hanging="407"/>
        <w:spacing w:after="0" w:line="218" w:lineRule="auto"/>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COVID-19 pandemic and the associated disruptions that could materially impact our business including planned clinical developments and our ongoing clinical studies;</w:t>
      </w:r>
    </w:p>
    <w:p>
      <w:pPr>
        <w:spacing w:after="0" w:line="27" w:lineRule="exact"/>
        <w:rPr>
          <w:rFonts w:ascii="MS PGothic" w:cs="MS PGothic" w:eastAsia="MS PGothic" w:hAnsi="MS PGothic"/>
          <w:sz w:val="25"/>
          <w:szCs w:val="25"/>
          <w:color w:val="auto"/>
          <w:vertAlign w:val="superscript"/>
        </w:rPr>
      </w:pPr>
    </w:p>
    <w:p>
      <w:pPr>
        <w:ind w:left="1120" w:right="220" w:hanging="407"/>
        <w:spacing w:after="0" w:line="218" w:lineRule="auto"/>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United Kingdom’s withdrawal from the European Union could lead to increased market volatility, make it more difficult for us to do business in Europe or have other adverse effects on our business;</w:t>
      </w:r>
    </w:p>
    <w:p>
      <w:pPr>
        <w:spacing w:after="0" w:line="1"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key personnel and recruit additional qualified personnel;</w:t>
      </w:r>
    </w:p>
    <w:p>
      <w:pPr>
        <w:spacing w:after="0" w:line="26" w:lineRule="exact"/>
        <w:rPr>
          <w:rFonts w:ascii="MS PGothic" w:cs="MS PGothic" w:eastAsia="MS PGothic" w:hAnsi="MS PGothic"/>
          <w:sz w:val="25"/>
          <w:szCs w:val="25"/>
          <w:color w:val="auto"/>
          <w:vertAlign w:val="superscript"/>
        </w:rPr>
      </w:pPr>
    </w:p>
    <w:p>
      <w:pPr>
        <w:ind w:left="1120" w:hanging="407"/>
        <w:spacing w:after="0" w:line="205" w:lineRule="auto"/>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manage growth;</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744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17443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120" w:hanging="407"/>
        <w:spacing w:after="0"/>
        <w:tabs>
          <w:tab w:leader="none" w:pos="112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integrate and realize the benefits of our past or future strategic acquisitions or investments; and</w:t>
      </w:r>
    </w:p>
    <w:p>
      <w:pPr>
        <w:spacing w:after="0" w:line="26" w:lineRule="exact"/>
        <w:rPr>
          <w:rFonts w:ascii="MS PGothic" w:cs="MS PGothic" w:eastAsia="MS PGothic" w:hAnsi="MS PGothic"/>
          <w:sz w:val="25"/>
          <w:szCs w:val="25"/>
          <w:color w:val="auto"/>
          <w:vertAlign w:val="superscript"/>
        </w:rPr>
      </w:pPr>
    </w:p>
    <w:p>
      <w:pPr>
        <w:ind w:left="1120" w:hanging="407"/>
        <w:spacing w:after="0" w:line="205" w:lineRule="auto"/>
        <w:tabs>
          <w:tab w:leader="none" w:pos="112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 factors discussed under “Risk Factors.”</w:t>
      </w:r>
    </w:p>
    <w:p>
      <w:pPr>
        <w:spacing w:after="0" w:line="202" w:lineRule="exact"/>
        <w:rPr>
          <w:sz w:val="20"/>
          <w:szCs w:val="20"/>
          <w:color w:val="auto"/>
        </w:rPr>
      </w:pPr>
    </w:p>
    <w:p>
      <w:pPr>
        <w:jc w:val="both"/>
        <w:ind w:left="300" w:firstLine="426"/>
        <w:spacing w:after="0"/>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3" w:lineRule="exact"/>
        <w:rPr>
          <w:sz w:val="20"/>
          <w:szCs w:val="20"/>
          <w:color w:val="auto"/>
        </w:rPr>
      </w:pPr>
    </w:p>
    <w:p>
      <w:pPr>
        <w:ind w:left="300" w:right="280" w:firstLine="426"/>
        <w:spacing w:after="0" w:line="238" w:lineRule="auto"/>
        <w:rPr>
          <w:sz w:val="20"/>
          <w:szCs w:val="20"/>
          <w:color w:val="auto"/>
        </w:rPr>
      </w:pPr>
      <w:r>
        <w:rPr>
          <w:rFonts w:ascii="Arial" w:cs="Arial" w:eastAsia="Arial" w:hAnsi="Arial"/>
          <w:sz w:val="18"/>
          <w:szCs w:val="18"/>
          <w:color w:val="auto"/>
        </w:rPr>
        <w:t>You should read this prospectus supplement, the accompanying prospectus and the documents that we incorporate by reference in this prospectus supplement, the accompanying prospectus and have filed as exhibits to the registration statement, of which this prospectus supplement is a part,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880"/>
          </w:cols>
          <w:pgMar w:left="320" w:top="459" w:right="6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41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300" w:right="20" w:firstLine="426"/>
        <w:spacing w:after="0" w:line="242"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or incorporated by reference herein. This summary may not contain all the information that may be important to you, and we urge you to read this entire prospectus supplement carefully, including the risks related to our business, our industry, investing in our ordinary shares, that we describe under “Risk Factors” and our consolidated financial statements, including the notes thereto, included and incorporated by reference in this prospectus supplement, before deciding to invest in our ADSs.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6" w:lineRule="exact"/>
        <w:rPr>
          <w:sz w:val="20"/>
          <w:szCs w:val="20"/>
          <w:color w:val="auto"/>
        </w:rPr>
      </w:pPr>
    </w:p>
    <w:p>
      <w:pPr>
        <w:ind w:left="300" w:right="20" w:firstLine="426"/>
        <w:spacing w:after="0" w:line="236"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therapeutics that aim to improve outcomes for oncology and rare diseases. We have developed a portfolio of six clinical stage product candidates. Our lead oncology product candidate, etigilimab (“Anti-TIGIT”), has completed a Phase 1a dose escalation clinical trial in patients with advanced solid tumors and has been evaluated in a Phase 1b study in combination with nivolumab in select tumor types. Our second oncology product, navicixizumab, for the treatment of late line ovarian cancer, has completed a Phase 1 study and has been partnered with OncXerna Therapeutics, Inc., formerly Oncologie, Inc. Our rare disease product candidates are setrusumab for the treatment of OI and alvelestat for the treatment of severe AATD which is being investigated in an ongoing Phase 2 proof-of-concept study in the U.S. and Europe and expect to report top line data from this study in the second half of 2021. The FDA recently granted Rare Pediatric Disease designation to setrusumab for the treatment of OI. Following the completion of our Phase 2b ASTEROID study, both the FDA and the European Medicines Agency (“EMA”) have agreed on the principles of a design of a single Phase 3 pivotal pediatric study in OI and we plan to form a strategic partnership for the development of setrusumab prior to the initiation of a Phase 3 study.</w:t>
      </w:r>
    </w:p>
    <w:p>
      <w:pPr>
        <w:spacing w:after="0" w:line="204" w:lineRule="exact"/>
        <w:rPr>
          <w:sz w:val="20"/>
          <w:szCs w:val="20"/>
          <w:color w:val="auto"/>
        </w:rPr>
      </w:pPr>
    </w:p>
    <w:p>
      <w:pPr>
        <w:ind w:left="300" w:right="140" w:firstLine="426"/>
        <w:spacing w:after="0" w:line="238" w:lineRule="auto"/>
        <w:rPr>
          <w:sz w:val="20"/>
          <w:szCs w:val="20"/>
          <w:color w:val="auto"/>
        </w:rPr>
      </w:pPr>
      <w:r>
        <w:rPr>
          <w:rFonts w:ascii="Arial" w:cs="Arial" w:eastAsia="Arial" w:hAnsi="Arial"/>
          <w:sz w:val="18"/>
          <w:szCs w:val="18"/>
          <w:color w:val="auto"/>
        </w:rPr>
        <w:t>We plan to develop our product candidates for oncology and rare diseases through the next key clinical milestone and then partner or in selected cases to develop through regulatory approval and potentially commercialization. We plan to partner or sell our other two product candidates (which do not target oncology or rare diseases), acumapimod for the treatment of AECOPD and leflutrozole for the treatment of infertility and HH in obese men, recognizing the need for greater resources to take these product candidates to market.</w:t>
      </w:r>
    </w:p>
    <w:p>
      <w:pPr>
        <w:spacing w:after="0" w:line="202"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Our strategy is selectively to acquire and develop product candidates for oncology and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through asset purchases or exclusive licenses of certain intellectual property rights, six clinical-stage product candidates four of which were in oncology and rare diseases. We acquired four of these six clinical-stage product candidates from large pharmaceutical companies and acquired two in the Merger. We aim to efficiently develop our product candidates through the clinic and have commenced or completed large, randomized Phase 2 clinical trials for four of our product candidates.</w:t>
      </w:r>
    </w:p>
    <w:p>
      <w:pPr>
        <w:spacing w:after="0" w:line="203" w:lineRule="exact"/>
        <w:rPr>
          <w:sz w:val="20"/>
          <w:szCs w:val="20"/>
          <w:color w:val="auto"/>
        </w:rPr>
      </w:pPr>
    </w:p>
    <w:p>
      <w:pPr>
        <w:ind w:left="300" w:right="60" w:firstLine="426"/>
        <w:spacing w:after="0" w:line="238" w:lineRule="auto"/>
        <w:rPr>
          <w:sz w:val="20"/>
          <w:szCs w:val="20"/>
          <w:color w:val="auto"/>
        </w:rPr>
      </w:pPr>
      <w:r>
        <w:rPr>
          <w:rFonts w:ascii="Arial" w:cs="Arial" w:eastAsia="Arial" w:hAnsi="Arial"/>
          <w:sz w:val="18"/>
          <w:szCs w:val="18"/>
          <w:color w:val="auto"/>
        </w:rPr>
        <w:t>Oncology and 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oncology and rare diseases both involve close collaboration with key opinion leaders and investigators. Development of rare disease products generally involves close coordination with the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00"/>
          </w:cols>
          <w:pgMar w:left="320" w:top="459" w:right="6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590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25907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700"/>
        <w:spacing w:after="0" w:line="246" w:lineRule="auto"/>
        <w:rPr>
          <w:sz w:val="20"/>
          <w:szCs w:val="20"/>
          <w:color w:val="auto"/>
        </w:rPr>
      </w:pPr>
      <w:r>
        <w:rPr>
          <w:rFonts w:ascii="Arial" w:cs="Arial" w:eastAsia="Arial" w:hAnsi="Arial"/>
          <w:sz w:val="18"/>
          <w:szCs w:val="18"/>
          <w:color w:val="auto"/>
        </w:rPr>
        <w:t>patient organizations and patients are treated at a limited number of specialized sites which helps identification of the patient population and enables a small targeted sales infrastructure to commercialize the products in key markets.</w:t>
      </w:r>
    </w:p>
    <w:p>
      <w:pPr>
        <w:spacing w:after="0" w:line="197"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7"/>
          <w:szCs w:val="17"/>
          <w:color w:val="auto"/>
        </w:rPr>
        <w:t>Our team has extensive experience in the pharmaceutical and biotechnology sector in the identification, acquisition, development, manufacturing and commercialization of product candidates in multiple therapeutic areas. Our senior management has long-standing relationships with senior executives of large pharmaceutical and biotechnology companies which we believe enhances our ability to form strategic partnerships on our product candidates and to identify and acquire additional product candidates.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w:t>
      </w:r>
    </w:p>
    <w:p>
      <w:pPr>
        <w:spacing w:after="0" w:line="126" w:lineRule="exact"/>
        <w:rPr>
          <w:sz w:val="20"/>
          <w:szCs w:val="20"/>
          <w:color w:val="auto"/>
        </w:rPr>
      </w:pPr>
    </w:p>
    <w:p>
      <w:pPr>
        <w:ind w:left="300" w:right="100" w:firstLine="426"/>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(the “JOBS Act”). As an emerging growth company we have chosen to take advantage of certain exemptions from various reporting requirements that are applicable to other publicly traded entities that are not emerging growth companies. These exemptions include:</w:t>
      </w:r>
    </w:p>
    <w:p>
      <w:pPr>
        <w:spacing w:after="0" w:line="72" w:lineRule="exact"/>
        <w:rPr>
          <w:sz w:val="20"/>
          <w:szCs w:val="20"/>
          <w:color w:val="auto"/>
        </w:rPr>
      </w:pPr>
    </w:p>
    <w:p>
      <w:pPr>
        <w:ind w:left="1120" w:hanging="407"/>
        <w:spacing w:after="0"/>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6" w:lineRule="exact"/>
        <w:rPr>
          <w:rFonts w:ascii="MS PGothic" w:cs="MS PGothic" w:eastAsia="MS PGothic" w:hAnsi="MS PGothic"/>
          <w:sz w:val="25"/>
          <w:szCs w:val="25"/>
          <w:color w:val="auto"/>
          <w:vertAlign w:val="superscript"/>
        </w:rPr>
      </w:pPr>
    </w:p>
    <w:p>
      <w:pPr>
        <w:ind w:left="1120" w:hanging="407"/>
        <w:spacing w:after="0" w:line="223"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8" w:lineRule="exact"/>
        <w:rPr>
          <w:rFonts w:ascii="MS PGothic" w:cs="MS PGothic" w:eastAsia="MS PGothic" w:hAnsi="MS PGothic"/>
          <w:sz w:val="25"/>
          <w:szCs w:val="25"/>
          <w:color w:val="auto"/>
          <w:vertAlign w:val="superscript"/>
        </w:rPr>
      </w:pPr>
    </w:p>
    <w:p>
      <w:pPr>
        <w:ind w:left="1120" w:right="100" w:hanging="407"/>
        <w:spacing w:after="0" w:line="218"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shareholder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1120" w:right="360" w:hanging="407"/>
        <w:spacing w:after="0" w:line="223"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4" w:lineRule="exact"/>
        <w:rPr>
          <w:sz w:val="20"/>
          <w:szCs w:val="20"/>
          <w:color w:val="auto"/>
        </w:rPr>
      </w:pPr>
    </w:p>
    <w:p>
      <w:pPr>
        <w:ind w:left="300" w:right="140" w:firstLine="426"/>
        <w:spacing w:after="0" w:line="234" w:lineRule="auto"/>
        <w:rPr>
          <w:sz w:val="20"/>
          <w:szCs w:val="20"/>
          <w:color w:val="auto"/>
        </w:rPr>
      </w:pPr>
      <w:r>
        <w:rPr>
          <w:rFonts w:ascii="Arial" w:cs="Arial" w:eastAsia="Arial" w:hAnsi="Arial"/>
          <w:sz w:val="18"/>
          <w:szCs w:val="18"/>
          <w:color w:val="auto"/>
        </w:rPr>
        <w:t>We may take advantage of these provisions until the earliest of: (i) the last day of the first fiscal year in which our annual gross revenues exceed $1.07 billion; (ii) the last day of 2024; (iii) the date that we become a “large accelerated filer” as defined in Rule 12b-2 under the Exchange Act, which would occur if the market value of our common equity held by non-affiliates exceeds</w:t>
      </w:r>
    </w:p>
    <w:p>
      <w:pPr>
        <w:spacing w:after="0" w:line="2" w:lineRule="exact"/>
        <w:rPr>
          <w:sz w:val="20"/>
          <w:szCs w:val="20"/>
          <w:color w:val="auto"/>
        </w:rPr>
      </w:pPr>
    </w:p>
    <w:p>
      <w:pPr>
        <w:ind w:left="300" w:right="500"/>
        <w:spacing w:after="0" w:line="246" w:lineRule="auto"/>
        <w:rPr>
          <w:sz w:val="20"/>
          <w:szCs w:val="20"/>
          <w:color w:val="auto"/>
        </w:rPr>
      </w:pPr>
      <w:r>
        <w:rPr>
          <w:rFonts w:ascii="Arial" w:cs="Arial" w:eastAsia="Arial" w:hAnsi="Arial"/>
          <w:sz w:val="18"/>
          <w:szCs w:val="18"/>
          <w:color w:val="auto"/>
        </w:rPr>
        <w:t>$700 million as of the last business day of our most recently completed second fiscal quarter; or (iv) the date on which we have issued more than $1.0 billion in non-convertible debt securities during any three-year period.</w:t>
      </w:r>
    </w:p>
    <w:p>
      <w:pPr>
        <w:spacing w:after="0" w:line="197" w:lineRule="exact"/>
        <w:rPr>
          <w:sz w:val="20"/>
          <w:szCs w:val="20"/>
          <w:color w:val="auto"/>
        </w:rPr>
      </w:pPr>
    </w:p>
    <w:p>
      <w:pPr>
        <w:ind w:left="300" w:right="160" w:firstLine="426"/>
        <w:spacing w:after="0" w:line="246" w:lineRule="auto"/>
        <w:rPr>
          <w:sz w:val="20"/>
          <w:szCs w:val="20"/>
          <w:color w:val="auto"/>
        </w:rPr>
      </w:pPr>
      <w:r>
        <w:rPr>
          <w:rFonts w:ascii="Arial" w:cs="Arial" w:eastAsia="Arial" w:hAnsi="Arial"/>
          <w:sz w:val="18"/>
          <w:szCs w:val="18"/>
          <w:color w:val="auto"/>
        </w:rPr>
        <w:t>As a result, we do not know if some investors will find our ADSs less attractive. The result may be a less active trading market for our ADSs, and the price of our ADSs may become more volatile.</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Private Issuer</w:t>
      </w:r>
    </w:p>
    <w:p>
      <w:pPr>
        <w:spacing w:after="0" w:line="126" w:lineRule="exact"/>
        <w:rPr>
          <w:sz w:val="20"/>
          <w:szCs w:val="20"/>
          <w:color w:val="auto"/>
        </w:rPr>
      </w:pPr>
    </w:p>
    <w:p>
      <w:pPr>
        <w:ind w:left="300" w:right="40" w:firstLine="426"/>
        <w:spacing w:after="0" w:line="246" w:lineRule="auto"/>
        <w:rPr>
          <w:sz w:val="20"/>
          <w:szCs w:val="20"/>
          <w:color w:val="auto"/>
        </w:rPr>
      </w:pPr>
      <w:r>
        <w:rPr>
          <w:rFonts w:ascii="Arial" w:cs="Arial" w:eastAsia="Arial" w:hAnsi="Arial"/>
          <w:sz w:val="18"/>
          <w:szCs w:val="18"/>
          <w:color w:val="auto"/>
        </w:rPr>
        <w:t>We report under the Exchange Act as a non-U.S. company with foreign private issuer status. Even after we no longer qualify as an emerging growth company, as long as we qualify as a foreign private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880"/>
          </w:cols>
          <w:pgMar w:left="320" w:top="459" w:right="6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01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38017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260"/>
        <w:spacing w:after="0" w:line="246" w:lineRule="auto"/>
        <w:rPr>
          <w:sz w:val="20"/>
          <w:szCs w:val="20"/>
          <w:color w:val="auto"/>
        </w:rPr>
      </w:pPr>
      <w:r>
        <w:rPr>
          <w:rFonts w:ascii="Arial" w:cs="Arial" w:eastAsia="Arial" w:hAnsi="Arial"/>
          <w:sz w:val="18"/>
          <w:szCs w:val="18"/>
          <w:color w:val="auto"/>
        </w:rPr>
        <w:t>issuer under the Exchange Act we will be exempt from certain provisions of the Exchange Act that are applicable to U.S. domestic public companies, including:</w:t>
      </w:r>
    </w:p>
    <w:p>
      <w:pPr>
        <w:spacing w:after="0" w:line="224" w:lineRule="exact"/>
        <w:rPr>
          <w:sz w:val="20"/>
          <w:szCs w:val="20"/>
          <w:color w:val="auto"/>
        </w:rPr>
      </w:pPr>
    </w:p>
    <w:p>
      <w:pPr>
        <w:ind w:left="1120" w:right="240" w:hanging="407"/>
        <w:spacing w:after="0" w:line="218" w:lineRule="auto"/>
        <w:tabs>
          <w:tab w:leader="none" w:pos="112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7" w:lineRule="exact"/>
        <w:rPr>
          <w:rFonts w:ascii="MS PGothic" w:cs="MS PGothic" w:eastAsia="MS PGothic" w:hAnsi="MS PGothic"/>
          <w:sz w:val="25"/>
          <w:szCs w:val="25"/>
          <w:color w:val="auto"/>
          <w:vertAlign w:val="superscript"/>
        </w:rPr>
      </w:pPr>
    </w:p>
    <w:p>
      <w:pPr>
        <w:ind w:left="1120" w:right="140" w:hanging="407"/>
        <w:spacing w:after="0" w:line="218" w:lineRule="auto"/>
        <w:tabs>
          <w:tab w:leader="none" w:pos="112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7" w:lineRule="exact"/>
        <w:rPr>
          <w:rFonts w:ascii="MS PGothic" w:cs="MS PGothic" w:eastAsia="MS PGothic" w:hAnsi="MS PGothic"/>
          <w:sz w:val="25"/>
          <w:szCs w:val="25"/>
          <w:color w:val="auto"/>
          <w:vertAlign w:val="superscript"/>
        </w:rPr>
      </w:pPr>
    </w:p>
    <w:p>
      <w:pPr>
        <w:ind w:left="1120" w:hanging="407"/>
        <w:spacing w:after="0" w:line="229" w:lineRule="auto"/>
        <w:tabs>
          <w:tab w:leader="none" w:pos="1120" w:val="left"/>
        </w:tabs>
        <w:numPr>
          <w:ilvl w:val="0"/>
          <w:numId w:val="4"/>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3" w:lineRule="exact"/>
        <w:rPr>
          <w:sz w:val="20"/>
          <w:szCs w:val="20"/>
          <w:color w:val="auto"/>
        </w:rPr>
      </w:pPr>
    </w:p>
    <w:p>
      <w:pPr>
        <w:ind w:left="300" w:right="300" w:firstLine="426"/>
        <w:spacing w:after="0" w:line="238"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5" w:lineRule="exact"/>
        <w:rPr>
          <w:sz w:val="20"/>
          <w:szCs w:val="20"/>
          <w:color w:val="auto"/>
        </w:rPr>
      </w:pPr>
    </w:p>
    <w:p>
      <w:pPr>
        <w:jc w:val="both"/>
        <w:ind w:left="300" w:right="100" w:firstLine="426"/>
        <w:spacing w:after="0"/>
        <w:rPr>
          <w:sz w:val="20"/>
          <w:szCs w:val="20"/>
          <w:color w:val="auto"/>
        </w:rPr>
      </w:pPr>
      <w:r>
        <w:rPr>
          <w:rFonts w:ascii="Arial" w:cs="Arial" w:eastAsia="Arial" w:hAnsi="Arial"/>
          <w:sz w:val="18"/>
          <w:szCs w:val="18"/>
          <w:color w:val="auto"/>
        </w:rPr>
        <w:t>As a foreign private issuer, we are permitted to follow the corporate governance practices of our home country in lieu of certain provisions of the Nasdaq. We therefore follow U.K. corporate governance practices in lieu of certain Nasdaq corporate governance requirements including the requirement to seek shareholder approval for a specified issuance of securities.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left="300" w:right="220" w:firstLine="426"/>
        <w:spacing w:after="0" w:line="237"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supplement. Our agent for service of process in the United States is Mereo US Holdings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880"/>
          </w:cols>
          <w:pgMar w:left="320" w:top="459" w:right="6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00" w:type="dxa"/>
            <w:vAlign w:val="bottom"/>
            <w:tcBorders>
              <w:top w:val="single" w:sz="8" w:color="auto"/>
              <w:left w:val="single" w:sz="8" w:color="auto"/>
            </w:tcBorders>
          </w:tcPr>
          <w:p>
            <w:pPr>
              <w:spacing w:after="0"/>
              <w:rPr>
                <w:sz w:val="24"/>
                <w:szCs w:val="24"/>
                <w:color w:val="auto"/>
              </w:rPr>
            </w:pPr>
          </w:p>
        </w:tc>
        <w:tc>
          <w:tcPr>
            <w:tcW w:w="692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THE OFFERING</w:t>
            </w:r>
          </w:p>
        </w:tc>
      </w:tr>
      <w:tr>
        <w:trPr>
          <w:trHeight w:val="446"/>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ADSs Offered by Us</w:t>
            </w:r>
          </w:p>
        </w:tc>
        <w:tc>
          <w:tcPr>
            <w:tcW w:w="69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ADSs having an aggregate offering price of up to $50,000,000.</w:t>
            </w:r>
          </w:p>
        </w:tc>
      </w:tr>
      <w:tr>
        <w:trPr>
          <w:trHeight w:val="445"/>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Manner of Offering</w:t>
            </w:r>
          </w:p>
        </w:tc>
        <w:tc>
          <w:tcPr>
            <w:tcW w:w="69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“At the market” offering that may be made from time to time through</w:t>
            </w:r>
          </w:p>
        </w:tc>
      </w:tr>
      <w:tr>
        <w:trPr>
          <w:trHeight w:val="217"/>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our sales agent, SVB Leerink LLC. See “Plan of Distribution.”</w:t>
            </w:r>
          </w:p>
        </w:tc>
      </w:tr>
      <w:tr>
        <w:trPr>
          <w:trHeight w:val="431"/>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Use of Proceeds</w:t>
            </w:r>
          </w:p>
        </w:tc>
        <w:tc>
          <w:tcPr>
            <w:tcW w:w="69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We intend to use the net proceeds from this offering, if any, for</w:t>
            </w:r>
          </w:p>
        </w:tc>
      </w:tr>
      <w:tr>
        <w:trPr>
          <w:trHeight w:val="203"/>
        </w:trPr>
        <w:tc>
          <w:tcPr>
            <w:tcW w:w="4100" w:type="dxa"/>
            <w:vAlign w:val="bottom"/>
            <w:tcBorders>
              <w:left w:val="single" w:sz="8" w:color="auto"/>
            </w:tcBorders>
          </w:tcPr>
          <w:p>
            <w:pPr>
              <w:spacing w:after="0"/>
              <w:rPr>
                <w:sz w:val="17"/>
                <w:szCs w:val="17"/>
                <w:color w:val="auto"/>
              </w:rPr>
            </w:pPr>
          </w:p>
        </w:tc>
        <w:tc>
          <w:tcPr>
            <w:tcW w:w="6920" w:type="dxa"/>
            <w:vAlign w:val="bottom"/>
            <w:tcBorders>
              <w:right w:val="single" w:sz="8" w:color="auto"/>
            </w:tcBorders>
          </w:tcPr>
          <w:p>
            <w:pPr>
              <w:ind w:left="1280"/>
              <w:spacing w:after="0" w:line="202" w:lineRule="exact"/>
              <w:rPr>
                <w:sz w:val="20"/>
                <w:szCs w:val="20"/>
                <w:color w:val="auto"/>
              </w:rPr>
            </w:pPr>
            <w:r>
              <w:rPr>
                <w:rFonts w:ascii="Arial" w:cs="Arial" w:eastAsia="Arial" w:hAnsi="Arial"/>
                <w:sz w:val="18"/>
                <w:szCs w:val="18"/>
                <w:color w:val="auto"/>
              </w:rPr>
              <w:t>general corporate purposes, which may include research and</w:t>
            </w:r>
          </w:p>
        </w:tc>
      </w:tr>
      <w:tr>
        <w:trPr>
          <w:trHeight w:val="203"/>
        </w:trPr>
        <w:tc>
          <w:tcPr>
            <w:tcW w:w="4100" w:type="dxa"/>
            <w:vAlign w:val="bottom"/>
            <w:tcBorders>
              <w:left w:val="single" w:sz="8" w:color="auto"/>
            </w:tcBorders>
          </w:tcPr>
          <w:p>
            <w:pPr>
              <w:spacing w:after="0"/>
              <w:rPr>
                <w:sz w:val="17"/>
                <w:szCs w:val="17"/>
                <w:color w:val="auto"/>
              </w:rPr>
            </w:pPr>
          </w:p>
        </w:tc>
        <w:tc>
          <w:tcPr>
            <w:tcW w:w="6920" w:type="dxa"/>
            <w:vAlign w:val="bottom"/>
            <w:tcBorders>
              <w:right w:val="single" w:sz="8" w:color="auto"/>
            </w:tcBorders>
          </w:tcPr>
          <w:p>
            <w:pPr>
              <w:ind w:left="1280"/>
              <w:spacing w:after="0" w:line="202" w:lineRule="exact"/>
              <w:rPr>
                <w:sz w:val="20"/>
                <w:szCs w:val="20"/>
                <w:color w:val="auto"/>
              </w:rPr>
            </w:pPr>
            <w:r>
              <w:rPr>
                <w:rFonts w:ascii="Arial" w:cs="Arial" w:eastAsia="Arial" w:hAnsi="Arial"/>
                <w:sz w:val="18"/>
                <w:szCs w:val="18"/>
                <w:color w:val="auto"/>
              </w:rPr>
              <w:t>development expenses, working capital and general and</w:t>
            </w:r>
          </w:p>
        </w:tc>
      </w:tr>
      <w:tr>
        <w:trPr>
          <w:trHeight w:val="217"/>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administrative expenses. See “Use of Proceeds.”</w:t>
            </w:r>
          </w:p>
        </w:tc>
      </w:tr>
      <w:tr>
        <w:trPr>
          <w:trHeight w:val="431"/>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Risk Factors</w:t>
            </w:r>
          </w:p>
        </w:tc>
        <w:tc>
          <w:tcPr>
            <w:tcW w:w="69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You should read the “Risk Factors” section of this prospectus</w:t>
            </w:r>
          </w:p>
        </w:tc>
      </w:tr>
      <w:tr>
        <w:trPr>
          <w:trHeight w:val="203"/>
        </w:trPr>
        <w:tc>
          <w:tcPr>
            <w:tcW w:w="4100" w:type="dxa"/>
            <w:vAlign w:val="bottom"/>
            <w:tcBorders>
              <w:left w:val="single" w:sz="8" w:color="auto"/>
            </w:tcBorders>
          </w:tcPr>
          <w:p>
            <w:pPr>
              <w:spacing w:after="0"/>
              <w:rPr>
                <w:sz w:val="17"/>
                <w:szCs w:val="17"/>
                <w:color w:val="auto"/>
              </w:rPr>
            </w:pPr>
          </w:p>
        </w:tc>
        <w:tc>
          <w:tcPr>
            <w:tcW w:w="6920" w:type="dxa"/>
            <w:vAlign w:val="bottom"/>
            <w:tcBorders>
              <w:right w:val="single" w:sz="8" w:color="auto"/>
            </w:tcBorders>
          </w:tcPr>
          <w:p>
            <w:pPr>
              <w:ind w:left="1280"/>
              <w:spacing w:after="0" w:line="202" w:lineRule="exact"/>
              <w:rPr>
                <w:sz w:val="20"/>
                <w:szCs w:val="20"/>
                <w:color w:val="auto"/>
              </w:rPr>
            </w:pPr>
            <w:r>
              <w:rPr>
                <w:rFonts w:ascii="Arial" w:cs="Arial" w:eastAsia="Arial" w:hAnsi="Arial"/>
                <w:sz w:val="18"/>
                <w:szCs w:val="18"/>
                <w:color w:val="auto"/>
              </w:rPr>
              <w:t>supplement for a discussion of factors to consider carefully before</w:t>
            </w:r>
          </w:p>
        </w:tc>
      </w:tr>
      <w:tr>
        <w:trPr>
          <w:trHeight w:val="217"/>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deciding to purchase our ADSs.</w:t>
            </w:r>
          </w:p>
        </w:tc>
      </w:tr>
      <w:tr>
        <w:trPr>
          <w:trHeight w:val="445"/>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Nasdaq Global Select Market Symbol</w:t>
            </w:r>
          </w:p>
        </w:tc>
        <w:tc>
          <w:tcPr>
            <w:tcW w:w="69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MREO</w:t>
            </w:r>
          </w:p>
        </w:tc>
      </w:tr>
      <w:tr>
        <w:trPr>
          <w:trHeight w:val="240"/>
        </w:trPr>
        <w:tc>
          <w:tcPr>
            <w:tcW w:w="4100" w:type="dxa"/>
            <w:vAlign w:val="bottom"/>
            <w:tcBorders>
              <w:left w:val="single" w:sz="8" w:color="auto"/>
              <w:bottom w:val="single" w:sz="8" w:color="auto"/>
            </w:tcBorders>
          </w:tcPr>
          <w:p>
            <w:pPr>
              <w:spacing w:after="0"/>
              <w:rPr>
                <w:sz w:val="20"/>
                <w:szCs w:val="20"/>
                <w:color w:val="auto"/>
              </w:rPr>
            </w:pPr>
          </w:p>
        </w:tc>
        <w:tc>
          <w:tcPr>
            <w:tcW w:w="6920" w:type="dxa"/>
            <w:vAlign w:val="bottom"/>
            <w:tcBorders>
              <w:bottom w:val="single" w:sz="8" w:color="auto"/>
              <w:right w:val="single" w:sz="8" w:color="auto"/>
            </w:tcBorders>
          </w:tcPr>
          <w:p>
            <w:pPr>
              <w:spacing w:after="0"/>
              <w:rPr>
                <w:sz w:val="20"/>
                <w:szCs w:val="20"/>
                <w:color w:val="auto"/>
              </w:rPr>
            </w:pPr>
          </w:p>
        </w:tc>
      </w:tr>
      <w:tr>
        <w:trPr>
          <w:trHeight w:val="604"/>
        </w:trPr>
        <w:tc>
          <w:tcPr>
            <w:tcW w:w="4100" w:type="dxa"/>
            <w:vAlign w:val="bottom"/>
          </w:tcPr>
          <w:p>
            <w:pPr>
              <w:spacing w:after="0"/>
              <w:rPr>
                <w:sz w:val="24"/>
                <w:szCs w:val="24"/>
                <w:color w:val="auto"/>
              </w:rPr>
            </w:pPr>
          </w:p>
        </w:tc>
        <w:tc>
          <w:tcPr>
            <w:tcW w:w="6920" w:type="dxa"/>
            <w:vAlign w:val="bottom"/>
          </w:tcPr>
          <w:p>
            <w:pPr>
              <w:ind w:left="126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34"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Investing in our securities involves significant risks. Before making an investment decision, you should carefully consider the risks described under “Risk Factors” under Item 3.D. – “Risk Factors” in our most recent Annual Report on Form 20-F, and any updates in our Reports on Form 6-K, together with all of the other information appearing in this prospectus supplement, the accompanying prospectus or incorporated by reference into this prospectus supplement,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supplement and the accompanying prospectus.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ADSs</w:t>
      </w:r>
    </w:p>
    <w:p>
      <w:pPr>
        <w:spacing w:after="0" w:line="104"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The market price for ADSs and the underlying ordinary shares may be volatile and may decline regardless of our operating performance, and the value of your investment could materially decline.</w:t>
      </w:r>
    </w:p>
    <w:p>
      <w:pPr>
        <w:spacing w:after="0" w:line="68" w:lineRule="exact"/>
        <w:rPr>
          <w:sz w:val="20"/>
          <w:szCs w:val="20"/>
          <w:color w:val="auto"/>
        </w:rPr>
      </w:pPr>
    </w:p>
    <w:p>
      <w:pPr>
        <w:ind w:left="120" w:right="1000" w:firstLine="440"/>
        <w:spacing w:after="0" w:line="246" w:lineRule="auto"/>
        <w:rPr>
          <w:sz w:val="20"/>
          <w:szCs w:val="20"/>
          <w:color w:val="auto"/>
        </w:rPr>
      </w:pPr>
      <w:r>
        <w:rPr>
          <w:rFonts w:ascii="Arial" w:cs="Arial" w:eastAsia="Arial" w:hAnsi="Arial"/>
          <w:sz w:val="18"/>
          <w:szCs w:val="18"/>
          <w:color w:val="auto"/>
        </w:rPr>
        <w:t>The trading price of ADSs may fluctuate, and the trading price of ordinary shares on AIM is likely to continue to fluctuate, substantially.</w:t>
      </w:r>
    </w:p>
    <w:p>
      <w:pPr>
        <w:spacing w:after="0" w:line="197"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The market price of ADSs and ordinary shares may fluctuate significantly in response to numerous factors, many of which are beyond our control, including:</w:t>
      </w:r>
    </w:p>
    <w:p>
      <w:pPr>
        <w:spacing w:after="0" w:line="188" w:lineRule="exact"/>
        <w:rPr>
          <w:sz w:val="20"/>
          <w:szCs w:val="20"/>
          <w:color w:val="auto"/>
        </w:rPr>
      </w:pPr>
    </w:p>
    <w:p>
      <w:pPr>
        <w:ind w:left="980" w:hanging="432"/>
        <w:spacing w:after="0"/>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positive or negative results from, or delays in, testing or clinical trials conducted by our or our competitors;</w:t>
      </w:r>
    </w:p>
    <w:p>
      <w:pPr>
        <w:spacing w:after="0" w:line="26"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entering into strategic relationships with respect to development or commercialization of our product candidates or entry into strategic relationships on terms that are not deemed to be favorable to us;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technological innovations or commercial product introductions by us or competitors;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government regulations;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concerning proprietary rights, including patents and litigation matters;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impact of public health epidemics, such as the ongoing COVID-19 pandemic, and government efforts to slow their spread;</w:t>
      </w:r>
    </w:p>
    <w:p>
      <w:pPr>
        <w:spacing w:after="0" w:line="26" w:lineRule="exact"/>
        <w:rPr>
          <w:rFonts w:ascii="MS PGothic" w:cs="MS PGothic" w:eastAsia="MS PGothic" w:hAnsi="MS PGothic"/>
          <w:sz w:val="25"/>
          <w:szCs w:val="25"/>
          <w:color w:val="auto"/>
          <w:vertAlign w:val="superscript"/>
        </w:rPr>
      </w:pPr>
    </w:p>
    <w:p>
      <w:pPr>
        <w:ind w:left="980" w:right="200" w:hanging="432"/>
        <w:spacing w:after="0" w:line="218"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economic, public health, financial or geopolitical events that affect us or the financial markets generally, including the duration and severity of the impact of the ongoing COVID-19 pandemic;</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 concern relating to the commercial value or safety of our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financing or other corporate transactions;</w:t>
      </w:r>
    </w:p>
    <w:p>
      <w:pPr>
        <w:spacing w:after="0" w:line="26" w:lineRule="exact"/>
        <w:rPr>
          <w:rFonts w:ascii="MS PGothic" w:cs="MS PGothic" w:eastAsia="MS PGothic" w:hAnsi="MS PGothic"/>
          <w:sz w:val="25"/>
          <w:szCs w:val="25"/>
          <w:color w:val="auto"/>
          <w:vertAlign w:val="superscript"/>
        </w:rPr>
      </w:pPr>
    </w:p>
    <w:p>
      <w:pPr>
        <w:ind w:left="980" w:right="800" w:hanging="432"/>
        <w:spacing w:after="0" w:line="218"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publication of research reports or comments by securities or industry analysts, and variances in our periodic results of operations from securities analysts’ estimates;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general market conditions in the biopharmaceutical and pharmaceutical industries or in the economy as a whole;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loss of any of our key scientific or senior management personnel;</w:t>
      </w:r>
    </w:p>
    <w:p>
      <w:pPr>
        <w:spacing w:after="0" w:line="26"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our ADSs or ordinary shares by us, our senior management and board members, holders of ADSs or our other security holders in the future, including the 214,206,105 ordinary shares issued in a recent private placement;</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80" w:hanging="432"/>
        <w:spacing w:after="0"/>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actions by institutional shareholders;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speculation in the press or the investment community;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events and factors, many of which are beyond our control.</w:t>
      </w:r>
    </w:p>
    <w:p>
      <w:pPr>
        <w:spacing w:after="0" w:line="2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These and other market and industry factors may cause the market price and demand for our ADSs to fluctuate substantially, regardless of our actual operating performance, which may limit or prevent investors from readily selling ADSs or ordinary shares and may otherwise negatively affect the liquidity of ADSs and ordinary shares.</w:t>
      </w:r>
    </w:p>
    <w:p>
      <w:pPr>
        <w:spacing w:after="0" w:line="203"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In addition, the stock market in general, and emerging companies in particular, have experienced significant price and volume fluctuations that often have been unrelated to the operating performance of the companies affected by these fluctuations. These broad market fluctuations may adversely affect the trading price of ADSs and ordinary shares, regardless of our operating performance. Furthermore, the trading prices for our ADSs and the underlying ordinary shares as well as the ordinary shares of our competitors have been highly volatile as a result of the COVID-19 pandemic. In addition, a recession, depression or other sustained adverse market event resulting from the spread of COVID-19 could materially and adversely affect our business and the market price of our ADSs and ordinary shares.</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the past in the United States, when the market price of a security has been volatile, holders of that security have often instituted securities class action litigation against the issuer of such securities. If any of the holders of ADSs or ordinary shares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ordinary shares or ADSs could depress the market price of ADSs.</w:t>
      </w:r>
    </w:p>
    <w:p>
      <w:pPr>
        <w:spacing w:after="0" w:line="126"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If holders of ordinary shares or ADSs sell, or indicate an intent to sell, substantial amounts of ordinary shares or ADSs in the public markets, the trading price of ADSs or ordinary shares could decline significantly. These sales might also make it more difficult for us to sell equity or equity-related securities at a time and price that we otherwise would deem appropriate.</w:t>
      </w:r>
    </w:p>
    <w:p>
      <w:pPr>
        <w:spacing w:after="0" w:line="181"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The dual listing of ordinary shares and ADSs is costly to maintain and may adversely affect the liquidity and value of ordinary shares and ADSs.</w:t>
      </w:r>
    </w:p>
    <w:p>
      <w:pPr>
        <w:spacing w:after="0" w:line="6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ADSs are listed for trading on Nasdaq and our ordinary shares trade on AIM. Since April 24, 2019 we have maintained a dual listing, which has generated and will continue to generate additional costs, including significant legal, accounting, investor relations, and other expenses that we did not incur prior to April 24, 2019, in addition to the costs associated with the additional reporting requirements described elsewhere in our most recent Annual Report on Form 20-F. We cannot predict the effect of this dual listing on the value of our ADSs and ordinary shares. However, the dual listing of ADSs and ordinary shares may dilute the liquidity of these securities in one or both markets and may adversely affect the development of an active trading market for our ADSs. The price of our ADSs could also be adversely affected by trading in ordinary shares on AIM. In addition, the dual listing of ordinary shares and ADSs may cause the market price for ADSs and the underlying ordinary shares to fluctuate and decline regardless of our operating performance. See “—The market price for ADSs and the underlying ordinary shares may be volatile and may decline regardless of our operating performance, and the value of your investment could materially decline.” If in the future we do not continue to remain dual-listed, the process of terminating our listing on one exchange or the other may cause disruption in the trading of our securities and contribute to volatility in the trading prices of our securities.</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Fluctuations in the exchange rate between the U.S. dollar and the pound sterling may increase the risk of holding ADSs.</w:t>
      </w:r>
    </w:p>
    <w:p>
      <w:pPr>
        <w:spacing w:after="0" w:line="12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share price of ordinary shares is quoted on AIM in pence sterling, while our ADSs trade on Nasdaq in U.S. dollars. Fluctuations in the exchange rate between the U.S. dollar and the pound sterling may result in differences between the value of our ADSs and the value of ordinary shares, which may result in heavy trading by investors seeking to exploit such differences. In addition, as a result of fluctuations in the exchange rate between the U.S. dollar and the pound sterling, the U.S. dollar equivalent of the proceeds that a holder of our ADSs would receive upon the sale in the United Kingdom of any ordinary shares withdrawn from the depositary, and the U.S. dollar equivalent of any cash dividends paid in pound sterling on ordinary shares represented by our ADSs, could also decline.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limitations on the transfer of ADSs and the withdrawal of the underlying ordinary shares.</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ADSs generally when our books or the books of the depositary are closed, or at any time if we or the depositary thinks it is necessary or advisable to do so because of any requirement of law, government or governmental body, or under any provision of the deposit agreement, or for any other reason, subject to your right to cancel your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because we are paying a dividend on our ordinary shares.</w:t>
      </w:r>
    </w:p>
    <w:p>
      <w:pPr>
        <w:spacing w:after="0" w:line="208"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In addition, you may not be able to cancel your ADSs and withdraw the underlying ordinary shares when you owe money for fees, taxes and similar charges to the depositary and when it is necessary to prohibit withdrawals in order to comply with any laws or governmental regulations that apply to our ADSs or to the withdrawal of our ordinary shares or other deposited securities.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26" w:lineRule="exact"/>
        <w:rPr>
          <w:sz w:val="20"/>
          <w:szCs w:val="20"/>
          <w:color w:val="auto"/>
        </w:rPr>
      </w:pPr>
    </w:p>
    <w:p>
      <w:pPr>
        <w:jc w:val="both"/>
        <w:ind w:left="120" w:right="380" w:firstLine="440"/>
        <w:spacing w:after="0"/>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U.K. Companies Act 2006, and by our Articles of Association (our “Articles”). These rights differ in certain respects from the rights of shareholders in typical U.S. corporations.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depositary for ADSs is entitled to charge holders fees for various services, including annual service fees.</w:t>
      </w:r>
    </w:p>
    <w:p>
      <w:pPr>
        <w:spacing w:after="0" w:line="12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depositary for ADSs is entitled to charge holders fees for various services including for the issuance of ADSs upon deposit of ordinary shares, cancellation of ADSs, distributions of cash dividends or other cash distributions, distributions of ADSs pursuant to share dividends or other free share distributions, distributions of securities other than ADSs and annual service fees. In the case of ADSs issued by the depositary into The Depository Trust Company (“DTC”), the fees will be charged by the DTC participant to the account of the applicable beneficial owner in accordance with the procedures and practices of the DTC participant as in effect at the time. The depositary for ADSs will not be responsible for any United Kingdom stamp duty or stamp duty reserve tax arising upon the issuance or transfer of ADSs. For a discussion of the United Kingdom stamp duty and stamp duty</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80"/>
        <w:spacing w:after="0" w:line="246" w:lineRule="auto"/>
        <w:rPr>
          <w:sz w:val="20"/>
          <w:szCs w:val="20"/>
          <w:color w:val="auto"/>
        </w:rPr>
      </w:pPr>
      <w:r>
        <w:rPr>
          <w:rFonts w:ascii="Arial" w:cs="Arial" w:eastAsia="Arial" w:hAnsi="Arial"/>
          <w:sz w:val="18"/>
          <w:szCs w:val="18"/>
          <w:color w:val="auto"/>
        </w:rPr>
        <w:t>reserve tax consequences of the issuance and transfer of ADSs, see “Material Tax Considerations— Stamp Duty and Stamp Duty Reserve Tax” in the accompanying prospectus.</w:t>
      </w:r>
    </w:p>
    <w:p>
      <w:pPr>
        <w:spacing w:after="0" w:line="175"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research or unfavorable research about our business, the price and trading volume of ordinary shares and ADSs could decline.</w:t>
      </w:r>
    </w:p>
    <w:p>
      <w:pPr>
        <w:spacing w:after="0" w:line="68" w:lineRule="exact"/>
        <w:rPr>
          <w:sz w:val="20"/>
          <w:szCs w:val="20"/>
          <w:color w:val="auto"/>
        </w:rPr>
      </w:pPr>
    </w:p>
    <w:p>
      <w:pPr>
        <w:ind w:left="120" w:firstLine="440"/>
        <w:spacing w:after="0" w:line="255" w:lineRule="auto"/>
        <w:rPr>
          <w:sz w:val="20"/>
          <w:szCs w:val="20"/>
          <w:color w:val="auto"/>
        </w:rPr>
      </w:pPr>
      <w:r>
        <w:rPr>
          <w:rFonts w:ascii="Arial" w:cs="Arial" w:eastAsia="Arial" w:hAnsi="Arial"/>
          <w:sz w:val="17"/>
          <w:szCs w:val="17"/>
          <w:color w:val="auto"/>
        </w:rPr>
        <w:t>The trading market for our ordinary shares and ADSs depends in part on the research and reports that securities or industry analysts publish about us or our business. If one or more of the analysts who covers us downgrades our ordinary shares or ADSs or publishes incorrect or unfavorable research about our business, the price of our ordinary shares and/or ADSs would likely decline. If one or more of these analysts ceases coverage of us or fails to publish reports on us regularly, or downgrades our ordinary shares or ADSs, demand for ADSs or ordinary shares could decrease, which could cause the price of ADSs and/or ordinary shares and/or trading volume to decline.</w:t>
      </w:r>
    </w:p>
    <w:p>
      <w:pPr>
        <w:spacing w:after="0" w:line="168"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Our ADS holders may not be entitled to a jury trial with respect to claims arising under the deposit agreement, which could result in less favorable results to the plaintiff(s) in any such action.</w:t>
      </w:r>
    </w:p>
    <w:p>
      <w:pPr>
        <w:spacing w:after="0" w:line="6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deposit agreement governing our ADSs provides that holders and beneficial owners of ADSs irrevocably waive the right to a trial by jury in any legal proceeding arising out of or relating to the deposit agreement or our ADSs, including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Although we are not aware of a specific federal decision that addresses the enforceability of a jury trial waiver in the context of U.S. federal securities laws, it is our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our ADSs.</w:t>
      </w:r>
    </w:p>
    <w:p>
      <w:pPr>
        <w:spacing w:after="0" w:line="20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ADSs serves as a waiver by any holder or beneficial owner of ADSs or by us or the depositary of compliance with any provision of U.S. federal securities laws and the rules and regulations promulgated thereunder.</w:t>
      </w:r>
    </w:p>
    <w:p>
      <w:pPr>
        <w:spacing w:after="0" w:line="20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If any holder or beneficial owner of ADSs brings a claim against us or the depositary in connection with matters arising under the deposit agreement or our ADSs, including claims under U.S. federal securities laws, such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i w:val="1"/>
          <w:iCs w:val="1"/>
          <w:color w:val="auto"/>
        </w:rPr>
        <w:t>You may not receive distributions on ordinary shares represented by ADSs or any value for them if it is unlawful or impractical to make them available to holders of ADSs.</w:t>
      </w:r>
    </w:p>
    <w:p>
      <w:pPr>
        <w:spacing w:after="0" w:line="68"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Pursuant to the terms of the deposit agreement, the depositary for ADSs will distribute the cash dividends or other distributions it or the custodian receives on ordinary shares or other deposited securities after deducting its fees and expenses. You will receive these distributions in proportion to the number of ordinary shares your ADSs represent. However, in accordance with the limitations set forth in the deposit agreement, it may be unlawful or impractical to make a distribution available to holders of ADSs. We have no obligation to take any other action to permit the distribution of ADSs, ordinary shares, rights or anything else to holders of ADSs. This means that you may not receive the distributions we make on our ordinary shares or any value from them if it is unlawful or impractical to make them available to you. These restrictions may have a material adverse effect on the value of ADSs.</w:t>
      </w:r>
    </w:p>
    <w:p>
      <w:pPr>
        <w:spacing w:after="0" w:line="181"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It may be difficult for you to bring any action or enforce any judgment obtained in the United States against us or members of our Board, which may limit the remedies otherwise available to us.</w:t>
      </w:r>
    </w:p>
    <w:p>
      <w:pPr>
        <w:spacing w:after="0" w:line="6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are incorporated as a public limited company in England and Wales, and the majority of our assets are located outside the United States. In addition, the majority of the members of our board of directors (our “Board”) are nationals and residents of countries, including the United Kingdom, outside of the United States. Most or all of the assets of these individuals are located outside the United States. As a result, it may be difficult or impossible for you to bring an action against us or against these individuals in the United States if you believe your rights have been infringed under the securities laws or otherwise. In addition, a United Kingdom court may prevent you from enforcing a judgment of a U.S. court against us or these individuals based on the securities laws of the United States or any state thereof. A United Kingdom court may not allow you to bring an action against us or our directors based on the securities laws of the United States or any state thereof.</w:t>
      </w:r>
    </w:p>
    <w:p>
      <w:pPr>
        <w:spacing w:after="0" w:line="186" w:lineRule="exact"/>
        <w:rPr>
          <w:sz w:val="20"/>
          <w:szCs w:val="20"/>
          <w:color w:val="auto"/>
        </w:rPr>
      </w:pPr>
    </w:p>
    <w:p>
      <w:pPr>
        <w:ind w:left="120" w:right="1040"/>
        <w:spacing w:after="0" w:line="271" w:lineRule="auto"/>
        <w:rPr>
          <w:sz w:val="20"/>
          <w:szCs w:val="20"/>
          <w:color w:val="auto"/>
        </w:rPr>
      </w:pPr>
      <w:r>
        <w:rPr>
          <w:rFonts w:ascii="Arial" w:cs="Arial" w:eastAsia="Arial" w:hAnsi="Arial"/>
          <w:sz w:val="18"/>
          <w:szCs w:val="18"/>
          <w:b w:val="1"/>
          <w:bCs w:val="1"/>
          <w:i w:val="1"/>
          <w:iCs w:val="1"/>
          <w:color w:val="auto"/>
        </w:rPr>
        <w:t>Shareholders in countries other than the United Kingdom will suffer dilution if they are unable to participate in future pre-emptive equity offerings.</w:t>
      </w:r>
    </w:p>
    <w:p>
      <w:pPr>
        <w:spacing w:after="0" w:line="6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Under English law, shareholders (being those shareholders that are included in a company’s register of members as holders of the legal title to that company’s shares) usually have pre-emptive rights to subscribe on a pro rata basis in the issuance of new shares for cash. The exercise of those pre-emptive rights by certain shareholders not resident in the United Kingdom may be restricted by applicable law or practice in the United Kingdom and overseas jurisdictions. In particular, the exercise of pre-emptive rights by United States shareholders would be prohibited unless an offering is registered under the Securities Act or an exemption from the registration requirements of the Securities Act applies. Furthermore, under the deposit agreement for our ADSs, the depositary generally will not make available those pre-emptive rights to holders of ADSs unless certain conditions are met, including that the provision of such pre-emptive rights to the ADS holders is reasonably practicable. If no exemption applies and we determine not to register such offering, shareholders in the United States may not be able or permitted to exercise their pre-emptive rights. We are also permitted under English law to disapply pre-emptive rights (subject to the approval of our shareholders by special resolution or the inclusion in the articles of a power to disapply such rights) either generally or in relation to a specific allotment and thereby exclude certain shareholders, such as overseas shareholders, from participating in a rights offering (usually to avoid a breach of local securities laws).</w:t>
      </w:r>
    </w:p>
    <w:p>
      <w:pPr>
        <w:spacing w:after="0" w:line="18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Holders of ADSs may not have the same voting rights as holders of ordinary shares and may not receive voting materials in time to be able to exercise their right to vote.</w:t>
      </w:r>
    </w:p>
    <w:p>
      <w:pPr>
        <w:spacing w:after="0" w:line="68"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Holders of ADSs are not able to exercise voting rights attaching to ordinary shares underlying our ADSs on an individual basis. Each holder of ADSs has appointed the depositary or its nominee as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61" w:lineRule="auto"/>
        <w:rPr>
          <w:sz w:val="20"/>
          <w:szCs w:val="20"/>
          <w:color w:val="auto"/>
        </w:rPr>
      </w:pPr>
      <w:r>
        <w:rPr>
          <w:rFonts w:ascii="Arial" w:cs="Arial" w:eastAsia="Arial" w:hAnsi="Arial"/>
          <w:sz w:val="17"/>
          <w:szCs w:val="17"/>
          <w:color w:val="auto"/>
        </w:rPr>
        <w:t>holder’s representative to exercise, pursuant to the instructions of the holder, the voting rights attaching to our ordinary shares underlying our ADSs. Holders of ADSs may not receive voting materials in time to instruct the depositary to vote, and it is possible that they, or persons who hold their ADSs through brokers, dealers or other third parties, will not have the opportunity to exercise a right to vote.</w:t>
      </w:r>
    </w:p>
    <w:p>
      <w:pPr>
        <w:spacing w:after="0" w:line="164" w:lineRule="exact"/>
        <w:rPr>
          <w:sz w:val="20"/>
          <w:szCs w:val="20"/>
          <w:color w:val="auto"/>
        </w:rPr>
      </w:pPr>
    </w:p>
    <w:p>
      <w:pPr>
        <w:ind w:left="120" w:right="900"/>
        <w:spacing w:after="0" w:line="27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ADSs or ordinary shares in the foreseeable future, capital appreciation, if any, will be your sole source of gains and you may never receive a return on your investment.</w:t>
      </w:r>
    </w:p>
    <w:p>
      <w:pPr>
        <w:spacing w:after="0" w:line="68"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Under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Further, we intend to retain future earnings, if any, for use in our business and do not anticipate paying any cash dividends in the foreseeable future. In addition, our credit facility prohibits us from paying dividends on our equity securities without Kreos’s consent, and any future debt agreements may likewise preclude us from paying dividends. As a result, capital appreciation, if any, on ADSs or ordinary shares will be your sole source of gains for the foreseeable future.</w:t>
      </w:r>
    </w:p>
    <w:p>
      <w:pPr>
        <w:spacing w:after="0" w:line="18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b w:val="1"/>
          <w:bCs w:val="1"/>
          <w:i w:val="1"/>
          <w:iCs w:val="1"/>
          <w:color w:val="auto"/>
        </w:rPr>
        <w:t>We are currently a “foreign private issuer” under the rules and regulations of the SEC and, as a result, are exempt from a number of rules under the Exchange Act and are permitted to file less information with the SEC than a company incorporated in the United States.</w:t>
      </w:r>
    </w:p>
    <w:p>
      <w:pPr>
        <w:spacing w:after="0" w:line="83"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We are incorporated as a public limited company in England and Wales and are deemed to be a “foreign private issuer” under the rules and regulations of the SEC. As a foreign private issuer, we are exempt from certain rules under the Exchange Act that would otherwise apply if we were a company incorporated in the United States, including:</w:t>
      </w:r>
    </w:p>
    <w:p>
      <w:pPr>
        <w:spacing w:after="0" w:line="230" w:lineRule="exact"/>
        <w:rPr>
          <w:sz w:val="20"/>
          <w:szCs w:val="20"/>
          <w:color w:val="auto"/>
        </w:rPr>
      </w:pPr>
    </w:p>
    <w:p>
      <w:pPr>
        <w:ind w:left="980" w:right="38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file periodic reports and financial statements with the SEC as frequently or as promptly as United States companies with securities registered under the Exchange Act;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file financial statements prepared in accordance with U.S. GAAP;</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proxy rules, which impose certain disclosure and procedural requirements for proxy solicitations;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comply with Regulation Fair Disclosure (“Regulation FD”), which imposes certain restrictions on the selective disclosure of material information.</w:t>
      </w:r>
    </w:p>
    <w:p>
      <w:pPr>
        <w:spacing w:after="0" w:line="203" w:lineRule="exact"/>
        <w:rPr>
          <w:sz w:val="20"/>
          <w:szCs w:val="20"/>
          <w:color w:val="auto"/>
        </w:rPr>
      </w:pPr>
    </w:p>
    <w:p>
      <w:pPr>
        <w:ind w:left="120" w:right="360" w:firstLine="440"/>
        <w:spacing w:after="0"/>
        <w:rPr>
          <w:sz w:val="20"/>
          <w:szCs w:val="20"/>
          <w:color w:val="auto"/>
        </w:rPr>
      </w:pPr>
      <w:r>
        <w:rPr>
          <w:rFonts w:ascii="Arial" w:cs="Arial" w:eastAsia="Arial" w:hAnsi="Arial"/>
          <w:sz w:val="18"/>
          <w:szCs w:val="18"/>
          <w:color w:val="auto"/>
        </w:rPr>
        <w:t>In addition, our officers, directors and principal shareholders are exempt from the reporting and “short-swing” profit recovery provisions of Section 16 of the Exchange Act and the related rules with respect to their purchases and sales of our ADSs and ordinary shares.</w:t>
      </w:r>
    </w:p>
    <w:p>
      <w:pPr>
        <w:spacing w:after="0" w:line="181"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b w:val="1"/>
          <w:bCs w:val="1"/>
          <w:i w:val="1"/>
          <w:iCs w:val="1"/>
          <w:color w:val="auto"/>
        </w:rPr>
        <w:t>As a foreign private issuer, we are not required to comply with some of the corporate governance standards of Nasdaq applicable to companies incorporated in the United States.</w:t>
      </w:r>
    </w:p>
    <w:p>
      <w:pPr>
        <w:spacing w:after="0" w:line="6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Board is required to meet certain corporate governance standards under Nasdaq Listing Rules, including the requirement to maintain an audit committee comprised of three or more directors satisfying the independence standards of Nasdaq applicable to audit committee members. While foreign private issuers are not required to comply with most of the other corporate governance rules of Nasdaq, we believe we currently comply with, and intend to continue to comply with, the majority of such requirements, including the requirements to maintain a majority of independent directors and nominating and compensation committees of our Board comprised solely of independent directors. We follow UK requirements with respect to shareholder meetings including shareholder meetings required to disapply preemption rights and issue ordinary shares to investors in connection with private placements of our securities and follow the AIM rules and Corporate Governance Code published by the Quoted Companies Alliance for other corporate governance matters. As a result, holders of our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ADSs may not be afforded the benefits of the corporate governance standards of Nasdaq to the same extent applicable to companies incorporated in the United States.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reporting requirements may apply if we lose our status as a foreign private issuer.</w:t>
      </w:r>
    </w:p>
    <w:p>
      <w:pPr>
        <w:spacing w:after="0" w:line="126"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If we lose our status as a “foreign private issuer” under the rules and regulations of the SEC at some future time, then we will no longer be exempt from such rules and, among other things, will be required to file periodic reports and financial statements as if we were a company incorporated in the United States. The costs incurred in fulfilling these additional regulatory requirements could be substantial.</w:t>
      </w:r>
    </w:p>
    <w:p>
      <w:pPr>
        <w:spacing w:after="0" w:line="181"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b w:val="1"/>
          <w:bCs w:val="1"/>
          <w:i w:val="1"/>
          <w:iCs w:val="1"/>
          <w:color w:val="auto"/>
        </w:rPr>
        <w:t>Although our reporting obligations as a foreign private issuer are fewer than those of a public company incorporated in the United States, our costs of complying with our SEC reporting requirements are significant, and our management is required to devote substantial time to complying with SEC regulations.</w:t>
      </w:r>
    </w:p>
    <w:p>
      <w:pPr>
        <w:spacing w:after="0" w:line="8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 company with securities listed in the United States, and particularly after we no longer qualify as an emerging growth company, we will incur significant legal, accounting, and other expenses that we did not incur previously.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expensive for us to obtain director and officer liability insurance, which in turn could make it more difficult for us to attract and retain qualified senior management personnel or members for our Board. In addition,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2"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the ADSs less attractive to investors.</w:t>
      </w:r>
    </w:p>
    <w:p>
      <w:pPr>
        <w:spacing w:after="0" w:line="68"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As such, we are eligible to, and intend to, take advantage, for up to five years, of certain exemptions from various reporting requirements applicable to other public companies that are not Emerging Growth Companies, such as not being required to comply with the auditor attestation requirements of Section 404 of the Sarbanes-Oxley Act of 2002. These exemptions include:</w:t>
      </w:r>
    </w:p>
    <w:p>
      <w:pPr>
        <w:spacing w:after="0" w:line="232" w:lineRule="exact"/>
        <w:rPr>
          <w:sz w:val="20"/>
          <w:szCs w:val="20"/>
          <w:color w:val="auto"/>
        </w:rPr>
      </w:pPr>
    </w:p>
    <w:p>
      <w:pPr>
        <w:ind w:left="980" w:right="260" w:hanging="432"/>
        <w:spacing w:after="0" w:line="218"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7" w:lineRule="exact"/>
        <w:rPr>
          <w:rFonts w:ascii="MS PGothic" w:cs="MS PGothic" w:eastAsia="MS PGothic" w:hAnsi="MS PGothic"/>
          <w:sz w:val="25"/>
          <w:szCs w:val="25"/>
          <w:color w:val="auto"/>
          <w:vertAlign w:val="superscript"/>
        </w:rPr>
      </w:pPr>
    </w:p>
    <w:p>
      <w:pPr>
        <w:ind w:left="980" w:right="160" w:hanging="432"/>
        <w:spacing w:after="0" w:line="223"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disclosure obligations regarding executive compensation; and</w:t>
      </w:r>
    </w:p>
    <w:p>
      <w:pPr>
        <w:spacing w:after="0" w:line="26"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We expect to continue to take advantage of some or all of the available exemptions. We cannot predict whether investors will find the ADSs less attractive if we rely on these exemptions. If some investors find the ADSs less attractive as a result, there may be a less active trading market for the ADSs and the market price of the ADSs may be more volatile.</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80"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b w:val="1"/>
          <w:bCs w:val="1"/>
          <w:i w:val="1"/>
          <w:iCs w:val="1"/>
          <w:color w:val="auto"/>
        </w:rPr>
        <w:t>The executive officers, Board and certain of our existing shareholders own a majority or a significant portion of our outstanding ordinary shares and, as a result, have control or significant influence over us and our interests may conflict with the interests of these shareholders.</w:t>
      </w:r>
    </w:p>
    <w:p>
      <w:pPr>
        <w:spacing w:after="0" w:line="8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executive officers, Board and significant shareholders and their respective affiliates, in the aggregate, beneficially own a majority of our outstanding ordinary shares (including ordinary shares in the form of our ADSs). Depending on the level of attendance at our general meetings of shareholders, these shareholders either alone or voting together as a group may be in a position to control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Any shareholder or group of shareholders controlling more than 75% of the share capital present and voting at our general meetings of shareholders may control any shareholder resolution amending our Articles. These shareholders may have interests that differ from ours and may vote in a way with which we disagree and which may be adverse to your interests. Among other consequences, this concentration of ownership may have the effect of delaying or preventing a change in control and might therefore negatively affect the market price of our ADSs and ordinary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 passive foreign investment company (“PFIC”) for any taxable year, which could result in material adverse U.S.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income tax consequences if you are a U.S. investor.</w:t>
      </w:r>
    </w:p>
    <w:p>
      <w:pPr>
        <w:spacing w:after="0" w:line="10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general, a non-U.S. corporation will be a PFIC for any taxable year in which (i) 75% or more of its gross income consists of passive income (the “income test”) or (ii) 50% or more of the value of its assets consists of assets (generally determined on a quarterly average basis)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207"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Based on our gross income, the average value of our assets, including goodwill, and the nature of the current state of our business, we believe we were a PFIC for the taxable year ended December 31, 2019. There can be no assurance regarding our PFIC status for the current taxable year or any particular year in the future because PFIC status is factual in nature, depends upon factors not wholly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within our control, generally cannot be determined until the close of the taxable year in question and is determined annually. Accordingly, U.S. investors should invest in our ADSs only if they are willing to bear the U.S. federal income tax consequences associated with investments in PFICs.</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If we were a PFIC for any taxable year during which a U.S. investor owns ADSs or ordinary shares, certain adverse U.S. federal income tax consequences could apply to such U.S. investor. We will provide the information necessary for a U.S. investor to make a qualifying electing fund election with respect to us. See “Material Tax Considerations—Material U.S. Federal Income Tax Considerations— Passive Foreign Investment Company Rules” in the accompanying prospectus. U.S. investors should consult their tax advisers regarding our PFIC status for any taxable year and the potential application of the PFIC rules to an investment in our ADSs.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may issue and sell our ADSs having aggregate sales proceeds of up to $50,000,000 from time to time. Because there is no minimum offering amount required as a condition to close this offering, the actual total public offering amount, commissions and proceeds to us, if any, are not determinable at this time. We currently intend to use the net proceeds of this offering, if any, for advancing our clinical development programs, general corporate purposes and other business opportunities. Our expected use of net proceeds from this offering represents our current intentions based upon our present plans and business conditions. As of the date of this prospectus supplement, we cannot predict with certainty all of the particular uses for the net proceeds to be received upon the completion of this offering or the amounts that we will actually spend on the uses set forth above.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34"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We have entered into a sales agreement with SVB Leerink LLC (“SVB Leerink”), under which we may issue and sell from time to time up to $50,000,000 of our ADSs, each representing five ordinary shares, through SVB Leerink as our sales agent. Sales of our ADSs, if any, will be made at market prices by any method that is deemed to be an “at the market” offering as defined in Rule 415 under the Securities Act, including sales made directly on The Nasdaq Global Select Market or any other trading market for our ADSs, or sales to or through a market maker other than on an exchange. If authorized by us in writing, SVB Leerink may also sell our ADSs by any other method permitted by law, including negotiated transactions, and SVB Leerink may also purchase our ADSs as principal.</w:t>
      </w:r>
    </w:p>
    <w:p>
      <w:pPr>
        <w:spacing w:after="0" w:line="205"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7"/>
          <w:szCs w:val="17"/>
          <w:color w:val="auto"/>
        </w:rPr>
        <w:t>SVB Leerink will offer our ADSs subject to the terms and conditions of the sales agreement on a daily basis or as otherwise agreed upon by us and SVB Leerink. We will designate the maximum amount of ADSs to be sold through SVB Leerink on a daily basis or otherwise determine such maximum amount together with SVB Leerink. Subject to the terms and conditions of the sales agreement, SVB Leerink will use its commercially reasonable efforts to sell on our behalf all of the ADSs requested to be sold by us. We may instruct SVB Leerink not to sell ADSs if the sales cannot be effected at or above the price designated by us in any such instruction. SVB Leerink or we may suspend the offering of our ADSs being made through SVB Leerink under the sales agreement upon proper notice to the other party.</w:t>
      </w:r>
    </w:p>
    <w:p>
      <w:pPr>
        <w:spacing w:after="0" w:line="19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aggregate compensation payable to SVB Leerink as sales agent equals up to 3% of the gross sales price of the ADSs sold through it pursuant to the sales agreement. We have also agreed to reimburse SVB Leerink up to $50,000 of SVB Leerink’s actual outside legal expenses incurred by SVB Leerink in connection with this offering, and for certain other expenses, including SVB Leerink’s FINRA counsel fees in an amount up to $10,000. In accordance with FINRA Rule 5110 these reimbursed fees and expenses are deemed sales compensation to SVB Leerink in connection with this offering. We estimate that the total expenses of the offering payable by us, excluding commissions payable to SVB Leerink under the sales agreement and ADS issuance fees payable to the depositary bank, will be approximately $30,000.</w:t>
      </w:r>
    </w:p>
    <w:p>
      <w:pPr>
        <w:spacing w:after="0" w:line="203"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The remaining sales proceeds, after deducting any expenses payable by us and any transaction fees imposed by any governmental, regulatory, or self-regulatory organization in connection with the sales, will equal our net proceeds for the sale of such ADSs.</w:t>
      </w:r>
    </w:p>
    <w:p>
      <w:pPr>
        <w:spacing w:after="0" w:line="17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SVB Leerink will provide written confirmation to us following the close of trading on The Nasdaq Global Select Market on each day in which ADSs are sold through it as sales agent under the sales agreement. Each confirmation will include the number of ADSs sold through it as sales agent on that day, the volume weighted average price of the shares sold, the percentage of the daily trading volume and the net proceeds to us.</w:t>
      </w:r>
    </w:p>
    <w:p>
      <w:pPr>
        <w:spacing w:after="0" w:line="205"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We will report at least quarterly the number of ADSs sold through SVB Leerink under the sales agreement, the net proceeds to us and the compensation paid by us to SVB Leerink in connection with the sales of ADSs.</w:t>
      </w:r>
    </w:p>
    <w:p>
      <w:pPr>
        <w:spacing w:after="0" w:line="197"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Settlement for sales of ADSs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In connection with the sales of our ADSs on our behalf, SVB Leerink may be deemed to be an “underwriter” within the meaning of the Securities Act, and the compensation paid to SVB Leerink may be deemed to be underwriting commissions or discounts. We have agreed in the sales agreement to provide indemnification and contribution to SVB Leerink against certain liabilities, including liabilities under the Securities Act. As sales agent, SVB Leerink will not engage in any transactions that stabilizes our ADSs.</w:t>
      </w:r>
    </w:p>
    <w:p>
      <w:pPr>
        <w:spacing w:after="0" w:line="205"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Our ADSs are listed on The Nasdaq Global Select Market and trade under the symbol “MREO.” The depositary bank of our ADSs is Citibank, N.A.</w:t>
      </w:r>
    </w:p>
    <w:p>
      <w:pPr>
        <w:spacing w:after="0" w:line="197"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The offering of our ADSs pursuant to the sales agreement will terminate upon the earlier of (i) the sale of all ADSs subject to the sales agreement and (ii) the termination of the sales agreement as permitted therein. We and SVB Leerink may each terminate the sales agreement at any time upon ten days’ prior notice.</w:t>
      </w:r>
    </w:p>
    <w:p>
      <w:pPr>
        <w:spacing w:after="0" w:line="203"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This summary of the material provisions of the sales agreement does not purport to be a complete statement of its terms and conditions. A copy of the sales agreement is filed as an exhibit to the registration statement to which this prospectus supplement forms a part.</w:t>
      </w:r>
    </w:p>
    <w:p>
      <w:pPr>
        <w:spacing w:after="0" w:line="203" w:lineRule="exact"/>
        <w:rPr>
          <w:sz w:val="20"/>
          <w:szCs w:val="20"/>
          <w:color w:val="auto"/>
        </w:rPr>
      </w:pPr>
    </w:p>
    <w:p>
      <w:pPr>
        <w:ind w:left="120" w:right="380" w:firstLine="440"/>
        <w:spacing w:after="0" w:line="238" w:lineRule="auto"/>
        <w:rPr>
          <w:sz w:val="20"/>
          <w:szCs w:val="20"/>
          <w:color w:val="auto"/>
        </w:rPr>
      </w:pPr>
      <w:r>
        <w:rPr>
          <w:rFonts w:ascii="Arial" w:cs="Arial" w:eastAsia="Arial" w:hAnsi="Arial"/>
          <w:sz w:val="18"/>
          <w:szCs w:val="18"/>
          <w:color w:val="auto"/>
        </w:rPr>
        <w:t>SVB Leerink and/or its affiliates have provided, and may in the future provide, various investment banking, commercial banking, financial advisory and other financial services for us and our affiliates, for which services they have received and, may in the future receive, customary fees. In the course of its business, SVB Leerink may actively trade our securities for its own account or for the accounts of customers, and, accordingly, SVB Leerink may at any time hold long or short positions in such securities.</w:t>
      </w:r>
    </w:p>
    <w:p>
      <w:pPr>
        <w:spacing w:after="0" w:line="205"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In connection with a private placement we completed on June 4, 2020, SVB Leerink received certain cash compensation. Silicon Valley Bank, an affiliate of SVB Leerink, is also a lender under one of our loan agreements and holds warrants to purchase ordinary shares. To the extent we use proceeds from this offering to repay indebtedness under such loan agreement, Silicon Valley Bank may receive proceeds from this offering.</w:t>
      </w:r>
    </w:p>
    <w:p>
      <w:pPr>
        <w:spacing w:after="0" w:line="20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A prospectus supplement and the accompanying prospectus in electronic format may be made available on a website maintained by SVB Leerink, and SVB Leerink may distribute the prospectus supplement and the accompanying prospectus electronically.</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jc w:val="both"/>
        <w:ind w:left="120" w:right="120" w:firstLine="440"/>
        <w:spacing w:after="0" w:line="261" w:lineRule="auto"/>
        <w:rPr>
          <w:sz w:val="20"/>
          <w:szCs w:val="20"/>
          <w:color w:val="auto"/>
        </w:rPr>
      </w:pPr>
      <w:r>
        <w:rPr>
          <w:rFonts w:ascii="Arial" w:cs="Arial" w:eastAsia="Arial" w:hAnsi="Arial"/>
          <w:sz w:val="17"/>
          <w:szCs w:val="17"/>
          <w:color w:val="auto"/>
        </w:rPr>
        <w:t>Mayer Brown LLP has passed upon certain legal matters regarding the securities offered hereby. The validity of the ordinary shares underlying the ADSs to be offered pursuant to this prospectus supplement will be passed upon for us by Mayer Brown International LLP. SVB Leerink, LLC is being represented in connection with this offering by Kirkland &amp; Ellis LLP and Kirkland &amp; Ellis (International) LLP.</w:t>
      </w: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The consolidated financial statements of Mereo BioPharma Group plc appearing in Mereo BioPharma Group plc’s Annual Report (Form 20-F)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9" w:lineRule="exact"/>
        <w:rPr>
          <w:sz w:val="20"/>
          <w:szCs w:val="20"/>
          <w:color w:val="auto"/>
        </w:rPr>
      </w:pPr>
    </w:p>
    <w:p>
      <w:pPr>
        <w:jc w:val="center"/>
        <w:ind w:right="220"/>
        <w:spacing w:after="0" w:line="418" w:lineRule="auto"/>
        <w:rPr>
          <w:sz w:val="20"/>
          <w:szCs w:val="20"/>
          <w:color w:val="auto"/>
        </w:rPr>
      </w:pPr>
      <w:r>
        <w:rPr>
          <w:rFonts w:ascii="Arial" w:cs="Arial" w:eastAsia="Arial" w:hAnsi="Arial"/>
          <w:sz w:val="18"/>
          <w:szCs w:val="18"/>
          <w:color w:val="auto"/>
        </w:rPr>
        <w:t>The registered business address of Ernst &amp; Young LLP is Apex Plaza, Forbury Road, Reading, RG1 1YE, United Kingdom. S-20</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F-3 under the Securities Act. This prospectus supplement,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supplement relating to a document filed as an exhibit is qualified in all respects by the filed exhibit.</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maintain a corporate website at https://www.mereobiopharma.com. Information contained on, or that can be accessed through, our website does not constitute a part of this prospectus supplement and our website address is included in this prospectus supplement as an inactive textual reference only.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to you by referring you to other documents which we have filed or will file with the SEC. We are incorporating by reference in this prospectus supplement the documents listed below and all amendments or supplements we may file to such documents, as well as any future filings we may make with the SEC on Form 20-F under the Exchange Act before the time that all of the securities offered by this prospectus supplement have been sold or de-registered:</w:t>
      </w:r>
    </w:p>
    <w:p>
      <w:pPr>
        <w:spacing w:after="0" w:line="193" w:lineRule="exact"/>
        <w:rPr>
          <w:sz w:val="20"/>
          <w:szCs w:val="20"/>
          <w:color w:val="auto"/>
        </w:rPr>
      </w:pPr>
    </w:p>
    <w:p>
      <w:pPr>
        <w:ind w:left="980" w:hanging="43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9">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June 15, 2020;</w:t>
      </w:r>
    </w:p>
    <w:p>
      <w:pPr>
        <w:spacing w:after="0" w:line="107" w:lineRule="exact"/>
        <w:rPr>
          <w:rFonts w:ascii="Arial" w:cs="Arial" w:eastAsia="Arial" w:hAnsi="Arial"/>
          <w:sz w:val="18"/>
          <w:szCs w:val="18"/>
          <w:color w:val="auto"/>
        </w:rPr>
      </w:pPr>
    </w:p>
    <w:p>
      <w:pPr>
        <w:ind w:left="980" w:right="680" w:hanging="432"/>
        <w:spacing w:after="0" w:line="21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reports on Form 6-K furnished to the SEC on </w:t>
      </w:r>
      <w:hyperlink r:id="rId40">
        <w:r>
          <w:rPr>
            <w:rFonts w:ascii="Arial" w:cs="Arial" w:eastAsia="Arial" w:hAnsi="Arial"/>
            <w:sz w:val="18"/>
            <w:szCs w:val="18"/>
            <w:u w:val="single" w:color="auto"/>
            <w:color w:val="0000EE"/>
          </w:rPr>
          <w:t>September 29, 2020</w:t>
        </w:r>
      </w:hyperlink>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EE"/>
          </w:rPr>
          <w:t>October 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2">
        <w:r>
          <w:rPr>
            <w:rFonts w:ascii="Arial" w:cs="Arial" w:eastAsia="Arial" w:hAnsi="Arial"/>
            <w:sz w:val="18"/>
            <w:szCs w:val="18"/>
            <w:u w:val="single" w:color="auto"/>
            <w:color w:val="0000EE"/>
          </w:rPr>
          <w:t>October 19,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that we incorporate by reference into this prospectus supplement; and</w:t>
      </w:r>
    </w:p>
    <w:p>
      <w:pPr>
        <w:spacing w:after="0" w:line="108" w:lineRule="exact"/>
        <w:rPr>
          <w:rFonts w:ascii="Arial" w:cs="Arial" w:eastAsia="Arial" w:hAnsi="Arial"/>
          <w:sz w:val="18"/>
          <w:szCs w:val="18"/>
          <w:color w:val="auto"/>
        </w:rPr>
      </w:pPr>
    </w:p>
    <w:p>
      <w:pPr>
        <w:ind w:left="980" w:hanging="432"/>
        <w:spacing w:after="0" w:line="22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in Item 1 of the Registration Statement on </w:t>
      </w:r>
      <w:hyperlink r:id="rId43">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 No. 001-38452, originally filed with the SEC on April 9, 2018 and subsequently amended on April 15, 2019, as updated by </w:t>
      </w:r>
      <w:hyperlink r:id="rId44">
        <w:r>
          <w:rPr>
            <w:rFonts w:ascii="Arial" w:cs="Arial" w:eastAsia="Arial" w:hAnsi="Arial"/>
            <w:sz w:val="18"/>
            <w:szCs w:val="18"/>
            <w:u w:val="single" w:color="auto"/>
            <w:color w:val="0000EE"/>
          </w:rPr>
          <w:t>Exhibit 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2019 Form 20-F, including the “Description of Ordinary Shares” and the “Description of American Depositary Shares” contained therein and any amendment or report filed for the purpose of further updating such descriptions.</w:t>
      </w:r>
    </w:p>
    <w:p>
      <w:pPr>
        <w:spacing w:after="0" w:line="203" w:lineRule="exact"/>
        <w:rPr>
          <w:rFonts w:ascii="MS PGothic" w:cs="MS PGothic" w:eastAsia="MS PGothic" w:hAnsi="MS PGothic"/>
          <w:sz w:val="25"/>
          <w:szCs w:val="25"/>
          <w:color w:val="auto"/>
          <w:vertAlign w:val="superscript"/>
        </w:rPr>
      </w:pPr>
    </w:p>
    <w:p>
      <w:pPr>
        <w:ind w:left="120" w:firstLine="440"/>
        <w:spacing w:after="0" w:line="236" w:lineRule="auto"/>
        <w:rPr>
          <w:sz w:val="20"/>
          <w:szCs w:val="20"/>
          <w:color w:val="auto"/>
        </w:rPr>
      </w:pPr>
      <w:r>
        <w:rPr>
          <w:rFonts w:ascii="Arial" w:cs="Arial" w:eastAsia="Arial" w:hAnsi="Arial"/>
          <w:sz w:val="18"/>
          <w:szCs w:val="18"/>
          <w:color w:val="auto"/>
        </w:rPr>
        <w:t>In addition, any reports on Form 6-K submitted to the SEC by us pursuant to the Exchange Act after the date of the initial registration statement and prior to effectiveness of the registration statement that we specifically identify in such forms as being incorporated by reference into the registration statement of which this prospectus supplement forms a part and all subsequent annual reports on Form 20-F filed after the effective date of this registration statement and prior to the termination of this offering and any reports on Form 6-K subsequently submitted to the SEC or portions thereof that we specifically identify in such forms as being incorporated by reference into the registration statement of which this prospectus supplement forms a part, shall be considered to be incorporated into this prospectus supplement by reference and shall be considered a part of this prospectus supplement from the date of filing or submission of such documents.</w:t>
      </w:r>
    </w:p>
    <w:p>
      <w:pPr>
        <w:spacing w:after="0" w:line="208" w:lineRule="exact"/>
        <w:rPr>
          <w:rFonts w:ascii="MS PGothic" w:cs="MS PGothic" w:eastAsia="MS PGothic" w:hAnsi="MS PGothic"/>
          <w:sz w:val="25"/>
          <w:szCs w:val="25"/>
          <w:color w:val="auto"/>
          <w:vertAlign w:val="superscript"/>
        </w:rPr>
      </w:pPr>
    </w:p>
    <w:p>
      <w:pPr>
        <w:ind w:left="120" w:right="180" w:firstLine="440"/>
        <w:spacing w:after="0" w:line="238" w:lineRule="auto"/>
        <w:rPr>
          <w:sz w:val="20"/>
          <w:szCs w:val="20"/>
          <w:color w:val="auto"/>
        </w:rPr>
      </w:pPr>
      <w:r>
        <w:rPr>
          <w:rFonts w:ascii="Arial" w:cs="Arial" w:eastAsia="Arial" w:hAnsi="Arial"/>
          <w:sz w:val="18"/>
          <w:szCs w:val="18"/>
          <w:color w:val="auto"/>
        </w:rPr>
        <w:t>As you read the above documents, you may find inconsistencies in information from one document to another. If you find inconsistencies between the documents and this prospectus supplement, you should rely on the statements made in the most recent document. All information appearing in this prospectus supplement is qualified in its entirety by the information and financial statements, including the notes thereto, contained in the documents incorporated by reference herein.</w:t>
      </w:r>
    </w:p>
    <w:p>
      <w:pPr>
        <w:spacing w:after="0" w:line="205" w:lineRule="exact"/>
        <w:rPr>
          <w:rFonts w:ascii="MS PGothic" w:cs="MS PGothic" w:eastAsia="MS PGothic" w:hAnsi="MS PGothic"/>
          <w:sz w:val="25"/>
          <w:szCs w:val="25"/>
          <w:color w:val="auto"/>
          <w:vertAlign w:val="superscript"/>
        </w:rPr>
      </w:pPr>
    </w:p>
    <w:p>
      <w:pPr>
        <w:ind w:left="120" w:right="280" w:firstLine="440"/>
        <w:spacing w:after="0" w:line="246" w:lineRule="auto"/>
        <w:rPr>
          <w:sz w:val="20"/>
          <w:szCs w:val="20"/>
          <w:color w:val="auto"/>
        </w:rPr>
      </w:pPr>
      <w:r>
        <w:rPr>
          <w:rFonts w:ascii="Arial" w:cs="Arial" w:eastAsia="Arial" w:hAnsi="Arial"/>
          <w:sz w:val="18"/>
          <w:szCs w:val="18"/>
          <w:color w:val="auto"/>
        </w:rPr>
        <w:t>We will provide to each person, including any beneficial owner, to whom this prospectus supplement is delivered, a copy of these filings, at no cost, upon written or oral request to us at the following address:</w:t>
      </w:r>
    </w:p>
    <w:p>
      <w:pPr>
        <w:spacing w:after="0" w:line="84" w:lineRule="exact"/>
        <w:rPr>
          <w:rFonts w:ascii="MS PGothic" w:cs="MS PGothic" w:eastAsia="MS PGothic" w:hAnsi="MS PGothic"/>
          <w:sz w:val="25"/>
          <w:szCs w:val="25"/>
          <w:color w:val="auto"/>
          <w:vertAlign w:val="superscript"/>
        </w:rPr>
      </w:pPr>
    </w:p>
    <w:p>
      <w:pPr>
        <w:ind w:left="3980"/>
        <w:spacing w:after="0"/>
        <w:rPr>
          <w:sz w:val="20"/>
          <w:szCs w:val="20"/>
          <w:color w:val="auto"/>
        </w:rPr>
      </w:pPr>
      <w:r>
        <w:rPr>
          <w:rFonts w:ascii="Arial" w:cs="Arial" w:eastAsia="Arial" w:hAnsi="Arial"/>
          <w:sz w:val="18"/>
          <w:szCs w:val="18"/>
          <w:color w:val="auto"/>
        </w:rPr>
        <w:t>Mereo BioPharma Group plc</w:t>
      </w:r>
    </w:p>
    <w:p>
      <w:pPr>
        <w:ind w:left="3980"/>
        <w:spacing w:after="0" w:line="234" w:lineRule="auto"/>
        <w:rPr>
          <w:sz w:val="20"/>
          <w:szCs w:val="20"/>
          <w:color w:val="auto"/>
        </w:rPr>
      </w:pPr>
      <w:r>
        <w:rPr>
          <w:rFonts w:ascii="Arial" w:cs="Arial" w:eastAsia="Arial" w:hAnsi="Arial"/>
          <w:sz w:val="18"/>
          <w:szCs w:val="18"/>
          <w:color w:val="auto"/>
        </w:rPr>
        <w:t>1 Cavendish Place</w:t>
      </w:r>
    </w:p>
    <w:p>
      <w:pPr>
        <w:ind w:left="3980"/>
        <w:spacing w:after="0" w:line="235" w:lineRule="auto"/>
        <w:rPr>
          <w:sz w:val="20"/>
          <w:szCs w:val="20"/>
          <w:color w:val="auto"/>
        </w:rPr>
      </w:pPr>
      <w:r>
        <w:rPr>
          <w:rFonts w:ascii="Arial" w:cs="Arial" w:eastAsia="Arial" w:hAnsi="Arial"/>
          <w:sz w:val="18"/>
          <w:szCs w:val="18"/>
          <w:color w:val="auto"/>
        </w:rPr>
        <w:t>4th Floor</w:t>
      </w:r>
    </w:p>
    <w:p>
      <w:pPr>
        <w:ind w:left="3980"/>
        <w:spacing w:after="0" w:line="235" w:lineRule="auto"/>
        <w:rPr>
          <w:sz w:val="20"/>
          <w:szCs w:val="20"/>
          <w:color w:val="auto"/>
        </w:rPr>
      </w:pPr>
      <w:r>
        <w:rPr>
          <w:rFonts w:ascii="Arial" w:cs="Arial" w:eastAsia="Arial" w:hAnsi="Arial"/>
          <w:sz w:val="18"/>
          <w:szCs w:val="18"/>
          <w:color w:val="auto"/>
        </w:rPr>
        <w:t>London, W1G 0QF</w:t>
      </w:r>
    </w:p>
    <w:p>
      <w:pPr>
        <w:ind w:left="3980"/>
        <w:spacing w:after="0" w:line="235" w:lineRule="auto"/>
        <w:rPr>
          <w:sz w:val="20"/>
          <w:szCs w:val="20"/>
          <w:color w:val="auto"/>
        </w:rPr>
      </w:pPr>
      <w:r>
        <w:rPr>
          <w:rFonts w:ascii="Arial" w:cs="Arial" w:eastAsia="Arial" w:hAnsi="Arial"/>
          <w:sz w:val="18"/>
          <w:szCs w:val="18"/>
          <w:color w:val="auto"/>
        </w:rPr>
        <w:t>United Kingdom</w:t>
      </w:r>
    </w:p>
    <w:p>
      <w:pPr>
        <w:ind w:left="3980"/>
        <w:spacing w:after="0" w:line="235" w:lineRule="auto"/>
        <w:rPr>
          <w:sz w:val="20"/>
          <w:szCs w:val="20"/>
          <w:color w:val="auto"/>
        </w:rPr>
      </w:pPr>
      <w:r>
        <w:rPr>
          <w:rFonts w:ascii="Arial" w:cs="Arial" w:eastAsia="Arial" w:hAnsi="Arial"/>
          <w:sz w:val="18"/>
          <w:szCs w:val="18"/>
          <w:color w:val="auto"/>
        </w:rPr>
        <w:t>Tel: +44-333-023-7300</w:t>
      </w:r>
    </w:p>
    <w:p>
      <w:pPr>
        <w:ind w:left="3980"/>
        <w:spacing w:after="0"/>
        <w:rPr>
          <w:sz w:val="20"/>
          <w:szCs w:val="20"/>
          <w:color w:val="auto"/>
        </w:rPr>
      </w:pPr>
      <w:r>
        <w:rPr>
          <w:rFonts w:ascii="Arial" w:cs="Arial" w:eastAsia="Arial" w:hAnsi="Arial"/>
          <w:sz w:val="18"/>
          <w:szCs w:val="18"/>
          <w:color w:val="auto"/>
        </w:rPr>
        <w:t>Attention: Investor Relations</w:t>
      </w:r>
    </w:p>
    <w:p>
      <w:pPr>
        <w:spacing w:after="0" w:line="144" w:lineRule="exact"/>
        <w:rPr>
          <w:rFonts w:ascii="MS PGothic" w:cs="MS PGothic" w:eastAsia="MS PGothic" w:hAnsi="MS PGothic"/>
          <w:sz w:val="25"/>
          <w:szCs w:val="25"/>
          <w:color w:val="auto"/>
          <w:vertAlign w:val="superscript"/>
        </w:rPr>
      </w:pPr>
    </w:p>
    <w:p>
      <w:pPr>
        <w:jc w:val="center"/>
        <w:ind w:right="-15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We have not authorized anyone else to provide you with different or additional information. An offer of these securities is not being made in any jurisdiction where the offer or sale is not permitted. You should not assume that the information in this prospectus supplement is accurate as of any date other than the date on the front of those documents.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699516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342265</wp:posOffset>
            </wp:positionV>
            <wp:extent cx="2554605" cy="9512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255460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American Depositary Shares Representing Ordinary Shares</w:t>
      </w: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offer, from time to time, the ADSs described in this prospectus, for an aggregate offering price of up to $200,000,000.</w:t>
      </w:r>
    </w:p>
    <w:p>
      <w:pPr>
        <w:spacing w:after="0" w:line="320"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We will provide you with the specific amount, price and terms of the applicable offered ADSs in one or more supplements to this prospectus. You should carefully read this prospectus and the applicable prospectus supplement, as well as the documents incorporated or deemed to be incorporated by reference in this prospectus, before you purchase any of the ADSs offered hereby.</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offer and sell the ADSs in the same offering or in separate offerings, to or through underwriters, dealers, and agents, or directly to purchasers. The names of any underwriters, dealers, or agents involved in the sale of our ADSs, their compensation and any options to purchase additional ADSs held by them will be described in the applicable prospectus supplement. See “Plan of Distribution.”</w:t>
      </w:r>
    </w:p>
    <w:p>
      <w:pPr>
        <w:spacing w:after="0" w:line="31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Our ADSs trade on the Nasdaq Global Market (“Nasdaq”) under the symbol “MREO.” In addition, our ordinary shares trade on AIM, a market of the London Stock Exchange, under the symbol “MPH.” On October 5, 2020, the last reported sale price of our ADSs on Nasdaq was $2.44 per ADS.</w:t>
      </w:r>
    </w:p>
    <w:p>
      <w:pPr>
        <w:spacing w:after="0" w:line="311" w:lineRule="exact"/>
        <w:rPr>
          <w:sz w:val="20"/>
          <w:szCs w:val="20"/>
          <w:color w:val="auto"/>
        </w:rPr>
      </w:pPr>
    </w:p>
    <w:p>
      <w:pPr>
        <w:jc w:val="both"/>
        <w:ind w:left="120" w:right="160"/>
        <w:spacing w:after="0"/>
        <w:rPr>
          <w:sz w:val="20"/>
          <w:szCs w:val="20"/>
          <w:color w:val="auto"/>
        </w:rPr>
      </w:pPr>
      <w:r>
        <w:rPr>
          <w:rFonts w:ascii="Arial" w:cs="Arial" w:eastAsia="Arial" w:hAnsi="Arial"/>
          <w:sz w:val="18"/>
          <w:szCs w:val="18"/>
          <w:color w:val="auto"/>
        </w:rPr>
        <w:t>We are both an “emerging growth company” and a “foreign private issuer” as defined under the Securities Act of 1933, as amended (the “Securities Act”), and, as such, are subject to reduced public company reporting requirements. See “Prospectus Summary—Implications of Being an Emerging Growth Company and a Foreign Private Issuer” for additional information.</w:t>
      </w:r>
    </w:p>
    <w:p>
      <w:pPr>
        <w:spacing w:after="0" w:line="289" w:lineRule="exact"/>
        <w:rPr>
          <w:sz w:val="20"/>
          <w:szCs w:val="20"/>
          <w:color w:val="auto"/>
        </w:rPr>
      </w:pPr>
    </w:p>
    <w:p>
      <w:pPr>
        <w:ind w:left="120" w:right="920"/>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Our business and an investment in our ADSs involve significant risks. See “</w:t>
      </w:r>
      <w:hyperlink w:anchor="page32">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5 of this prospectus.</w:t>
      </w:r>
    </w:p>
    <w:p>
      <w:pPr>
        <w:spacing w:after="0" w:line="284"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288290</wp:posOffset>
            </wp:positionV>
            <wp:extent cx="18173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Prospectus dated October 21, 2020</w:t>
      </w:r>
    </w:p>
    <w:p>
      <w:pPr>
        <w:sectPr>
          <w:pgSz w:w="11900" w:h="16838" w:orient="portrait"/>
          <w:cols w:equalWidth="0" w:num="1">
            <w:col w:w="11100"/>
          </w:cols>
          <w:pgMar w:left="320" w:top="459" w:right="4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2320" w:type="dxa"/>
            <w:vAlign w:val="bottom"/>
          </w:tcPr>
          <w:p>
            <w:pPr>
              <w:spacing w:after="0"/>
              <w:rPr>
                <w:sz w:val="20"/>
                <w:szCs w:val="20"/>
                <w:color w:val="auto"/>
              </w:rPr>
            </w:pPr>
          </w:p>
        </w:tc>
      </w:tr>
      <w:tr>
        <w:trPr>
          <w:trHeight w:val="513"/>
        </w:trPr>
        <w:tc>
          <w:tcPr>
            <w:tcW w:w="87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320" w:type="dxa"/>
            <w:vAlign w:val="bottom"/>
          </w:tcPr>
          <w:p>
            <w:pPr>
              <w:spacing w:after="0"/>
              <w:rPr>
                <w:sz w:val="24"/>
                <w:szCs w:val="24"/>
                <w:color w:val="auto"/>
              </w:rPr>
            </w:pPr>
          </w:p>
        </w:tc>
      </w:tr>
      <w:tr>
        <w:trPr>
          <w:trHeight w:val="567"/>
        </w:trPr>
        <w:tc>
          <w:tcPr>
            <w:tcW w:w="8760" w:type="dxa"/>
            <w:vAlign w:val="bottom"/>
          </w:tcPr>
          <w:p>
            <w:pPr>
              <w:ind w:left="1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ABOUT THIS PROSPECTUS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PROSPECTUS SUMMARY</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RISK FACTORS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CAUTIONARY STATEMENT REGARDING FORWARD-LOOKING STATEMENTS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CAPITALIZATION</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USE OF PROCEEDS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MATERIAL TAX CONSIDERATIONS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SHARE CAPITAL</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DESCRIPTION OF AMERICAN DEPOSITARY SHARES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PLAN OF DISTRIBUTION</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LEGAL MATTERS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EXPERTS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SERVICE OF PROCESS AND ENFORCEMENT OF LIABILITIES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WHERE YOU CAN FIND MORE INFORMATION</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INCORPORATION BY REFERENCE</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58</w:t>
            </w:r>
          </w:p>
        </w:tc>
      </w:tr>
    </w:tbl>
    <w:p>
      <w:pPr>
        <w:jc w:val="right"/>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4272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6998970" cy="44272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ABOUT THIS PROSPECTUS</w:t>
      </w:r>
    </w:p>
    <w:p>
      <w:pPr>
        <w:spacing w:after="0" w:line="234" w:lineRule="exact"/>
        <w:rPr>
          <w:sz w:val="20"/>
          <w:szCs w:val="20"/>
          <w:color w:val="auto"/>
        </w:rPr>
      </w:pPr>
    </w:p>
    <w:p>
      <w:pPr>
        <w:ind w:left="300" w:right="20" w:firstLine="426"/>
        <w:spacing w:after="0" w:line="236" w:lineRule="auto"/>
        <w:rPr>
          <w:sz w:val="20"/>
          <w:szCs w:val="20"/>
          <w:color w:val="auto"/>
        </w:rPr>
      </w:pPr>
      <w:r>
        <w:rPr>
          <w:rFonts w:ascii="Arial" w:cs="Arial" w:eastAsia="Arial" w:hAnsi="Arial"/>
          <w:sz w:val="18"/>
          <w:szCs w:val="18"/>
          <w:color w:val="auto"/>
        </w:rPr>
        <w:t>This prospectus is part of a shelf registration statement that we filed with the Securities and Exchange Commission, which we refer to as the “SEC,” utilizing a “shelf” registration process. Under this shelf registration process, we may, over time, offer and sell the ADSs described in this prospectus in one or more offerings, up to a total dollar amount of $200,000,000, as described in this prospectus. This prospectus provides you with a general description of the securities that may be offered. Each time we offer securities under this prospectus, we will provide a prospectus supplement or other offering materials that will contain specific information about the terms of that offering. We may also add, update or change information contained in this prospectus by means of a prospectus supplement or by incorporating by reference information that we file or furnish to the SEC. The registration statement that we filed with the SEC includes exhibits that provide more detail on the matters discussed in this prospectus. If the information in this prospectus is inconsistent with a prospectus supplement, you should rely on the information in that prospectus supplement. Please carefully read this prospectus and any prospectus supplement, together with the additional information described under the headings “Where You Can Find More Information” and “Incorporation by Reference,” before purchasing any securities.</w:t>
      </w:r>
    </w:p>
    <w:p>
      <w:pPr>
        <w:spacing w:after="0" w:line="205" w:lineRule="exact"/>
        <w:rPr>
          <w:sz w:val="20"/>
          <w:szCs w:val="20"/>
          <w:color w:val="auto"/>
        </w:rPr>
      </w:pPr>
    </w:p>
    <w:p>
      <w:pPr>
        <w:ind w:left="300" w:right="20" w:firstLine="426"/>
        <w:spacing w:after="0" w:line="237" w:lineRule="auto"/>
        <w:rPr>
          <w:sz w:val="20"/>
          <w:szCs w:val="20"/>
          <w:color w:val="auto"/>
        </w:rPr>
      </w:pPr>
      <w:r>
        <w:rPr>
          <w:rFonts w:ascii="Arial" w:cs="Arial" w:eastAsia="Arial" w:hAnsi="Arial"/>
          <w:sz w:val="18"/>
          <w:szCs w:val="18"/>
          <w:color w:val="auto"/>
        </w:rPr>
        <w:t>You should rely only on the information contained or incorporated by reference in this prospectus, any prospectus supplement and any issuer free writing prospectus. “Incorporated by reference” means that we can disclose important information to you by referring you to another document filed separately with the SEC. We have not authorized any other person to provide you with different information. If anyone provides you with different information, you should not rely on it. We are not making an offer of these securities in any state or jurisdiction where the offer is not permitted. You should only assume that the information in this prospectus or in any prospectus supplement or issuer free writing prospectus is accurate only as of their respective dates. Our business, financial condition, results of operations and prospects may have changed since those dates.</w:t>
      </w:r>
    </w:p>
    <w:p>
      <w:pPr>
        <w:spacing w:after="0" w:line="203"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Throughout this prospectus,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5, Inc. (formerly OncoMed Pharmaceuticals, Inc.), Mereo BioPharma Ireland Limited, Mereo US Holdings Inc. and NAVI Subsidiary, Inc. Our consolidated financial statements also treat Mereo BioPharma Group plc Employee Benefit Trust, an employee benefit trust operated by us, as a wholly-owned subsidiary of ours. References in this prospectus to the “Merger” are to the merger of Mereo MergerCo One Inc. and OncoMed Pharmaceuticals, Inc., with OncoMed Pharmaceuticals, Inc. surviving as a wholly-owned subsidiary of Mereo US Holdings Inc., and as an indirect wholly-owned subsidiary of Mereo BioPharma Group plc pursuant to the Agreement and Plan of Merger and Reorganization, dated December 5, 2018, by and among Mereo BioPharma Group plc, Mereo US Holdings Inc., Mereo MergerCo One Inc. and OncoMed Pharmaceuticals,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05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right="60" w:firstLine="426"/>
        <w:spacing w:after="0" w:line="242" w:lineRule="auto"/>
        <w:rPr>
          <w:sz w:val="20"/>
          <w:szCs w:val="20"/>
          <w:color w:val="auto"/>
        </w:rPr>
      </w:pPr>
      <w:r>
        <w:rPr>
          <w:rFonts w:ascii="Arial" w:cs="Arial" w:eastAsia="Arial" w:hAnsi="Arial"/>
          <w:sz w:val="18"/>
          <w:szCs w:val="18"/>
          <w:i w:val="1"/>
          <w:iCs w:val="1"/>
          <w:color w:val="auto"/>
        </w:rPr>
        <w:t>This summary highlights information contained elsewhere in this prospectus or incorporated by reference herein. This summary may not contain all the information that may be important to you, and we urge you to read this entire prospectus carefully, including the risks related to our business, our industry, investing in our ordinary shares, that we describe under “Risk Factors” and our consolidated financial statements, including the notes thereto, included and incorporated by reference in this prospectus, before deciding to invest in our ADSs.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6" w:lineRule="exact"/>
        <w:rPr>
          <w:sz w:val="20"/>
          <w:szCs w:val="20"/>
          <w:color w:val="auto"/>
        </w:rPr>
      </w:pPr>
    </w:p>
    <w:p>
      <w:pPr>
        <w:ind w:left="300" w:right="20" w:firstLine="426"/>
        <w:spacing w:after="0" w:line="236"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therapeutics that aim to improve outcomes for oncology and rare diseases. We have developed a portfolio of six clinical stage product candidates. Our lead oncology product candidate, etigilimab (“Anti-TIGIT”), has completed a Phase 1a dose escalation clinical trial in patients with advanced solid tumors and has been evaluated in a Phase 1b study in combination with nivolumab in select tumor types. Our second oncology product, navicixizumab, for the treatment of late line ovarian cancer, has completed a Phase 1 study and has been partnered with OncXerna Therapeutics, Inc., formerly Oncologie, Inc. Our rare disease product candidates are setrusumab for the treatment of OI and alvelestat for the treatment of severe AATD which is being investigated in an ongoing Phase 2 proof-of-concept study in the U.S. and Europe and expect to report top line data from this study in the second half of 2021. The FDA recently granted Rare Pediatric Disease designation to setrusumab for the treatment of OI. Following the completion of our Phase 2b ASTEROID study, both the FDA and the European Medicines Agency (“EMA”) have agreed on the principles of a design of a single Phase 3 pivotal pediatric study in OI and we plan to form a strategic partnership for the development of setrusumab prior to the initiation of a Phase 3 study.</w:t>
      </w:r>
    </w:p>
    <w:p>
      <w:pPr>
        <w:spacing w:after="0" w:line="204" w:lineRule="exact"/>
        <w:rPr>
          <w:sz w:val="20"/>
          <w:szCs w:val="20"/>
          <w:color w:val="auto"/>
        </w:rPr>
      </w:pPr>
    </w:p>
    <w:p>
      <w:pPr>
        <w:ind w:left="300" w:right="140" w:firstLine="426"/>
        <w:spacing w:after="0" w:line="238" w:lineRule="auto"/>
        <w:rPr>
          <w:sz w:val="20"/>
          <w:szCs w:val="20"/>
          <w:color w:val="auto"/>
        </w:rPr>
      </w:pPr>
      <w:r>
        <w:rPr>
          <w:rFonts w:ascii="Arial" w:cs="Arial" w:eastAsia="Arial" w:hAnsi="Arial"/>
          <w:sz w:val="18"/>
          <w:szCs w:val="18"/>
          <w:color w:val="auto"/>
        </w:rPr>
        <w:t>We plan to develop our product candidates for oncology and rare diseases through the next key clinical milestone and then partner or in selected cases to develop through regulatory approval and potentially commercialization. We plan to partner or sell our other two product candidates (which do not target oncology or rare diseases), acumapimod for the treatment of AECOPD and leflutrozole for the treatment of infertility and HH in obese men, recognizing the need for greater resources to take these product candidates to market.</w:t>
      </w:r>
    </w:p>
    <w:p>
      <w:pPr>
        <w:spacing w:after="0" w:line="202"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Our strategy is selectively to acquire and develop product candidates for oncology and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through asset purchases or exclusive licenses of certain intellectual property rights, six clinical-stage product candidates four of which were in oncology and rare diseases. We acquired four of these six clinical-stage product candidates from large pharmaceutical companies and acquired two in the Merger. We aim to efficiently develop our product candidates through the clinic and have commenced or completed large, randomized Phase 2 clinical trials for four of our product candidates.</w:t>
      </w:r>
    </w:p>
    <w:p>
      <w:pPr>
        <w:spacing w:after="0" w:line="203" w:lineRule="exact"/>
        <w:rPr>
          <w:sz w:val="20"/>
          <w:szCs w:val="20"/>
          <w:color w:val="auto"/>
        </w:rPr>
      </w:pPr>
    </w:p>
    <w:p>
      <w:pPr>
        <w:ind w:left="300" w:right="60" w:firstLine="426"/>
        <w:spacing w:after="0" w:line="238" w:lineRule="auto"/>
        <w:rPr>
          <w:sz w:val="20"/>
          <w:szCs w:val="20"/>
          <w:color w:val="auto"/>
        </w:rPr>
      </w:pPr>
      <w:r>
        <w:rPr>
          <w:rFonts w:ascii="Arial" w:cs="Arial" w:eastAsia="Arial" w:hAnsi="Arial"/>
          <w:sz w:val="18"/>
          <w:szCs w:val="18"/>
          <w:color w:val="auto"/>
        </w:rPr>
        <w:t>Oncology and 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oncology and rare diseases both involve close collaboration with key opinion leaders and investigators. Development of rare disease products generally involves close coordination with the patient organizations and patients are treated at a limited number of specialized sites which helps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320" w:top="459" w:right="6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identification of the patient population and enables a small targeted sales infrastructure to commercialize the products in key markets.</w:t>
      </w:r>
    </w:p>
    <w:p>
      <w:pPr>
        <w:spacing w:after="0" w:line="223"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7"/>
          <w:szCs w:val="17"/>
          <w:color w:val="auto"/>
        </w:rPr>
        <w:t>Our team has extensive experience in the pharmaceutical and biotechnology sector in the identification, acquisition, development, manufacturing and commercialization of product candidates in multiple therapeutic areas. Our senior management has long-standing relationships with senior executives of large pharmaceutical and biotechnology companies, which we believe enhances our ability to form strategic partnerships on our product candidates and to identify and acquire additional product candidates.</w:t>
      </w:r>
    </w:p>
    <w:p>
      <w:pPr>
        <w:spacing w:after="0" w:line="167" w:lineRule="exact"/>
        <w:rPr>
          <w:sz w:val="20"/>
          <w:szCs w:val="20"/>
          <w:color w:val="auto"/>
        </w:rPr>
      </w:pPr>
    </w:p>
    <w:p>
      <w:pPr>
        <w:ind w:left="300" w:right="3640"/>
        <w:spacing w:after="0" w:line="372" w:lineRule="auto"/>
        <w:rPr>
          <w:sz w:val="20"/>
          <w:szCs w:val="20"/>
          <w:color w:val="auto"/>
        </w:rPr>
      </w:pPr>
      <w:r>
        <w:rPr>
          <w:rFonts w:ascii="Arial" w:cs="Arial" w:eastAsia="Arial" w:hAnsi="Arial"/>
          <w:sz w:val="18"/>
          <w:szCs w:val="18"/>
          <w:b w:val="1"/>
          <w:bCs w:val="1"/>
          <w:color w:val="auto"/>
        </w:rPr>
        <w:t>Implications of Being an Emerging Growth Company and a Foreign Private Issuer Emerging Growth Company</w:t>
      </w:r>
    </w:p>
    <w:p>
      <w:pPr>
        <w:spacing w:after="0" w:line="1" w:lineRule="exact"/>
        <w:rPr>
          <w:sz w:val="20"/>
          <w:szCs w:val="20"/>
          <w:color w:val="auto"/>
        </w:rPr>
      </w:pPr>
    </w:p>
    <w:p>
      <w:pPr>
        <w:ind w:left="300" w:right="120" w:firstLine="426"/>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(the “JOBS Act”). As an emerging growth company we have chosen to take advantage of certain exemptions from various reporting requirements that are applicable to other publicly traded entities that are not emerging growth companies. These exemptions include:</w:t>
      </w:r>
    </w:p>
    <w:p>
      <w:pPr>
        <w:spacing w:after="0" w:line="193" w:lineRule="exact"/>
        <w:rPr>
          <w:sz w:val="20"/>
          <w:szCs w:val="20"/>
          <w:color w:val="auto"/>
        </w:rPr>
      </w:pPr>
    </w:p>
    <w:p>
      <w:pPr>
        <w:ind w:left="1120" w:hanging="407"/>
        <w:spacing w:after="0"/>
        <w:tabs>
          <w:tab w:leader="none" w:pos="112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6" w:lineRule="exact"/>
        <w:rPr>
          <w:rFonts w:ascii="MS PGothic" w:cs="MS PGothic" w:eastAsia="MS PGothic" w:hAnsi="MS PGothic"/>
          <w:sz w:val="25"/>
          <w:szCs w:val="25"/>
          <w:color w:val="auto"/>
          <w:vertAlign w:val="superscript"/>
        </w:rPr>
      </w:pPr>
    </w:p>
    <w:p>
      <w:pPr>
        <w:ind w:left="1120" w:right="20" w:hanging="407"/>
        <w:spacing w:after="0" w:line="223" w:lineRule="auto"/>
        <w:tabs>
          <w:tab w:leader="none" w:pos="112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8" w:lineRule="exact"/>
        <w:rPr>
          <w:rFonts w:ascii="MS PGothic" w:cs="MS PGothic" w:eastAsia="MS PGothic" w:hAnsi="MS PGothic"/>
          <w:sz w:val="25"/>
          <w:szCs w:val="25"/>
          <w:color w:val="auto"/>
          <w:vertAlign w:val="superscript"/>
        </w:rPr>
      </w:pPr>
    </w:p>
    <w:p>
      <w:pPr>
        <w:ind w:left="1120" w:right="120" w:hanging="407"/>
        <w:spacing w:after="0" w:line="218" w:lineRule="auto"/>
        <w:tabs>
          <w:tab w:leader="none" w:pos="112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shareholder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1120" w:right="380" w:hanging="407"/>
        <w:spacing w:after="0" w:line="223" w:lineRule="auto"/>
        <w:tabs>
          <w:tab w:leader="none" w:pos="112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4" w:lineRule="exact"/>
        <w:rPr>
          <w:sz w:val="20"/>
          <w:szCs w:val="20"/>
          <w:color w:val="auto"/>
        </w:rPr>
      </w:pPr>
    </w:p>
    <w:p>
      <w:pPr>
        <w:ind w:left="300" w:right="160" w:firstLine="426"/>
        <w:spacing w:after="0" w:line="234" w:lineRule="auto"/>
        <w:rPr>
          <w:sz w:val="20"/>
          <w:szCs w:val="20"/>
          <w:color w:val="auto"/>
        </w:rPr>
      </w:pPr>
      <w:r>
        <w:rPr>
          <w:rFonts w:ascii="Arial" w:cs="Arial" w:eastAsia="Arial" w:hAnsi="Arial"/>
          <w:sz w:val="18"/>
          <w:szCs w:val="18"/>
          <w:color w:val="auto"/>
        </w:rPr>
        <w:t>We may take advantage of these provisions until the earliest of: (i) the last day of the first fiscal year in which our annual gross revenues exceed $1.07 billion; (ii) the last day of 2024; (iii) the date that we become a “large accelerated filer” as defined in Rule 12b-2 under the Exchange Act, which would occur if the market value of our common equity held by non-affiliates exceeds</w:t>
      </w:r>
    </w:p>
    <w:p>
      <w:pPr>
        <w:spacing w:after="0" w:line="2" w:lineRule="exact"/>
        <w:rPr>
          <w:sz w:val="20"/>
          <w:szCs w:val="20"/>
          <w:color w:val="auto"/>
        </w:rPr>
      </w:pPr>
    </w:p>
    <w:p>
      <w:pPr>
        <w:ind w:left="300" w:right="520"/>
        <w:spacing w:after="0" w:line="246" w:lineRule="auto"/>
        <w:rPr>
          <w:sz w:val="20"/>
          <w:szCs w:val="20"/>
          <w:color w:val="auto"/>
        </w:rPr>
      </w:pPr>
      <w:r>
        <w:rPr>
          <w:rFonts w:ascii="Arial" w:cs="Arial" w:eastAsia="Arial" w:hAnsi="Arial"/>
          <w:sz w:val="18"/>
          <w:szCs w:val="18"/>
          <w:color w:val="auto"/>
        </w:rPr>
        <w:t>$700 million as of the last business day of our most recently completed second fiscal quarter; or (iv) the date on which we have issued more than $1.0 billion in non-convertible debt securities during any three-year period.</w:t>
      </w:r>
    </w:p>
    <w:p>
      <w:pPr>
        <w:spacing w:after="0" w:line="197" w:lineRule="exact"/>
        <w:rPr>
          <w:sz w:val="20"/>
          <w:szCs w:val="20"/>
          <w:color w:val="auto"/>
        </w:rPr>
      </w:pPr>
    </w:p>
    <w:p>
      <w:pPr>
        <w:ind w:left="300" w:right="180" w:firstLine="426"/>
        <w:spacing w:after="0" w:line="246" w:lineRule="auto"/>
        <w:rPr>
          <w:sz w:val="20"/>
          <w:szCs w:val="20"/>
          <w:color w:val="auto"/>
        </w:rPr>
      </w:pPr>
      <w:r>
        <w:rPr>
          <w:rFonts w:ascii="Arial" w:cs="Arial" w:eastAsia="Arial" w:hAnsi="Arial"/>
          <w:sz w:val="18"/>
          <w:szCs w:val="18"/>
          <w:color w:val="auto"/>
        </w:rPr>
        <w:t>As a result, we do not know if some investors will find our ADSs less attractive. The result may be a less active trading market for our ADSs, and the price of our ADSs may become more volatile.</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Private Issuer</w:t>
      </w:r>
    </w:p>
    <w:p>
      <w:pPr>
        <w:spacing w:after="0" w:line="126" w:lineRule="exact"/>
        <w:rPr>
          <w:sz w:val="20"/>
          <w:szCs w:val="20"/>
          <w:color w:val="auto"/>
        </w:rPr>
      </w:pPr>
    </w:p>
    <w:p>
      <w:pPr>
        <w:ind w:left="300" w:right="60" w:firstLine="426"/>
        <w:spacing w:after="0"/>
        <w:rPr>
          <w:sz w:val="20"/>
          <w:szCs w:val="20"/>
          <w:color w:val="auto"/>
        </w:rPr>
      </w:pPr>
      <w:r>
        <w:rPr>
          <w:rFonts w:ascii="Arial" w:cs="Arial" w:eastAsia="Arial" w:hAnsi="Arial"/>
          <w:sz w:val="18"/>
          <w:szCs w:val="18"/>
          <w:color w:val="auto"/>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30" w:lineRule="exact"/>
        <w:rPr>
          <w:sz w:val="20"/>
          <w:szCs w:val="20"/>
          <w:color w:val="auto"/>
        </w:rPr>
      </w:pPr>
    </w:p>
    <w:p>
      <w:pPr>
        <w:ind w:left="1120" w:right="260" w:hanging="407"/>
        <w:spacing w:after="0" w:line="218" w:lineRule="auto"/>
        <w:tabs>
          <w:tab w:leader="none" w:pos="112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9" w:right="6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070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998970" cy="31070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20" w:right="140" w:hanging="407"/>
        <w:spacing w:after="0" w:line="218" w:lineRule="auto"/>
        <w:tabs>
          <w:tab w:leader="none" w:pos="112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7" w:lineRule="exact"/>
        <w:rPr>
          <w:rFonts w:ascii="MS PGothic" w:cs="MS PGothic" w:eastAsia="MS PGothic" w:hAnsi="MS PGothic"/>
          <w:sz w:val="25"/>
          <w:szCs w:val="25"/>
          <w:color w:val="auto"/>
          <w:vertAlign w:val="superscript"/>
        </w:rPr>
      </w:pPr>
    </w:p>
    <w:p>
      <w:pPr>
        <w:ind w:left="1120" w:hanging="407"/>
        <w:spacing w:after="0" w:line="229" w:lineRule="auto"/>
        <w:tabs>
          <w:tab w:leader="none" w:pos="1120" w:val="left"/>
        </w:tabs>
        <w:numPr>
          <w:ilvl w:val="0"/>
          <w:numId w:val="12"/>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3" w:lineRule="exact"/>
        <w:rPr>
          <w:sz w:val="20"/>
          <w:szCs w:val="20"/>
          <w:color w:val="auto"/>
        </w:rPr>
      </w:pPr>
    </w:p>
    <w:p>
      <w:pPr>
        <w:ind w:left="300" w:right="300" w:firstLine="426"/>
        <w:spacing w:after="0" w:line="238"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5" w:lineRule="exact"/>
        <w:rPr>
          <w:sz w:val="20"/>
          <w:szCs w:val="20"/>
          <w:color w:val="auto"/>
        </w:rPr>
      </w:pPr>
    </w:p>
    <w:p>
      <w:pPr>
        <w:jc w:val="both"/>
        <w:ind w:left="300" w:right="100" w:firstLine="426"/>
        <w:spacing w:after="0"/>
        <w:rPr>
          <w:sz w:val="20"/>
          <w:szCs w:val="20"/>
          <w:color w:val="auto"/>
        </w:rPr>
      </w:pPr>
      <w:r>
        <w:rPr>
          <w:rFonts w:ascii="Arial" w:cs="Arial" w:eastAsia="Arial" w:hAnsi="Arial"/>
          <w:sz w:val="18"/>
          <w:szCs w:val="18"/>
          <w:color w:val="auto"/>
        </w:rPr>
        <w:t>As a foreign private issuer, we are permitted to follow the corporate governance practices of our home country in lieu of certain provisions of the Nasdaq. We therefore follow U.K. corporate governance practices in lieu of certain Nasdaq corporate governance requirements including the requirement to seek shareholder approval for a specified issuance of securities.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left="300" w:right="220" w:firstLine="426"/>
        <w:spacing w:after="0" w:line="237"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Our agent for service of process in the United States is Mereo US Holdings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9" w:right="6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3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Investing in our securities involves significant risks. Before making an investment decision, you should carefully consider the risks described below and under “Risk Factors” under Item 3.D. – “Risk Factors” in our most recent Annual Report on Form 20-F, and any updates in our Reports on Form 6-K, together with all of the other information appearing in this prospectus or incorporated by reference into this prospectus,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w:t>
      </w:r>
    </w:p>
    <w:p>
      <w:pPr>
        <w:spacing w:after="0" w:line="185"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may identify additional material weaknesses in the future that may cause us to fail to meet our reporting obligations or result in material misstatements of our financial statements. If we fail to remediate our material weakness or if we fail to establish and maintain an effective system of internal control over financial reporting, we may not be able to report our financial results accurately or to prevent fraud.</w:t>
      </w:r>
    </w:p>
    <w:p>
      <w:pPr>
        <w:spacing w:after="0" w:line="196"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Section 404 of the Sarbanes-Oxley Act of 2002 requires management of public companies to develop and implement internal controls over financial reporting and evaluate the effectiveness thereof.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203"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During the six months ended June 30, 2020 the understaffing of our accounting department was driven primarily by the departure of several members of our accounting department following the departure of our former chief financial officer which was announced on March 27, 2020 and occurred on July 31, 2020. As a result. in connection with the preparation of our unaudited interim condensed consolidated financial statements as of and for the six month period ended June 30, 2020, we identified a material weakness in our internal controls related to the lack of IFRS technical accounting skills due to an understaffed accounting department and a lack of effective management review controls, including controls over complex accounting transactions as part of our overall financial statement close process.</w:t>
      </w:r>
    </w:p>
    <w:p>
      <w:pPr>
        <w:spacing w:after="0" w:line="20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In response to such material weakness, we are in the process hiring a full-time chief financial officer and will then expand our accounting and financial department to include professionals with the experience and knowledge necessary to review technical IFRS accounting matters and perform appropriate review procedures over future financial statement close processes to address the material weakness identified. Although we are working to remediate the material weakness as quickly and efficiently as possible, we cannot at this time estimate how long it will take, and our initiatives may not prove to be successful in remediating the material weakness. If we are unable to successfully remediate our identified material weakness, if we discover additional material weaknesses or if we otherwise are unable to report our financial statements accurately or in a timely manner, we would be required to continue disclosing such material weaknesses in future filings with the SEC, which could adversely affect our business, investor confidence in our company and the market price of our ordinary shares and ADSs and could subject us to litigation or regulatory enforcement actions. As a result, shareholders could lose confidence in our financial and other public reporting, which would harm our business and the market value of our ordinary shares and ADSs.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This prospectus and the documents incorporated into it contain statements that constitute forward-looking statements. Many of these forward-looking statements can be identified by the use of forward-looking words such as “anticipate,” “believe,” “could,” “estimate,” “expect,” “intend,” “plan,” “potential” and “should,” among others.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Forward-looking statements appear in a number of places in this prospectus and the documents incorporated into it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980" w:right="580" w:hanging="432"/>
        <w:spacing w:after="0" w:line="218"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benefits of our product candidates and their competitive position;</w:t>
      </w:r>
    </w:p>
    <w:p>
      <w:pPr>
        <w:spacing w:after="0" w:line="26" w:lineRule="exact"/>
        <w:rPr>
          <w:rFonts w:ascii="MS PGothic" w:cs="MS PGothic" w:eastAsia="MS PGothic" w:hAnsi="MS PGothic"/>
          <w:sz w:val="25"/>
          <w:szCs w:val="25"/>
          <w:color w:val="auto"/>
          <w:vertAlign w:val="superscript"/>
        </w:rPr>
      </w:pPr>
    </w:p>
    <w:p>
      <w:pPr>
        <w:ind w:left="980" w:right="440" w:hanging="432"/>
        <w:spacing w:after="0" w:line="218"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partner or sell our two product candidates, acumapimod for the treatment of AECOPD and leflutrozole for the treatment of infertility and HH in obese men, on attractive terms or at all;</w:t>
      </w:r>
    </w:p>
    <w:p>
      <w:pPr>
        <w:spacing w:after="0" w:line="27" w:lineRule="exact"/>
        <w:rPr>
          <w:rFonts w:ascii="MS PGothic" w:cs="MS PGothic" w:eastAsia="MS PGothic" w:hAnsi="MS PGothic"/>
          <w:sz w:val="25"/>
          <w:szCs w:val="25"/>
          <w:color w:val="auto"/>
          <w:vertAlign w:val="superscript"/>
        </w:rPr>
      </w:pPr>
    </w:p>
    <w:p>
      <w:pPr>
        <w:ind w:left="980" w:right="300" w:hanging="432"/>
        <w:spacing w:after="0" w:line="218"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6"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volatility in the price of our ordinary shares and ADSs if the shares sold through our recent private placements are sold on the market;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being subject to ongoing regulatory obligations if our products secure regulatory approval;</w:t>
      </w:r>
    </w:p>
    <w:p>
      <w:pPr>
        <w:spacing w:after="0" w:line="26" w:lineRule="exact"/>
        <w:rPr>
          <w:rFonts w:ascii="MS PGothic" w:cs="MS PGothic" w:eastAsia="MS PGothic" w:hAnsi="MS PGothic"/>
          <w:sz w:val="25"/>
          <w:szCs w:val="25"/>
          <w:color w:val="auto"/>
          <w:vertAlign w:val="superscript"/>
        </w:rPr>
      </w:pPr>
    </w:p>
    <w:p>
      <w:pPr>
        <w:ind w:left="980" w:right="860" w:hanging="432"/>
        <w:spacing w:after="0" w:line="218"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patient market size of any diseases and market adoption of our products by physicians and patients;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6" w:lineRule="exact"/>
        <w:rPr>
          <w:rFonts w:ascii="MS PGothic" w:cs="MS PGothic" w:eastAsia="MS PGothic" w:hAnsi="MS PGothic"/>
          <w:sz w:val="25"/>
          <w:szCs w:val="25"/>
          <w:color w:val="auto"/>
          <w:vertAlign w:val="superscript"/>
        </w:rPr>
      </w:pPr>
    </w:p>
    <w:p>
      <w:pPr>
        <w:ind w:left="980" w:right="340" w:hanging="432"/>
        <w:spacing w:after="0" w:line="218"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COVID-19 pandemic and the associated disruptions that could materially impact our business including planned clinical developments and our ongoing clinical studies;</w:t>
      </w:r>
    </w:p>
    <w:p>
      <w:pPr>
        <w:spacing w:after="0" w:line="27"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United Kingdom’s withdrawal from the European Union could lead to increased market volatility, make it more difficult for us to do business in Europe or have other adverse effects on our business;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key personnel and recruit additional qualified personnel;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manage growth;</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integrate and realize the benefits of our past or future strategic acquisitions or investments;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 factors discussed under “Risk Factors.”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3"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table below sets forth our capitalization, cash and short-term deposits as of June 30, 2020, the latest date for which we have unaudited financial statements and the information below available to us. The following information should be read in conjunction with the consolidated financial statements and related notes incorporated by reference in this prospectus. For more details on how you can obtain the documents incorporated by reference in this prospectus, see “Where You Can Find More Information” and “Incorporation by Reference”.</w:t>
      </w:r>
    </w:p>
    <w:p>
      <w:pPr>
        <w:spacing w:after="0" w:line="2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For the convenience of the reader, we have translated pound sterling amounts in the table below into U.S. dollars at an exchange rate of £0.811 to US$1.00, the exchange rate for pound sterling on June 30, 2020. These translations should not be considered representations that any such amounts have been, could have been or could be converted into U.S. dollars at that or any other exchange rate as of that or any other date.</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left="534"/>
              <w:spacing w:after="0"/>
              <w:rPr>
                <w:sz w:val="20"/>
                <w:szCs w:val="20"/>
                <w:color w:val="auto"/>
              </w:rPr>
            </w:pPr>
            <w:r>
              <w:rPr>
                <w:rFonts w:ascii="Arial" w:cs="Arial" w:eastAsia="Arial" w:hAnsi="Arial"/>
                <w:sz w:val="14"/>
                <w:szCs w:val="14"/>
                <w:b w:val="1"/>
                <w:bCs w:val="1"/>
                <w:color w:val="auto"/>
              </w:rPr>
              <w:t>Unaudited</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jc w:val="center"/>
              <w:ind w:right="10"/>
              <w:spacing w:after="0" w:line="155" w:lineRule="exact"/>
              <w:rPr>
                <w:sz w:val="20"/>
                <w:szCs w:val="20"/>
                <w:color w:val="auto"/>
              </w:rPr>
            </w:pPr>
            <w:r>
              <w:rPr>
                <w:rFonts w:ascii="Arial" w:cs="Arial" w:eastAsia="Arial" w:hAnsi="Arial"/>
                <w:sz w:val="14"/>
                <w:szCs w:val="14"/>
                <w:b w:val="1"/>
                <w:bCs w:val="1"/>
                <w:color w:val="auto"/>
              </w:rPr>
              <w:t>As of June 30, 2020</w:t>
            </w:r>
          </w:p>
        </w:tc>
        <w:tc>
          <w:tcPr>
            <w:tcW w:w="1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5"/>
          </w:tcPr>
          <w:p>
            <w:pPr>
              <w:jc w:val="center"/>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56,821</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70,037</w:t>
            </w:r>
          </w:p>
        </w:tc>
        <w:tc>
          <w:tcPr>
            <w:tcW w:w="120" w:type="dxa"/>
            <w:vAlign w:val="bottom"/>
            <w:shd w:val="clear" w:color="auto" w:fill="CCEEFF"/>
          </w:tcPr>
          <w:p>
            <w:pPr>
              <w:spacing w:after="0"/>
              <w:rPr>
                <w:sz w:val="17"/>
                <w:szCs w:val="17"/>
                <w:color w:val="auto"/>
              </w:rPr>
            </w:pPr>
          </w:p>
        </w:tc>
      </w:tr>
      <w:tr>
        <w:trPr>
          <w:trHeight w:val="20"/>
        </w:trPr>
        <w:tc>
          <w:tcPr>
            <w:tcW w:w="57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700" w:type="dxa"/>
            <w:vAlign w:val="bottom"/>
            <w:gridSpan w:val="2"/>
          </w:tcPr>
          <w:p>
            <w:pPr>
              <w:spacing w:after="0" w:line="196" w:lineRule="exact"/>
              <w:rPr>
                <w:sz w:val="20"/>
                <w:szCs w:val="20"/>
                <w:color w:val="auto"/>
              </w:rPr>
            </w:pPr>
            <w:r>
              <w:rPr>
                <w:rFonts w:ascii="Arial" w:cs="Arial" w:eastAsia="Arial" w:hAnsi="Arial"/>
                <w:sz w:val="18"/>
                <w:szCs w:val="18"/>
                <w:color w:val="auto"/>
              </w:rPr>
              <w:t>Total interest bearing loans and borrowings</w:t>
            </w:r>
          </w:p>
        </w:tc>
        <w:tc>
          <w:tcPr>
            <w:tcW w:w="2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14,506</w:t>
            </w:r>
          </w:p>
        </w:tc>
        <w:tc>
          <w:tcPr>
            <w:tcW w:w="340" w:type="dxa"/>
            <w:vAlign w:val="bottom"/>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17,880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2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35,757</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44,074</w:t>
            </w:r>
          </w:p>
        </w:tc>
        <w:tc>
          <w:tcPr>
            <w:tcW w:w="120" w:type="dxa"/>
            <w:vAlign w:val="bottom"/>
            <w:shd w:val="clear" w:color="auto" w:fill="CCEEFF"/>
          </w:tcPr>
          <w:p>
            <w:pPr>
              <w:spacing w:after="0"/>
              <w:rPr>
                <w:sz w:val="17"/>
                <w:szCs w:val="17"/>
                <w:color w:val="auto"/>
              </w:rPr>
            </w:pPr>
          </w:p>
        </w:tc>
      </w:tr>
      <w:tr>
        <w:trPr>
          <w:trHeight w:val="209"/>
        </w:trPr>
        <w:tc>
          <w:tcPr>
            <w:tcW w:w="57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Issued capital</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1,016</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1,253</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EBT shares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(1,305)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(1,608)</w:t>
            </w: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 premium</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161,785</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199,417</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Other capital reserves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127,727</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157,437</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loss</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(270,681)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(333,643)</w:t>
            </w: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Other reserves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4,875</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6,009</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Translation reserve</w:t>
            </w:r>
          </w:p>
        </w:tc>
        <w:tc>
          <w:tcPr>
            <w:tcW w:w="2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825</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29,882</w:t>
            </w: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74,505</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91,836</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The number of ordinary shares indicated as issued and outstanding above is based on 338,713,962 ordinary shares outstanding as of June 30, 2020. As of June 30, 2020, our net tangible book value was negative £7.6 million.</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459" w:right="5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Unless otherwise indicated in a prospectus supplement, the net proceeds from our sale of the ADSs will be used for advancing our clinical development programs, general corporate purposes and other business opportunities.</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MATERIAL TAX CONSIDERATIONS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following is a discussion of the material U.S. federal income tax consequences to U.S. Holders (as defined below) of owning and disposing of the ADSs or ordinary shares, but it does not purport to be a comprehensive description of all tax considerations that may be relevant to a particular person’s decision to acquire the ADSs or ordinary shares. This discussion applies only to a U.S. Holder that acquires ADSs in this offering and holds the ADSs or ordinary shares as capital assets for U.S. federal income tax purposes. In addition, it does not describe all of the tax consequences that may be relevant in light of the U.S. Holder’s particular circumstances, including any estate, gift, alternative minimum or Medicare contribution tax consequences, any state, local or non-U.S. tax considerations, and any tax consequences applicable to U.S. Holders subject to special rules, such as:</w:t>
      </w:r>
    </w:p>
    <w:p>
      <w:pPr>
        <w:spacing w:after="0" w:line="194" w:lineRule="exact"/>
        <w:rPr>
          <w:sz w:val="20"/>
          <w:szCs w:val="20"/>
          <w:color w:val="auto"/>
        </w:rPr>
      </w:pPr>
    </w:p>
    <w:p>
      <w:pPr>
        <w:ind w:left="980" w:hanging="432"/>
        <w:spacing w:after="0"/>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real estate investment trusts or regulated investment companies;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dealers or traders in securities that use a mark-to-market method of tax accounting;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as part of a straddle, integrated transaction or similar transaction;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entities or arrangements treated as partnerships for U.S. federal income tax purposes and their partners or investors;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entities, “individual retirement accounts” or “Roth IRAs”;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former citizens or residents of the United States;</w:t>
      </w:r>
    </w:p>
    <w:p>
      <w:pPr>
        <w:spacing w:after="0" w:line="26" w:lineRule="exact"/>
        <w:rPr>
          <w:rFonts w:ascii="MS PGothic" w:cs="MS PGothic" w:eastAsia="MS PGothic" w:hAnsi="MS PGothic"/>
          <w:sz w:val="25"/>
          <w:szCs w:val="25"/>
          <w:color w:val="auto"/>
          <w:vertAlign w:val="superscript"/>
        </w:rPr>
      </w:pPr>
    </w:p>
    <w:p>
      <w:pPr>
        <w:ind w:left="980" w:right="380" w:hanging="432"/>
        <w:spacing w:after="0" w:line="218"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that is subject to special tax accounting rules under section 451(b) of the U.S. Internal Revenue Code of 1986, as amended (the “Code”);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10% or more of our stock by vote or value;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in connection with a trade or business outside the United States.</w:t>
      </w:r>
    </w:p>
    <w:p>
      <w:pPr>
        <w:spacing w:after="0" w:line="202"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w:t>
      </w:r>
    </w:p>
    <w:p>
      <w:pPr>
        <w:spacing w:after="0" w:line="205"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Persons that own or are deemed to own 10% or more of our stock by vote or value should consult their tax advisers regarding the application of the “controlled foreign corporation” rules to their ownership of our ADSs or ordinary shares.</w:t>
      </w:r>
    </w:p>
    <w:p>
      <w:pPr>
        <w:spacing w:after="0" w:line="19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 We have not sought and do not intend to seek any ruling from the Internal Revenue Service (the “IRS”) with respect to the U.S. federal income tax consequences described herein and there can be no assurance that the IRS or a court will not take a contrary position.</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As used herein, a “U.S. Holder” is a person that, for U.S. federal income tax purposes, is a beneficial owner of our ADSs or ordinary shares and is:</w:t>
      </w:r>
    </w:p>
    <w:p>
      <w:pPr>
        <w:spacing w:after="0" w:line="188" w:lineRule="exact"/>
        <w:rPr>
          <w:sz w:val="20"/>
          <w:szCs w:val="20"/>
          <w:color w:val="auto"/>
        </w:rPr>
      </w:pPr>
    </w:p>
    <w:p>
      <w:pPr>
        <w:ind w:left="980" w:hanging="432"/>
        <w:spacing w:after="0"/>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individual who is a citizen or resident of the United States;</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taxation regardless of its source; or</w:t>
      </w:r>
    </w:p>
    <w:p>
      <w:pPr>
        <w:spacing w:after="0" w:line="26" w:lineRule="exact"/>
        <w:rPr>
          <w:rFonts w:ascii="MS PGothic" w:cs="MS PGothic" w:eastAsia="MS PGothic" w:hAnsi="MS PGothic"/>
          <w:sz w:val="25"/>
          <w:szCs w:val="25"/>
          <w:color w:val="auto"/>
          <w:vertAlign w:val="superscript"/>
        </w:rPr>
      </w:pPr>
    </w:p>
    <w:p>
      <w:pPr>
        <w:ind w:left="980" w:right="140" w:hanging="432"/>
        <w:spacing w:after="0" w:line="223"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(i) is subject to the primary supervision of a court within the United States and subject to the control of one or more U.S. persons for all substantial decisions or (ii) has a valid election in effect under applicable U.S. Treasury regulations to be treated as a U.S. person.</w:t>
      </w:r>
    </w:p>
    <w:p>
      <w:pPr>
        <w:spacing w:after="0" w:line="204"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our ADSs or ordinary shares in their particular circumstances.</w:t>
      </w:r>
    </w:p>
    <w:p>
      <w:pPr>
        <w:spacing w:after="0" w:line="197" w:lineRule="exact"/>
        <w:rPr>
          <w:sz w:val="20"/>
          <w:szCs w:val="20"/>
          <w:color w:val="auto"/>
        </w:rPr>
      </w:pPr>
    </w:p>
    <w:p>
      <w:pPr>
        <w:ind w:left="120" w:right="480" w:firstLine="440"/>
        <w:spacing w:after="0"/>
        <w:rPr>
          <w:sz w:val="20"/>
          <w:szCs w:val="20"/>
          <w:color w:val="auto"/>
        </w:rPr>
      </w:pPr>
      <w:r>
        <w:rPr>
          <w:rFonts w:ascii="Arial" w:cs="Arial" w:eastAsia="Arial" w:hAnsi="Arial"/>
          <w:sz w:val="18"/>
          <w:szCs w:val="18"/>
          <w:color w:val="auto"/>
        </w:rPr>
        <w:t>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26"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Special U.S. tax rules apply to U.S. Holders of stock in a company that is considered to be a passive foreign investment company (a “PFIC”). In general, a non-U.S. corporation will be a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generally treated as an active asset to the extent attributable to activities intended to produce active income.</w:t>
      </w:r>
    </w:p>
    <w:p>
      <w:pPr>
        <w:spacing w:after="0" w:line="20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Based on our gross income, the average value of our assets, including goodwill, and the nature of the current stage of our business, we believe we were a PFIC for the taxable year ended December 31, 2019. There can be no assurance regarding our PFIC status for the current taxable year or any particular year in the future because PFIC status is factual in nature, depends upon factors not wholly within our control, generally cannot be determined until the close of the taxable year in question and is determined annually. Accordingly, U.S. Holders should invest in our ADSs only if they are willing to bear the U.S. federal income tax consequences associated with investments in PFICs.</w:t>
      </w:r>
    </w:p>
    <w:p>
      <w:pPr>
        <w:spacing w:after="0" w:line="20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We will provide the information necessary for a U.S. Holder to make a qualifying electing fund election (“QEF Election”) with respect to us and we will also use our best efforts to cause each Lower-tier PFIC (as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website. If we are a PFIC for any taxable year, the consequences to any U.S. Holder will depend in part on whether the U.S. Holder makes a valid QEF Election or mark-to-market election as described below.</w:t>
      </w:r>
    </w:p>
    <w:p>
      <w:pPr>
        <w:spacing w:after="0" w:line="197" w:lineRule="exact"/>
        <w:rPr>
          <w:sz w:val="20"/>
          <w:szCs w:val="20"/>
          <w:color w:val="auto"/>
        </w:rPr>
      </w:pPr>
    </w:p>
    <w:p>
      <w:pPr>
        <w:jc w:val="both"/>
        <w:ind w:left="120" w:right="20" w:firstLine="440"/>
        <w:spacing w:after="0" w:line="248" w:lineRule="auto"/>
        <w:rPr>
          <w:sz w:val="20"/>
          <w:szCs w:val="20"/>
          <w:color w:val="auto"/>
        </w:rPr>
      </w:pPr>
      <w:r>
        <w:rPr>
          <w:rFonts w:ascii="Arial" w:cs="Arial" w:eastAsia="Arial" w:hAnsi="Arial"/>
          <w:sz w:val="17"/>
          <w:szCs w:val="17"/>
          <w:color w:val="auto"/>
        </w:rPr>
        <w:t>If we are a PFIC for any taxable year and any of our non-U.S. subsidiaries or other companies in which we own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w:t>
      </w:r>
    </w:p>
    <w:p>
      <w:pPr>
        <w:spacing w:after="0" w:line="2" w:lineRule="exact"/>
        <w:rPr>
          <w:sz w:val="20"/>
          <w:szCs w:val="20"/>
          <w:color w:val="auto"/>
        </w:rPr>
      </w:pPr>
    </w:p>
    <w:p>
      <w:pPr>
        <w:ind w:left="120" w:right="320" w:hanging="4"/>
        <w:spacing w:after="0" w:line="246" w:lineRule="auto"/>
        <w:tabs>
          <w:tab w:leader="none" w:pos="3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197"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Generally, if we were a PFIC for any taxable year during which a U.S. Holder holds our ADSs or ordinary shares and the U.S. Holder does not make a valid QEF Election or a mark-to-market election (described below),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amounts allocated to each other taxable year will be subject to tax at the highest rate in effect for that taxable year for individuals or corporations, as applicable,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w:t>
      </w:r>
    </w:p>
    <w:p>
      <w:pPr>
        <w:spacing w:after="0" w:line="21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To avoid the foregoing rules, a U.S. Holder can make a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w:t>
      </w:r>
    </w:p>
    <w:p>
      <w:pPr>
        <w:spacing w:after="0" w:line="185"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 xml:space="preserve">If a U.S. Holder makes a QEF Election with respect to a PFIC, the U.S. Holder will be taxed on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 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340"/>
        <w:spacing w:after="0"/>
        <w:rPr>
          <w:sz w:val="20"/>
          <w:szCs w:val="20"/>
          <w:color w:val="auto"/>
        </w:rPr>
      </w:pPr>
      <w:r>
        <w:rPr>
          <w:rFonts w:ascii="Arial" w:cs="Arial" w:eastAsia="Arial" w:hAnsi="Arial"/>
          <w:sz w:val="18"/>
          <w:szCs w:val="18"/>
          <w:color w:val="auto"/>
        </w:rPr>
        <w:t>the difference between the amount realized and the U.S. Holder’s adjusted tax basis in the ADSs or ordinary shares, as determined in U.S. dollars. A. U.S. Holder will not be taxed on the ordinary income and net capital gain under the qualified electing fund rules for any year that we are not a PFIC.</w:t>
      </w:r>
    </w:p>
    <w:p>
      <w:pPr>
        <w:spacing w:after="0" w:line="203"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Based on the nature of our expected income, the expected composition of our assets, and our business prospects, we do not currently expect to have significant ordinary earnings or net capital gain 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w:t>
      </w:r>
    </w:p>
    <w:p>
      <w:pPr>
        <w:spacing w:after="0" w:line="208"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w:t>
      </w:r>
    </w:p>
    <w:p>
      <w:pPr>
        <w:spacing w:after="0" w:line="21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26"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This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their particular circumstances.</w:t>
      </w:r>
    </w:p>
    <w:p>
      <w:pPr>
        <w:spacing w:after="0" w:line="20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U.S. Holders are urged to consult their tax advisers regarding the tax consequences of receiving, converting or disposing of any non-U.S. currency, received or deemed received as dividends on our ADSs or ordinary shares or on the sale or retirement of an ADS or an ordinary share.</w:t>
      </w:r>
    </w:p>
    <w:p>
      <w:pPr>
        <w:spacing w:after="0" w:line="206"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advisers to determine whether and to what extent such U.S. Holder will be entitled to a foreign tax credit.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2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 U.S. Holder’s initial tax basis in the ADSs or ordinary shares will generally equal the cost of such ADSs or ordinary shares. If a U.S. Holder used foreign currency to purchase the ADSs or ordinary shares, the cost of the ADSs or ordinary shares will be the U.S. dollar value of the foreign currency purchase price on the date of purchase, translated at the spot rate of exchange on that date. Any such gain or loss will be long-term capital gain or loss if at the time of the sale or disposition the U.S. Holder has owned our ADSs or ordinary shares for more than one year. Long-term</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capital gains recognized by non-corporate U.S. Holders may be subject to a tax rate that is lower than the applicable ordinary income rate. The deductibility of capital losses is subject to limitations. Any capital gain or loss recognized upon the sale or disposition of the ADSs or ordinary shares will generally be treated as U.S.-source income for foreign tax credit limitation purposes. U.S. Holders should consult their tax advisers regarding the proper treatment of gain or loss, the availability of a foreign tax credit, and, for U.S. Holders that sell the ADSs or ordinary shares for an amount denominated in a currency other than the U.S. dollar, any potential foreign currency gain or loss that may have to be recognized.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general, payments of dividends and proceeds from the sale or other disposition of our ADSs or ordinary shares that are made within the United States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generally will be allowed as a credit against the U.S. Holder’s U.S. federal income tax liability and may entitle it to a refund, provided that the required information is timely furnished to the IRS. U.S. Holders should consult their tax advisers regarding the application of the information reporting and backup withholding rules.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Certain U.S. Holders who are individuals (or certain specified entities) may be required to report information relating to their ownership of our ADSs or ordinary shares, or non-U.S. accounts through which our ADSs or ordinary shares are held, subject to certain exceptions.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United Kingdom Tax Considerations</w:t>
      </w:r>
    </w:p>
    <w:p>
      <w:pPr>
        <w:spacing w:after="0" w:line="12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following is a description of the material U.K. tax considerations relating primarily to the ownership and disposal of our ADSs or ordinary shares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or ordinary shares for the purposes of a trade, profession or vocation that you carry on in the U.K. through a branch, agency or permanent establishment in the U.K. and if you hold our ADSs or ordinary shares as an investment for U.K. tax purposes and are not subject to special rules.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This summary does not address all possible tax consequences relating to an investment in our ADSs or ordinary shares. In particular it does not cover the U.K. inheritance tax consequences of holding our ADSs or ordinary shares. It assumes that DTC has not made an election under section 97A(1) of the Finance Act 1986. It assumes that we do not (and will not at any time) derive 75% or more of our qualifying asset value, directly or indirectly, from U.K. land, and that we are and remain solely resident in the U.K. for tax purposes. This summary is for general information only and is not intended to be, nor should it be considered to be, legal or tax advice to any particular holder. Holders of our ADSs or ordinary shares are strongly urged to consult their tax advisers in connection with the U.K. tax consequences of their investment in our ADSs.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Dividends</w:t>
      </w:r>
    </w:p>
    <w:p>
      <w:pPr>
        <w:spacing w:after="0" w:line="126"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Mereo will not be required to withhold amounts for or on account of U.K. tax at source when paying a dividend in respect of its ADSs or ordinary shares.</w:t>
      </w:r>
    </w:p>
    <w:p>
      <w:pPr>
        <w:spacing w:after="0" w:line="19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Holders who hold our ADSs or ordinary shares as an investment, who are not resident in the U.K. for U.K. tax purposes and who do not hold their ADSs or ordinary shares in connection with any trade, profession or vocation carried on by them in the U.K. through a branch, agency or permanent establishment in the U.K. should not be subject to U.K. tax in respect of any dividends on our ADSs or ordinary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Capital Gains</w:t>
      </w:r>
    </w:p>
    <w:p>
      <w:pPr>
        <w:spacing w:after="0" w:line="126"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An individual holder who is not resident in the U.K. for U.K. tax purposes should not be liable to U.K. capital gains tax on capital gains realized on the disposal of their ADSs or ordinary shares unless such holder carries on a trade, profession or vocation in the U.K. through a branch or agency in the U.K. to which ADSs or ordinary shares are attributable.</w:t>
      </w:r>
    </w:p>
    <w:p>
      <w:pPr>
        <w:spacing w:after="0" w:line="203" w:lineRule="exact"/>
        <w:rPr>
          <w:sz w:val="20"/>
          <w:szCs w:val="20"/>
          <w:color w:val="auto"/>
        </w:rPr>
      </w:pPr>
    </w:p>
    <w:p>
      <w:pPr>
        <w:ind w:left="120" w:right="540" w:firstLine="440"/>
        <w:spacing w:after="0" w:line="274" w:lineRule="auto"/>
        <w:rPr>
          <w:sz w:val="20"/>
          <w:szCs w:val="20"/>
          <w:color w:val="auto"/>
        </w:rPr>
      </w:pPr>
      <w:r>
        <w:rPr>
          <w:rFonts w:ascii="Arial" w:cs="Arial" w:eastAsia="Arial" w:hAnsi="Arial"/>
          <w:sz w:val="17"/>
          <w:szCs w:val="17"/>
          <w:color w:val="auto"/>
        </w:rPr>
        <w:t>Any such individual holder of our ADSs or ordinary shares who is temporarily non-resident for U.K. tax purposes will, in certain circumstances, become liable to U.K. tax on capital gains in respect of gains realized while they were not resident in the U.K.</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corporate holder of our ADSs or ordinary shares which is not resident in the U.K. for U.K. tax purposes should not be liable for U.K.</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corporation tax on chargeable gains realized on the disposal of our ADSs or ordinary shares unless it carries on a trade in the U.K.</w:t>
      </w:r>
    </w:p>
    <w:p>
      <w:pPr>
        <w:ind w:left="120"/>
        <w:spacing w:after="0"/>
        <w:rPr>
          <w:sz w:val="20"/>
          <w:szCs w:val="20"/>
          <w:color w:val="auto"/>
        </w:rPr>
      </w:pPr>
      <w:r>
        <w:rPr>
          <w:rFonts w:ascii="Arial" w:cs="Arial" w:eastAsia="Arial" w:hAnsi="Arial"/>
          <w:sz w:val="18"/>
          <w:szCs w:val="18"/>
          <w:color w:val="auto"/>
        </w:rPr>
        <w:t>through a permanent establishment in the U.K. to which our ADSs or ordinary shares are attributable.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statements apply to all holders, regardless of their jurisdiction of tax residence.</w:t>
      </w:r>
    </w:p>
    <w:p>
      <w:pPr>
        <w:spacing w:after="0" w:line="21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It is assumed for the purposes of the following statements that all transfers or, or agreements to transfer, our ordinary shares are only made at times when (i) our ordinary shares are admitted to trading on AIM but are not listed on any market (with the term “listed” being construed in accordance with section 99A of the Finance Act 1986) and (ii) AIM continues to be accepted as a “recognized growth market” (as construed in accordance with section 99A of the Finance Act 1986). Holders of our ADSs who acquire ordinary shares upon cancelling their ADSs and then propose to transfer, or agree to transfer, our ordinary shares during such time as these conditions are not met (including during any period between the creation and issue of our ADSs and the admission to trading of our ordinary shares on AIM) are strongly urged to obtain their own advice.</w:t>
      </w:r>
    </w:p>
    <w:p>
      <w:pPr>
        <w:spacing w:after="0" w:line="20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No stamp duty is payable on the issue of our ordinary shares into a depositary receipt system (such as, Mereo understands, that operated by Citibank) or a clearance service (such as, Mereo understands, DTC). No stamp duty reserve tax (“SDRT”) should be payable on the issue of our ordinary shares into a depositary receipt system or a clearance service. Accordingly, no stamp duty or SDRT should be payable on the creation and issue of our ADSs pursuant to the issue of our ordinary shares to Citibank’s custodian.</w:t>
      </w:r>
    </w:p>
    <w:p>
      <w:pPr>
        <w:spacing w:after="0" w:line="205"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into a depositary receipt system or a clearance service.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SDRT or stamp duty should be payable on paperless transfers of, or agreements to transfer, our ADSs through the facilities of</w:t>
      </w:r>
    </w:p>
    <w:p>
      <w:pPr>
        <w:ind w:left="120"/>
        <w:spacing w:after="0"/>
        <w:rPr>
          <w:sz w:val="20"/>
          <w:szCs w:val="20"/>
          <w:color w:val="auto"/>
        </w:rPr>
      </w:pPr>
      <w:r>
        <w:rPr>
          <w:rFonts w:ascii="Arial" w:cs="Arial" w:eastAsia="Arial" w:hAnsi="Arial"/>
          <w:sz w:val="18"/>
          <w:szCs w:val="18"/>
          <w:color w:val="auto"/>
        </w:rPr>
        <w:t>DTC.</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No stamp duty should be payable on a written instrument transferring, or a written agreement to transfer, our ADSs provided the instrument or agreement is executed and remains at all times outside the U.K. No SDRT should be payable in respect of agreements to transfer our ADSs.</w:t>
      </w:r>
    </w:p>
    <w:p>
      <w:pPr>
        <w:spacing w:after="0" w:line="20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outside of a depositary receipt system or a clearance service.</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 CAPITAL</w:t>
      </w:r>
    </w:p>
    <w:p>
      <w:pPr>
        <w:spacing w:after="0" w:line="216"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i w:val="1"/>
          <w:iCs w:val="1"/>
          <w:color w:val="auto"/>
        </w:rPr>
        <w:t>The following is a description of the ordinary shares, par value £0.003 per share, of Mereo BioPharma Group plc (the “Company,” “we” or “us”) which are represented by American Depositary Shares (“ADSs”) with each ADS representing five of our ordinary shares registered under Section 12 of the Securities Exchange Act of 1934, as amended (the “Exchange Act”). This description also summarizes relevant provisions of English law. The following summary does not purport to be complete and is subject to, and is qualified in its entirety by reference to, the applicable provisions of English law and the Company’s articles of association, a copy of which is filed as Exhibit 1.1 to the Annual Report on Form 20-F of the Company for the fiscal year ended December 31, 2019. We encourage you to read the articles and the applicable provisions of English law for additional information.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principal executive offices are located at 4th Floor, One Cavendish Place, London, W1G 0QF, United Kingdom. The principal legislation under which we operate and our ordinary shares are issued is the U.K. Companies Act 2006.</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6"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As of August 1, 2020, our issued share capital was £1,016,141.89 equivalent to 338,713,962 ordinary shares. The nominal value of our ordinary shares, including ordinary shares in the form of ADSs, is £0.003 per ordinary share. Each issued ordinary share is fully paid. As of July 31, 2020, 48,160,620 of our ordinary shares were represented by 9,632,124 ADSs.</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Following the passing of resolutions at in our annual general meeting held on June 29, 2020, our Board was authorized to (i) allot new shares or grant rights to subscribe for, or convert other securities into, shares up to an amount equal to 77% of our total issued ordinary share capital as at May 26, 2020, comprising ordinary shares with an aggregate nominal value of £288,070.78; and (ii) allot equity securities for cash without first being required to offer them to existing ordinary shareholders up to the same aggregate maximum nominal amount of £288,070.78 (including, for this purpose, the sale on a non-pre-emptive basis of any shares held in treasury). In each case, the authorization will last until the next annual general meeting or, if earlier, 15 months from the date of the passing of these resolutions. As of August 1, 2020, the Board has authorization to allot new ordinary shares with an aggregate nominal value of £288,078.78 and authorization to allot equity securities for cash on a non-pre-emptive basis up to a nominal value of £ 288,078.78. To the extent that this authorization and disapplication do not remain unutilized in a sufficient amount for the purpose of an offering of the securities described in this prospectus, our Board will require a further authorization to allot new shares and disapplication of statutory preemption rights to be granted by our shareholders in general meeting prior to proceeding with that offering.</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Following the passing of resolutions at our general meeting held on June 30, 2020, the unsecured convertible loan notes due 2023 of the Company constituted pursuant to the loan note instrument dated June 3, 2020 (the “Tranche 1 Notes”) automatically converted into ordinary shares of £0.003 each in the capital of the Company except that no new ordinary shares were issued which would result in any person holding in excess of 9.9% of the aggregate voting rights in the Company as a result of the relevant conversion. As a result of automatic conversion, Tranche 1 Notes in an aggregate principal amount of £ 21,660,999 (together with accrued interest) converted into 125,061,475 new ordinary shares. Tranche 1 Notes in an aggregate principal amount of £18,872,672 remained outstanding after the conversion and are convertible into new ordinary shares in accordance with their terms.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6" w:lineRule="exact"/>
        <w:rPr>
          <w:sz w:val="20"/>
          <w:szCs w:val="20"/>
          <w:color w:val="auto"/>
        </w:rPr>
      </w:pPr>
    </w:p>
    <w:p>
      <w:pPr>
        <w:jc w:val="both"/>
        <w:ind w:left="120" w:right="120" w:firstLine="440"/>
        <w:spacing w:after="0" w:line="274" w:lineRule="auto"/>
        <w:rPr>
          <w:sz w:val="20"/>
          <w:szCs w:val="20"/>
          <w:color w:val="auto"/>
        </w:rPr>
      </w:pPr>
      <w:r>
        <w:rPr>
          <w:rFonts w:ascii="Arial" w:cs="Arial" w:eastAsia="Arial" w:hAnsi="Arial"/>
          <w:sz w:val="17"/>
          <w:szCs w:val="17"/>
          <w:color w:val="auto"/>
        </w:rPr>
        <w:t>As of December 31, 2019, there were options to purchase 11,357,738 ordinary shares outstanding under our equity incentive plans with a weighted average exercise price of £1.45 per ordinary share. The options generally lapse after 10 years from the date of the grant.</w:t>
      </w:r>
    </w:p>
    <w:p>
      <w:pPr>
        <w:spacing w:after="0" w:line="175"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As of December 31, 2019, there were options to purchase 875,050 ADSs outstanding under our equity incentive plans with a weighted average exercise price of $4.29 per ADS. The options generally lapse after 4 years from the date of grant.</w:t>
      </w:r>
    </w:p>
    <w:p>
      <w:pPr>
        <w:spacing w:after="0" w:line="197"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As of December 31, 2019, there were nil-cost options to purchase 162,997 ordinary shares outstanding under our DSP, which generally lapse one year after vesting.</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On February 20, 2020, we issued options to purchase 962,836 ADSs with an exercise price of $1.84 per ADS to employees pursuant to the 2019 EIP. One quarter of the options become exercisable on the first anniversary of their grant date and, thereafter, vest in equal monthly installments over three years.</w:t>
      </w:r>
    </w:p>
    <w:p>
      <w:pPr>
        <w:spacing w:after="0" w:line="20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On February 20, 2020, we also issued options to purchase 77,000 ADSs with an exercise price of $1.84 per ADS to non-employees pursuant to the 2019 NED EIP. These options vest in equal monthly installments over the year following their grant date.</w:t>
      </w:r>
    </w:p>
    <w:p>
      <w:pPr>
        <w:spacing w:after="0" w:line="197"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On August 12, 2020, we issued options to purchase 200,000 ADSs under Mereo’s 2019 EIP with a weighted average exercise price of $2.77 per ordinary share.</w:t>
      </w:r>
    </w:p>
    <w:p>
      <w:pPr>
        <w:spacing w:after="0" w:line="197"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Each of our equity incentive plans includes provisions for potential adjustment of outstanding equity awards in connection with certain corporate transactions, in order to prevent dilution or enlargement of the intended benefits under such plans.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Novartis Notes</w:t>
      </w:r>
    </w:p>
    <w:p>
      <w:pPr>
        <w:spacing w:after="0" w:line="126"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On June 3, 2016, we issued 3,463,563 notes to Novartis (the “Novartis Notes”). The Novartis Notes included an adjustment provision to prevent the dilution of the ordinary shares issuable to Novartis under certain circumstances.</w:t>
      </w:r>
    </w:p>
    <w:p>
      <w:pPr>
        <w:spacing w:after="0" w:line="197" w:lineRule="exact"/>
        <w:rPr>
          <w:sz w:val="20"/>
          <w:szCs w:val="20"/>
          <w:color w:val="auto"/>
        </w:rPr>
      </w:pPr>
    </w:p>
    <w:p>
      <w:pPr>
        <w:jc w:val="both"/>
        <w:ind w:left="120" w:right="180" w:firstLine="440"/>
        <w:spacing w:after="0"/>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ordinary shares to Novartis.</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On June 6, 2019 Novartis delivered to us a notice of conversion with respect to the aggregate principal amount and interest of the Novartis Notes. Pursuant to such notice, on June 21, 2019 the aggregate principal amount and interest of £2,367,004 due under the Novartis Notes was converted into 1,071,042 fully paid ordinary shares at the fixed conversion price of £2.21 per share. Additionally, in connection with such conversion, we issued 864,988 ordinary shares to Novartis. At June 30, 2019, there was no further liability under the Novartis Notes which were converted in full as at that date.</w:t>
      </w:r>
    </w:p>
    <w:p>
      <w:pPr>
        <w:spacing w:after="0" w:line="202"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On February 10, 2020, we entered into a £3,841,479 convertible loan note instrument relating to the issue of 3,841,479 New Novartis Notes. The New Novartis Notes are convertible at any time at a fixed price of £0.265 per ordinary share. The New Novartis Notes included an adjustment provision to prevent the dilution of the ordinary shares issuable to Novartis under certain circumstances.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As of December 31, 2019, there were warrants to purchase 1,243,908 ordinary shares at a weighted average exercise price of £ 2.95 per ordinary share, including 621,954 warrants exercisable by Silicon Valley Bank and 621,954 warrants exercisable by Kreos Capital V (UK) Limited. These warrants will be capable of exercise until October 1, 2028. The warrants include an adjustment provision to prevent the dilution of the ordinary shares issuable to Silicon Valley Bank and Kreos Capital V (UK) Limited under certain circumstances. The Company, Silicon Valley Bank and Kreos Capital V (UK) Limited have yet to reach an agreement on the number of warrants to be issued to them as a result of the anti-dilution protections in our agreements with them following the various private placements by the Company in 2020. See note 7 to our unaudited condensed consolidated financial statements for the six months ended June 30, 2020 incorporated by reference herein.</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Warrants totalling 321,444 were issued in 2019 (2018: 41,286) that could potentially dilute basic earnings per share if converted.</w:t>
      </w:r>
    </w:p>
    <w:p>
      <w:pPr>
        <w:spacing w:after="0" w:line="212"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On February 10, 2020, in connection with the New Novartis Notes, we entered into a warrant instrument with Novartis to issue 1,449,614 ordinary shares at a weighted average exercise price of £0.265 per ordinary share. These warrants will be capable of exercise until February 10, 2025. The warrants include an adjustment provision to prevent the dilution of the ordinary shares issuable to Novartis under certain circumstances.</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On June 4, 2020, we announced the completion of a private placement (the “June 2020 Private Placement”), in connection with which the investors in the private placement received conditional warrants entitling the holders to subscribe for an aggregate of 161,048,366 new ordinary shares. As of August 1, 2020, there were 161,048,366 warrants outstanding to purchase ordinary shares at an exercise price of 34.8 pence per ordinary share, subject to the terms of the warrants. As of September 29, 2020, none of these warrants have been exercised to date.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the rights of holders of our ordinary shares:</w:t>
      </w:r>
    </w:p>
    <w:p>
      <w:pPr>
        <w:spacing w:after="0" w:line="239" w:lineRule="exact"/>
        <w:rPr>
          <w:sz w:val="20"/>
          <w:szCs w:val="20"/>
          <w:color w:val="auto"/>
        </w:rPr>
      </w:pPr>
    </w:p>
    <w:p>
      <w:pPr>
        <w:ind w:left="980" w:hanging="432"/>
        <w:spacing w:after="0" w:line="226"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vote taken by poll, each holder of our ordinary shares is entitled to one vote per ordinary share at a meeting of shareholders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26"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Shares</w:t>
      </w:r>
    </w:p>
    <w:p>
      <w:pPr>
        <w:spacing w:after="0" w:line="126"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are required by the U.K. Companies Act 2006 to keep a register of our shareholders. Under English law, the ordinary shares are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Under the U.K. Companies Act 2006, we must enter an allotment of ordinary shares in our share register as soon as practicable and in any event within two months of the allotment. We will perform all procedures necessary to update the share register with the number of ordinary shares to be issued to the depositary upon sale of the ADSs, pursuant to a supplemental prospectus. We also are required by the U.K. Companies Act 2006 to register a transfer of ordinary shares (or give the transferee notice of and reasons for refusal as the transferee may reasonably request) as soon as practicable and in any event within two months of receiving notice of the transfer.</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202" w:lineRule="exact"/>
        <w:rPr>
          <w:sz w:val="20"/>
          <w:szCs w:val="20"/>
          <w:color w:val="auto"/>
        </w:rPr>
      </w:pPr>
    </w:p>
    <w:p>
      <w:pPr>
        <w:ind w:left="980" w:hanging="432"/>
        <w:spacing w:after="0"/>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any person, without sufficient cause, is entered in or omitted from our register of members; or</w:t>
      </w:r>
    </w:p>
    <w:p>
      <w:pPr>
        <w:spacing w:after="0" w:line="26"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default is made or unnecessary delay takes place in entering on the register the fact of any person having ceased to be a member or on which we have a lien, provided that such refusal does not prevent dealings in the shares taking place on an open and proper basis.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Rights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w:t>
      </w:r>
    </w:p>
    <w:p>
      <w:pPr>
        <w:spacing w:after="0" w:line="20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On June 29, 2020, our shareholders authorized our Board to exclude pre-emptive rights for a period until the end of our next annual general meeting or, if earlier, 15 months from June 29, 2020 in respect of the allotment of ordinary shares or the grant of rights to subscribe for or convert securities into ordinary shares up to a maximum aggregate nominal amount of £288,070.78. The nominal value of our ordinary shares is £0.003 per ordinary share. For further information relating to the Company’s existing authority to issue additional ordinary shares, see “—Share Capital.”</w:t>
      </w:r>
    </w:p>
    <w:p>
      <w:pPr>
        <w:spacing w:after="0" w:line="202" w:lineRule="exact"/>
        <w:rPr>
          <w:sz w:val="20"/>
          <w:szCs w:val="20"/>
          <w:color w:val="auto"/>
        </w:rPr>
      </w:pPr>
    </w:p>
    <w:p>
      <w:pPr>
        <w:ind w:left="120" w:right="740" w:firstLine="440"/>
        <w:spacing w:after="0" w:line="246" w:lineRule="auto"/>
        <w:rPr>
          <w:sz w:val="20"/>
          <w:szCs w:val="20"/>
          <w:color w:val="auto"/>
        </w:rPr>
      </w:pPr>
      <w:r>
        <w:rPr>
          <w:rFonts w:ascii="Arial" w:cs="Arial" w:eastAsia="Arial" w:hAnsi="Arial"/>
          <w:sz w:val="18"/>
          <w:szCs w:val="18"/>
          <w:color w:val="auto"/>
        </w:rPr>
        <w:t>As of August 1, 2020, non pre-emptive authorization up to a maximum aggregate nominal amount of £288,070.78 remained available to the Company.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description of our Articles as at the date hereof.</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Shares and Rights Attaching to Them</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Objects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objects of our company are unrestricted.</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 Rights</w:t>
      </w:r>
    </w:p>
    <w:p>
      <w:pPr>
        <w:spacing w:after="0" w:line="122"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Subject to any special rights attaching to shares already in issue, our shares may be issued with or have attached to them any rights or restrictions as we may resolve by ordinary resolution of the shareholders or, failing such determination, as the board may determine.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Rights</w:t>
      </w:r>
    </w:p>
    <w:p>
      <w:pPr>
        <w:spacing w:after="0" w:line="122"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224" w:lineRule="exact"/>
        <w:rPr>
          <w:sz w:val="20"/>
          <w:szCs w:val="20"/>
          <w:color w:val="auto"/>
        </w:rPr>
      </w:pPr>
    </w:p>
    <w:p>
      <w:pPr>
        <w:ind w:left="980" w:right="80" w:hanging="432"/>
        <w:spacing w:after="0" w:line="218"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27"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28" w:lineRule="exact"/>
        <w:rPr>
          <w:rFonts w:ascii="MS PGothic" w:cs="MS PGothic" w:eastAsia="MS PGothic" w:hAnsi="MS PGothic"/>
          <w:sz w:val="25"/>
          <w:szCs w:val="25"/>
          <w:color w:val="auto"/>
          <w:vertAlign w:val="superscript"/>
        </w:rPr>
      </w:pPr>
    </w:p>
    <w:p>
      <w:pPr>
        <w:ind w:left="980" w:hanging="432"/>
        <w:spacing w:after="0" w:line="229"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spacing w:after="0" w:line="26" w:lineRule="exact"/>
        <w:rPr>
          <w:rFonts w:ascii="MS PGothic" w:cs="MS PGothic" w:eastAsia="MS PGothic" w:hAnsi="MS PGothic"/>
          <w:sz w:val="25"/>
          <w:szCs w:val="25"/>
          <w:color w:val="auto"/>
          <w:vertAlign w:val="superscript"/>
        </w:rPr>
      </w:pPr>
    </w:p>
    <w:p>
      <w:pPr>
        <w:ind w:left="980" w:right="60" w:hanging="432"/>
        <w:spacing w:after="0" w:line="226"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poll every shareholder who is present in person or by proxy shall have one vote for each share of which he or she is the holder,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203"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U.K. Companies Act 2006, as described in “Differences in Corporate Law—Voting Rights” in this prospectus, a poll may be demanded by:</w:t>
      </w:r>
    </w:p>
    <w:p>
      <w:pPr>
        <w:spacing w:after="0" w:line="193" w:lineRule="exact"/>
        <w:rPr>
          <w:sz w:val="20"/>
          <w:szCs w:val="20"/>
          <w:color w:val="auto"/>
        </w:rPr>
      </w:pPr>
    </w:p>
    <w:p>
      <w:pPr>
        <w:ind w:left="980" w:hanging="432"/>
        <w:spacing w:after="0"/>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chairman of the meeting;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two or more persons having the right to vote on the resolution; or</w:t>
      </w:r>
    </w:p>
    <w:p>
      <w:pPr>
        <w:spacing w:after="0" w:line="26" w:lineRule="exact"/>
        <w:rPr>
          <w:rFonts w:ascii="MS PGothic" w:cs="MS PGothic" w:eastAsia="MS PGothic" w:hAnsi="MS PGothic"/>
          <w:sz w:val="25"/>
          <w:szCs w:val="25"/>
          <w:color w:val="auto"/>
          <w:vertAlign w:val="superscript"/>
        </w:rPr>
      </w:pPr>
    </w:p>
    <w:p>
      <w:pPr>
        <w:ind w:left="980" w:right="140" w:hanging="432"/>
        <w:spacing w:after="0" w:line="218" w:lineRule="auto"/>
        <w:tabs>
          <w:tab w:leader="none" w:pos="9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or persons representing not less than 10% of the total voting rights of all shareholders having the right to vote on the resolution.</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Restrictions on Voting</w:t>
      </w:r>
    </w:p>
    <w:p>
      <w:pPr>
        <w:spacing w:after="0" w:line="122"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No shareholder shall (unless the Directors otherwise determine) be entitled to vote at any general meeting in respect of any share held by him or her unless all sums payable by him or her in respect of that share have been paid.</w:t>
      </w:r>
    </w:p>
    <w:p>
      <w:pPr>
        <w:spacing w:after="0" w:line="197" w:lineRule="exact"/>
        <w:rPr>
          <w:sz w:val="20"/>
          <w:szCs w:val="20"/>
          <w:color w:val="auto"/>
        </w:rPr>
      </w:pPr>
    </w:p>
    <w:p>
      <w:pPr>
        <w:ind w:left="120" w:right="400" w:firstLine="440"/>
        <w:spacing w:after="0"/>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or her shares.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Dividends</w:t>
      </w:r>
    </w:p>
    <w:p>
      <w:pPr>
        <w:spacing w:after="0" w:line="12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may, subject to the provisions of the U.K. Companies Act 2006 and our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205"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203"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w:t>
      </w:r>
    </w:p>
    <w:p>
      <w:pPr>
        <w:spacing w:after="0" w:line="203"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97"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203"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The directors may, if authorized by an ordinary resolution of shareholders, offer any holders of ordinary shares the right to elect to receive in lieu of a dividend, or part of a dividend, an allotment of ordinary shares credited as fully paid up.</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of Control</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no specific provision in our Articles that would have the effect of delaying, deferring, or preventing a change of control.</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on Winding Up</w:t>
      </w:r>
    </w:p>
    <w:p>
      <w:pPr>
        <w:spacing w:after="0" w:line="12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our liquidation may be closed and we may be dissolved), but no shareholder shall be compelled to accept any shares or other assets upon which there is any liability.</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Variation of Rights</w:t>
      </w:r>
    </w:p>
    <w:p>
      <w:pPr>
        <w:spacing w:after="0" w:line="12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Alteration to Share Capital</w:t>
      </w:r>
    </w:p>
    <w:p>
      <w:pPr>
        <w:spacing w:after="0" w:line="122"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may, by ordinary resolution of shareholders, consolidate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Preemption Rights</w:t>
      </w:r>
    </w:p>
    <w:p>
      <w:pPr>
        <w:spacing w:after="0" w:line="122"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In certain circumstances, our shareholders may have statutory preemption rights under the U.K. Companies Act 2006 in respect of the allotment of new shares as described in “—Pre-emptive Rights” and “—Differences in Corporate Law—Pre-emptive Rights” in this prospectus.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2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Any shareholder holding shares in certificated form may transfer all or any of his or her shares by an instrument of transfer in any usual form or any other form approved by the board. Any written instrument of transfer shall be signed by or on behalf of the transferor and (in the case of a partly paid share) the transferee.</w:t>
      </w:r>
    </w:p>
    <w:p>
      <w:pPr>
        <w:spacing w:after="0" w:line="203" w:lineRule="exact"/>
        <w:rPr>
          <w:sz w:val="20"/>
          <w:szCs w:val="20"/>
          <w:color w:val="auto"/>
        </w:rPr>
      </w:pPr>
    </w:p>
    <w:p>
      <w:pPr>
        <w:jc w:val="both"/>
        <w:ind w:left="120" w:right="540" w:firstLine="440"/>
        <w:spacing w:after="0"/>
        <w:rPr>
          <w:sz w:val="20"/>
          <w:szCs w:val="20"/>
          <w:color w:val="auto"/>
        </w:rPr>
      </w:pPr>
      <w:r>
        <w:rPr>
          <w:rFonts w:ascii="Arial" w:cs="Arial" w:eastAsia="Arial" w:hAnsi="Arial"/>
          <w:sz w:val="18"/>
          <w:szCs w:val="18"/>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02" w:lineRule="exact"/>
        <w:rPr>
          <w:sz w:val="20"/>
          <w:szCs w:val="20"/>
          <w:color w:val="auto"/>
        </w:rPr>
      </w:pPr>
    </w:p>
    <w:p>
      <w:pPr>
        <w:ind w:left="980" w:hanging="432"/>
        <w:spacing w:after="0"/>
        <w:tabs>
          <w:tab w:leader="none" w:pos="9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which is not a fully paid share;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lodged at our registered office or such other place as the directors have appointed;</w:t>
      </w:r>
    </w:p>
    <w:p>
      <w:pPr>
        <w:spacing w:after="0" w:line="26" w:lineRule="exact"/>
        <w:rPr>
          <w:rFonts w:ascii="MS PGothic" w:cs="MS PGothic" w:eastAsia="MS PGothic" w:hAnsi="MS PGothic"/>
          <w:sz w:val="25"/>
          <w:szCs w:val="25"/>
          <w:color w:val="auto"/>
          <w:vertAlign w:val="superscript"/>
        </w:rPr>
      </w:pPr>
    </w:p>
    <w:p>
      <w:pPr>
        <w:ind w:left="980" w:right="420" w:hanging="432"/>
        <w:spacing w:after="0" w:line="223" w:lineRule="auto"/>
        <w:tabs>
          <w:tab w:leader="none" w:pos="9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in respect of more than one class of share;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number of joint holders to whom the share is to be transferred exceeds four.</w:t>
      </w:r>
    </w:p>
    <w:p>
      <w:pPr>
        <w:spacing w:after="0" w:line="202"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Shareholder </w:t>
      </w:r>
      <w:r>
        <w:rPr>
          <w:rFonts w:ascii="Arial" w:cs="Arial" w:eastAsia="Arial" w:hAnsi="Arial"/>
          <w:sz w:val="18"/>
          <w:szCs w:val="18"/>
          <w:b w:val="1"/>
          <w:bCs w:val="1"/>
          <w:color w:val="auto"/>
        </w:rPr>
        <w:t>Meetings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General Meetings</w:t>
      </w:r>
    </w:p>
    <w:p>
      <w:pPr>
        <w:spacing w:after="0" w:line="12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 Differences in Corporate Law—Annual General Meeting” and “—Differences in Corporate Law—Notice of General Meetings” in this prospectus.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Notice of General Meetings</w:t>
      </w:r>
    </w:p>
    <w:p>
      <w:pPr>
        <w:spacing w:after="0" w:line="122" w:lineRule="exact"/>
        <w:rPr>
          <w:sz w:val="20"/>
          <w:szCs w:val="20"/>
          <w:color w:val="auto"/>
        </w:rPr>
      </w:pPr>
    </w:p>
    <w:p>
      <w:pPr>
        <w:ind w:left="120" w:right="760" w:firstLine="440"/>
        <w:spacing w:after="0" w:line="246" w:lineRule="auto"/>
        <w:rPr>
          <w:sz w:val="20"/>
          <w:szCs w:val="20"/>
          <w:color w:val="auto"/>
        </w:rPr>
      </w:pPr>
      <w:r>
        <w:rPr>
          <w:rFonts w:ascii="Arial" w:cs="Arial" w:eastAsia="Arial" w:hAnsi="Arial"/>
          <w:sz w:val="18"/>
          <w:szCs w:val="18"/>
          <w:color w:val="auto"/>
        </w:rPr>
        <w:t>The arrangements for the calling of general meetings are described in “—Differences in Corporate Law—Notice of General Meetings” in this prospectus.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Quorum of General Meetings</w:t>
      </w:r>
    </w:p>
    <w:p>
      <w:pPr>
        <w:spacing w:after="0" w:line="12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No business, other than the appointment of the chair of the meeting, shall be transacted at any general meeting unless a quorum is present. At least two shareholders present in person or by proxy and entitled to vote shall be a quorum for all purposes.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Class Meetings</w:t>
      </w:r>
    </w:p>
    <w:p>
      <w:pPr>
        <w:spacing w:after="0" w:line="122"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The provisions in the Articles relating to general meetings apply to every separate general meeting of the holders of a class of shares.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Number of Directors</w:t>
      </w:r>
    </w:p>
    <w:p>
      <w:pPr>
        <w:spacing w:after="0" w:line="12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We may not have less than two directors on the Board and not more than nine. We may, by ordinary resolution of the shareholders, vary the minimum and maximum number of directors from time to time.</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Appointment of Directors</w:t>
      </w:r>
    </w:p>
    <w:p>
      <w:pPr>
        <w:spacing w:after="0" w:line="12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us their willingness to be elected as a director not later than seven days before the general meeting at which the relevant resolution is proposed.</w:t>
      </w:r>
    </w:p>
    <w:p>
      <w:pPr>
        <w:spacing w:after="0" w:line="202"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8360"/>
        <w:spacing w:after="0"/>
        <w:rPr>
          <w:sz w:val="20"/>
          <w:szCs w:val="20"/>
          <w:color w:val="auto"/>
        </w:rPr>
      </w:pPr>
      <w:r>
        <w:rPr>
          <w:rFonts w:ascii="Arial" w:cs="Arial" w:eastAsia="Arial" w:hAnsi="Arial"/>
          <w:sz w:val="18"/>
          <w:szCs w:val="18"/>
          <w:b w:val="1"/>
          <w:bCs w:val="1"/>
          <w:i w:val="1"/>
          <w:iCs w:val="1"/>
          <w:color w:val="auto"/>
        </w:rPr>
        <w:t xml:space="preserve">Other U.K. Law </w:t>
      </w:r>
      <w:r>
        <w:rPr>
          <w:rFonts w:ascii="Arial" w:cs="Arial" w:eastAsia="Arial" w:hAnsi="Arial"/>
          <w:sz w:val="18"/>
          <w:szCs w:val="18"/>
          <w:b w:val="1"/>
          <w:bCs w:val="1"/>
          <w:color w:val="auto"/>
        </w:rPr>
        <w:t>Considerations</w:t>
      </w:r>
    </w:p>
    <w:p>
      <w:pPr>
        <w:spacing w:after="0" w:line="108" w:lineRule="exact"/>
        <w:rPr>
          <w:sz w:val="20"/>
          <w:szCs w:val="20"/>
          <w:color w:val="auto"/>
        </w:rPr>
      </w:pPr>
    </w:p>
    <w:p>
      <w:pPr>
        <w:jc w:val="right"/>
        <w:ind w:right="8360"/>
        <w:spacing w:after="0"/>
        <w:rPr>
          <w:sz w:val="20"/>
          <w:szCs w:val="20"/>
          <w:color w:val="auto"/>
        </w:rPr>
      </w:pPr>
      <w:r>
        <w:rPr>
          <w:rFonts w:ascii="Arial" w:cs="Arial" w:eastAsia="Arial" w:hAnsi="Arial"/>
          <w:sz w:val="18"/>
          <w:szCs w:val="18"/>
          <w:i w:val="1"/>
          <w:iCs w:val="1"/>
          <w:color w:val="auto"/>
        </w:rPr>
        <w:t>Notification of Voting Rights</w:t>
      </w:r>
    </w:p>
    <w:p>
      <w:pPr>
        <w:spacing w:after="0" w:line="12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A shareholder in a public company incorporated in the United Kingdom whose shares are admitted to trading on AIM is required pursuant to Chapter 5 of the Disclosure Guidance and Transparency Rules of the U.K. Financial Conduct Authority to notify us of the percentage of his or her voting rights if the percentage of voting rights which he or she holds as a shareholder or through his or her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122"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or she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 compulsory acquisition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Sell Out</w:t>
      </w:r>
    </w:p>
    <w:p>
      <w:pPr>
        <w:spacing w:after="0" w:line="12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or her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or her rights to be bought out, the offeror is required to acquire those shares on the terms of this offer or on such other terms as may be agreed.</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Disclosure of Interest in Shares</w:t>
      </w:r>
    </w:p>
    <w:p>
      <w:pPr>
        <w:spacing w:after="0" w:line="12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or her knowledge) particulars of any other interest that subsists or subsisted in those shares.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Under our Articles, if a person defaults in supplying us with the required particulars in relation to the shares in question (“default shares”), within the prescribed period, the directors may by notice direct that:</w:t>
      </w:r>
    </w:p>
    <w:p>
      <w:pPr>
        <w:spacing w:after="0" w:line="224" w:lineRule="exact"/>
        <w:rPr>
          <w:sz w:val="20"/>
          <w:szCs w:val="20"/>
          <w:color w:val="auto"/>
        </w:rPr>
      </w:pPr>
    </w:p>
    <w:p>
      <w:pPr>
        <w:ind w:left="980" w:right="560" w:hanging="432"/>
        <w:spacing w:after="0" w:line="218"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27" w:lineRule="exact"/>
        <w:rPr>
          <w:rFonts w:ascii="MS PGothic" w:cs="MS PGothic" w:eastAsia="MS PGothic" w:hAnsi="MS PGothic"/>
          <w:sz w:val="25"/>
          <w:szCs w:val="25"/>
          <w:color w:val="auto"/>
          <w:vertAlign w:val="superscript"/>
        </w:rPr>
      </w:pPr>
    </w:p>
    <w:p>
      <w:pPr>
        <w:ind w:left="980" w:right="120" w:hanging="432"/>
        <w:spacing w:after="0" w:line="227"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w:t>
      </w:r>
    </w:p>
    <w:p>
      <w:pPr>
        <w:spacing w:after="0" w:line="30" w:lineRule="exact"/>
        <w:rPr>
          <w:rFonts w:ascii="MS PGothic" w:cs="MS PGothic" w:eastAsia="MS PGothic" w:hAnsi="MS PGothic"/>
          <w:sz w:val="25"/>
          <w:szCs w:val="25"/>
          <w:color w:val="auto"/>
          <w:vertAlign w:val="superscript"/>
        </w:rPr>
      </w:pPr>
    </w:p>
    <w:p>
      <w:pPr>
        <w:ind w:left="980" w:hanging="432"/>
        <w:spacing w:after="0" w:line="229" w:lineRule="auto"/>
        <w:tabs>
          <w:tab w:leader="none" w:pos="9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shares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Purchase of Own Shares</w:t>
      </w:r>
    </w:p>
    <w:p>
      <w:pPr>
        <w:spacing w:after="0" w:line="12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202"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188" w:lineRule="exact"/>
        <w:rPr>
          <w:sz w:val="20"/>
          <w:szCs w:val="20"/>
          <w:color w:val="auto"/>
        </w:rPr>
      </w:pPr>
    </w:p>
    <w:p>
      <w:pPr>
        <w:ind w:left="980" w:hanging="432"/>
        <w:spacing w:after="0"/>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the maximum number of shares authorized to be acquired;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20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or she had not done so. The resolution authorizing the purchase must specify a date, not being later than five years after the passing of the resolution, on which the authority to purchase is to expire.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and Dividends</w:t>
      </w:r>
    </w:p>
    <w:p>
      <w:pPr>
        <w:spacing w:after="0" w:line="122" w:lineRule="exact"/>
        <w:rPr>
          <w:sz w:val="20"/>
          <w:szCs w:val="20"/>
          <w:color w:val="auto"/>
        </w:rPr>
      </w:pPr>
    </w:p>
    <w:p>
      <w:pPr>
        <w:ind w:left="120" w:right="540" w:firstLine="440"/>
        <w:spacing w:after="0" w:line="238" w:lineRule="auto"/>
        <w:rPr>
          <w:sz w:val="20"/>
          <w:szCs w:val="20"/>
          <w:color w:val="auto"/>
        </w:rPr>
      </w:pPr>
      <w:r>
        <w:rPr>
          <w:rFonts w:ascii="Arial" w:cs="Arial" w:eastAsia="Arial" w:hAnsi="Arial"/>
          <w:sz w:val="18"/>
          <w:szCs w:val="18"/>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80"/>
        <w:spacing w:after="0" w:line="246" w:lineRule="auto"/>
        <w:rPr>
          <w:sz w:val="20"/>
          <w:szCs w:val="20"/>
          <w:color w:val="auto"/>
        </w:rPr>
      </w:pPr>
      <w:r>
        <w:rPr>
          <w:rFonts w:ascii="Arial" w:cs="Arial" w:eastAsia="Arial" w:hAnsi="Arial"/>
          <w:sz w:val="18"/>
          <w:szCs w:val="18"/>
          <w:color w:val="auto"/>
        </w:rPr>
        <w:t>requirement to have sufficient distributable reserves before a distribution or dividend can be paid applies to us and to each of our subsidiaries that has been incorporated under English law.</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230" w:lineRule="exact"/>
        <w:rPr>
          <w:sz w:val="20"/>
          <w:szCs w:val="20"/>
          <w:color w:val="auto"/>
        </w:rPr>
      </w:pPr>
    </w:p>
    <w:p>
      <w:pPr>
        <w:ind w:left="980" w:right="18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City Code on Takeovers and Mergers</w:t>
      </w:r>
    </w:p>
    <w:p>
      <w:pPr>
        <w:spacing w:after="0" w:line="12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7"/>
          <w:szCs w:val="17"/>
          <w:color w:val="auto"/>
        </w:rPr>
        <w:t>As a public company incorporated in England and Wales with our registered office in England and Wales which has shares admitted to AIM, we are subject to the U.K. City Code on Takeovers and Mergers (the “City Code”), which is issued and administered by the U.K. Panel on Takeovers and Mergers (the “Panel”). The City Code provides a framework within which takeovers of companies subject to it are conducted. In particular, the City Code contains certain rules in respect of mandatory offers. Under Rule 9 of the City Code, if a person:</w:t>
      </w:r>
    </w:p>
    <w:p>
      <w:pPr>
        <w:spacing w:after="0" w:line="216" w:lineRule="exact"/>
        <w:rPr>
          <w:sz w:val="20"/>
          <w:szCs w:val="20"/>
          <w:color w:val="auto"/>
        </w:rPr>
      </w:pPr>
    </w:p>
    <w:p>
      <w:pPr>
        <w:ind w:left="980" w:right="14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acquires an interest in our shares which, when taken together with shares in which he or she or persons acting in concert with him or her are interested, carries 30% or more of the voting rights of our shares; or</w:t>
      </w:r>
    </w:p>
    <w:p>
      <w:pPr>
        <w:spacing w:after="0" w:line="27" w:lineRule="exact"/>
        <w:rPr>
          <w:rFonts w:ascii="MS PGothic" w:cs="MS PGothic" w:eastAsia="MS PGothic" w:hAnsi="MS PGothic"/>
          <w:sz w:val="25"/>
          <w:szCs w:val="25"/>
          <w:color w:val="auto"/>
          <w:vertAlign w:val="superscript"/>
        </w:rPr>
      </w:pPr>
    </w:p>
    <w:p>
      <w:pPr>
        <w:ind w:left="980" w:right="80" w:hanging="432"/>
        <w:spacing w:after="0" w:line="223"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who, together with persons acting in concert with him, is interested in shares that in the aggregate carry not less than 30% and not more than 50% of the voting rights of our shares, and such persons, or any person acting in concert with him, acquires additional interests in shares that increase the percentage of shares carrying voting rights in which that person is interested,</w:t>
      </w:r>
    </w:p>
    <w:p>
      <w:pPr>
        <w:spacing w:after="0" w:line="204"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the acquirer and depending on the circumstances, its concert parties, would be required (except with the consent of the Panel) to make a cash offer for our outstanding shares at a price not less than the highest price paid for any interests in the shares by the acquirer or its concert parties during the previous 12 months.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Exchange Controls</w:t>
      </w:r>
    </w:p>
    <w:p>
      <w:pPr>
        <w:spacing w:after="0" w:line="12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08" w:lineRule="exact"/>
        <w:rPr>
          <w:sz w:val="20"/>
          <w:szCs w:val="20"/>
          <w:color w:val="auto"/>
        </w:rPr>
      </w:pPr>
    </w:p>
    <w:p>
      <w:pPr>
        <w:ind w:left="120" w:right="220" w:firstLine="440"/>
        <w:spacing w:after="0" w:line="245" w:lineRule="auto"/>
        <w:rPr>
          <w:sz w:val="20"/>
          <w:szCs w:val="20"/>
          <w:color w:val="auto"/>
        </w:rPr>
      </w:pPr>
      <w:r>
        <w:rPr>
          <w:rFonts w:ascii="Arial" w:cs="Arial" w:eastAsia="Arial" w:hAnsi="Arial"/>
          <w:sz w:val="18"/>
          <w:szCs w:val="18"/>
          <w:i w:val="1"/>
          <w:iCs w:val="1"/>
          <w:color w:val="auto"/>
        </w:rPr>
        <w:t>The applicable provisions of the U.K. Companies Act 2006 differ from laws applicable to U.S. corporations and their shareholders. Set forth below is a summary of certain differences between the provisions of the U.K.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780" w:type="dxa"/>
            <w:vAlign w:val="bottom"/>
            <w:vMerge w:val="restart"/>
          </w:tcPr>
          <w:p>
            <w:pPr>
              <w:spacing w:after="0"/>
              <w:rPr>
                <w:sz w:val="20"/>
                <w:szCs w:val="20"/>
                <w:color w:val="auto"/>
              </w:rPr>
            </w:pPr>
            <w:r>
              <w:rPr>
                <w:rFonts w:ascii="Arial" w:cs="Arial" w:eastAsia="Arial" w:hAnsi="Arial"/>
                <w:sz w:val="18"/>
                <w:szCs w:val="18"/>
                <w:color w:val="auto"/>
              </w:rPr>
              <w:t>Number of Directors</w:t>
            </w:r>
          </w:p>
        </w:tc>
        <w:tc>
          <w:tcPr>
            <w:tcW w:w="110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95"/>
        </w:trPr>
        <w:tc>
          <w:tcPr>
            <w:tcW w:w="278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w w:val="99"/>
              </w:rPr>
              <w:t>Under the U.K. Companies Act 2006, a public</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limited company must have at least two</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directors. Our Articles further provide that,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unless otherwise determined by an ordinary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resolution, the number of our directors shall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be not less than two nor more than nine in</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number.</w:t>
            </w: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4"/>
                <w:szCs w:val="24"/>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Our board of directors currently consists of</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nine members.</w:t>
            </w: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4"/>
                <w:szCs w:val="24"/>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For as long as Novartis holds not less than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one percent of our issued share capital,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Novartis may appoint one observer who may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attend, but not participate or vote in, any</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meeting of our board of directors.</w:t>
            </w: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0"/>
                <w:szCs w:val="20"/>
                <w:color w:val="auto"/>
              </w:rPr>
            </w:pPr>
            <w:r>
              <w:rPr>
                <w:rFonts w:ascii="Arial" w:cs="Arial" w:eastAsia="Arial" w:hAnsi="Arial"/>
                <w:sz w:val="18"/>
                <w:szCs w:val="18"/>
                <w:color w:val="auto"/>
              </w:rPr>
              <w:t>Removal of Directors</w:t>
            </w: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Under the U.K. Companies Act 2006, a</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company may remove a director without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cause at a general meeting by way of an</w:t>
            </w:r>
          </w:p>
        </w:tc>
        <w:tc>
          <w:tcPr>
            <w:tcW w:w="0" w:type="dxa"/>
            <w:vAlign w:val="bottom"/>
          </w:tcPr>
          <w:p>
            <w:pPr>
              <w:spacing w:after="0"/>
              <w:rPr>
                <w:sz w:val="1"/>
                <w:szCs w:val="1"/>
                <w:color w:val="auto"/>
              </w:rPr>
            </w:pPr>
          </w:p>
        </w:tc>
      </w:tr>
      <w:tr>
        <w:trPr>
          <w:trHeight w:val="202"/>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ordinary resolution of shareholders (which is</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w w:val="99"/>
              </w:rPr>
              <w:t>passed by a simple majority of those voting in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person or by proxy at a general meeting),</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irrespective of any provision of any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agreement or service contract between the</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director and the company, provided that 28</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clear days’ notice of the proposed resolution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to remove the director is given and certain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w w:val="99"/>
              </w:rPr>
              <w:t>other procedural requirements under the U.K.</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Companies Act 2006 are followed (such as</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allowing the director to make representations</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against his or her removal either at the</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meeting or in writing).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1602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10" w:right="80"/>
        <w:spacing w:after="0" w:line="238" w:lineRule="auto"/>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
        <w:spacing w:after="0" w:line="248" w:lineRule="auto"/>
        <w:rPr>
          <w:sz w:val="20"/>
          <w:szCs w:val="20"/>
          <w:color w:val="auto"/>
        </w:rPr>
      </w:pPr>
      <w:r>
        <w:rPr>
          <w:rFonts w:ascii="Arial" w:cs="Arial" w:eastAsia="Arial" w:hAnsi="Arial"/>
          <w:sz w:val="17"/>
          <w:szCs w:val="17"/>
          <w:color w:val="auto"/>
        </w:rPr>
        <w:t>Under Delaware law, unless otherwise provided in the certificate of incorporation,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w:t>
      </w:r>
    </w:p>
    <w:p>
      <w:pPr>
        <w:spacing w:after="0" w:line="6" w:lineRule="exact"/>
        <w:rPr>
          <w:sz w:val="20"/>
          <w:szCs w:val="20"/>
          <w:color w:val="auto"/>
        </w:rPr>
      </w:pPr>
    </w:p>
    <w:p>
      <w:pPr>
        <w:ind w:left="10" w:right="60" w:hanging="10"/>
        <w:spacing w:after="0" w:line="236"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p>
      <w:pPr>
        <w:sectPr>
          <w:pgSz w:w="11900" w:h="16838" w:orient="portrait"/>
          <w:cols w:equalWidth="0" w:num="2">
            <w:col w:w="7620" w:space="110"/>
            <w:col w:w="3410"/>
          </w:cols>
          <w:pgMar w:left="320" w:top="459" w:right="4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380"/>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17780</wp:posOffset>
            </wp:positionV>
            <wp:extent cx="45345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addition to any power of removal under the</w:t>
      </w:r>
    </w:p>
    <w:p>
      <w:pPr>
        <w:ind w:left="4000"/>
        <w:spacing w:after="0" w:line="234" w:lineRule="auto"/>
        <w:rPr>
          <w:sz w:val="20"/>
          <w:szCs w:val="20"/>
          <w:color w:val="auto"/>
        </w:rPr>
      </w:pPr>
      <w:r>
        <w:rPr>
          <w:rFonts w:ascii="Arial" w:cs="Arial" w:eastAsia="Arial" w:hAnsi="Arial"/>
          <w:sz w:val="18"/>
          <w:szCs w:val="18"/>
          <w:color w:val="auto"/>
        </w:rPr>
        <w:t>U.K. Companies Act 2006, under our Articles,</w:t>
      </w:r>
    </w:p>
    <w:p>
      <w:pPr>
        <w:ind w:left="4000"/>
        <w:spacing w:after="0" w:line="235" w:lineRule="auto"/>
        <w:rPr>
          <w:sz w:val="20"/>
          <w:szCs w:val="20"/>
          <w:color w:val="auto"/>
        </w:rPr>
      </w:pPr>
      <w:r>
        <w:rPr>
          <w:rFonts w:ascii="Arial" w:cs="Arial" w:eastAsia="Arial" w:hAnsi="Arial"/>
          <w:sz w:val="18"/>
          <w:szCs w:val="18"/>
          <w:color w:val="auto"/>
        </w:rPr>
        <w:t>we may, by special resolution or ordinary</w:t>
      </w:r>
    </w:p>
    <w:p>
      <w:pPr>
        <w:ind w:left="4000"/>
        <w:spacing w:after="0" w:line="235" w:lineRule="auto"/>
        <w:rPr>
          <w:sz w:val="20"/>
          <w:szCs w:val="20"/>
          <w:color w:val="auto"/>
        </w:rPr>
      </w:pPr>
      <w:r>
        <w:rPr>
          <w:rFonts w:ascii="Arial" w:cs="Arial" w:eastAsia="Arial" w:hAnsi="Arial"/>
          <w:sz w:val="18"/>
          <w:szCs w:val="18"/>
          <w:color w:val="auto"/>
        </w:rPr>
        <w:t>resolution (of which special notice has been</w:t>
      </w:r>
    </w:p>
    <w:p>
      <w:pPr>
        <w:ind w:left="4000"/>
        <w:spacing w:after="0" w:line="235" w:lineRule="auto"/>
        <w:rPr>
          <w:sz w:val="20"/>
          <w:szCs w:val="20"/>
          <w:color w:val="auto"/>
        </w:rPr>
      </w:pPr>
      <w:r>
        <w:rPr>
          <w:rFonts w:ascii="Arial" w:cs="Arial" w:eastAsia="Arial" w:hAnsi="Arial"/>
          <w:sz w:val="18"/>
          <w:szCs w:val="18"/>
          <w:color w:val="auto"/>
        </w:rPr>
        <w:t>given in accordance with section 312 of the</w:t>
      </w:r>
    </w:p>
    <w:p>
      <w:pPr>
        <w:ind w:left="4000"/>
        <w:spacing w:after="0" w:line="235" w:lineRule="auto"/>
        <w:rPr>
          <w:sz w:val="20"/>
          <w:szCs w:val="20"/>
          <w:color w:val="auto"/>
        </w:rPr>
      </w:pPr>
      <w:r>
        <w:rPr>
          <w:rFonts w:ascii="Arial" w:cs="Arial" w:eastAsia="Arial" w:hAnsi="Arial"/>
          <w:sz w:val="18"/>
          <w:szCs w:val="18"/>
          <w:color w:val="auto"/>
        </w:rPr>
        <w:t>U.K. Companies Act 2006) remove any</w:t>
      </w:r>
    </w:p>
    <w:p>
      <w:pPr>
        <w:ind w:left="4000"/>
        <w:spacing w:after="0" w:line="234" w:lineRule="auto"/>
        <w:rPr>
          <w:sz w:val="20"/>
          <w:szCs w:val="20"/>
          <w:color w:val="auto"/>
        </w:rPr>
      </w:pPr>
      <w:r>
        <w:rPr>
          <w:rFonts w:ascii="Arial" w:cs="Arial" w:eastAsia="Arial" w:hAnsi="Arial"/>
          <w:sz w:val="18"/>
          <w:szCs w:val="18"/>
          <w:color w:val="auto"/>
        </w:rPr>
        <w:t>director from office (but without prejudice to</w:t>
      </w:r>
    </w:p>
    <w:p>
      <w:pPr>
        <w:ind w:left="4000"/>
        <w:spacing w:after="0" w:line="235" w:lineRule="auto"/>
        <w:rPr>
          <w:sz w:val="20"/>
          <w:szCs w:val="20"/>
          <w:color w:val="auto"/>
        </w:rPr>
      </w:pPr>
      <w:r>
        <w:rPr>
          <w:rFonts w:ascii="Arial" w:cs="Arial" w:eastAsia="Arial" w:hAnsi="Arial"/>
          <w:sz w:val="18"/>
          <w:szCs w:val="18"/>
          <w:color w:val="auto"/>
        </w:rPr>
        <w:t>any claim he or she may have for damages</w:t>
      </w:r>
    </w:p>
    <w:p>
      <w:pPr>
        <w:ind w:left="4000"/>
        <w:spacing w:after="0" w:line="235" w:lineRule="auto"/>
        <w:rPr>
          <w:sz w:val="20"/>
          <w:szCs w:val="20"/>
          <w:color w:val="auto"/>
        </w:rPr>
      </w:pPr>
      <w:r>
        <w:rPr>
          <w:rFonts w:ascii="Arial" w:cs="Arial" w:eastAsia="Arial" w:hAnsi="Arial"/>
          <w:sz w:val="18"/>
          <w:szCs w:val="18"/>
          <w:color w:val="auto"/>
        </w:rPr>
        <w:t>for breach of any agreement between us and</w:t>
      </w:r>
    </w:p>
    <w:p>
      <w:pPr>
        <w:ind w:left="4000"/>
        <w:spacing w:after="0" w:line="235" w:lineRule="auto"/>
        <w:rPr>
          <w:sz w:val="20"/>
          <w:szCs w:val="20"/>
          <w:color w:val="auto"/>
        </w:rPr>
      </w:pPr>
      <w:r>
        <w:rPr>
          <w:rFonts w:ascii="Arial" w:cs="Arial" w:eastAsia="Arial" w:hAnsi="Arial"/>
          <w:sz w:val="18"/>
          <w:szCs w:val="18"/>
          <w:color w:val="auto"/>
        </w:rPr>
        <w:t>the relevant director) and, by ordinary</w:t>
      </w:r>
    </w:p>
    <w:p>
      <w:pPr>
        <w:ind w:left="4000"/>
        <w:spacing w:after="0" w:line="235" w:lineRule="auto"/>
        <w:rPr>
          <w:sz w:val="20"/>
          <w:szCs w:val="20"/>
          <w:color w:val="auto"/>
        </w:rPr>
      </w:pPr>
      <w:r>
        <w:rPr>
          <w:rFonts w:ascii="Arial" w:cs="Arial" w:eastAsia="Arial" w:hAnsi="Arial"/>
          <w:sz w:val="18"/>
          <w:szCs w:val="18"/>
          <w:color w:val="auto"/>
        </w:rPr>
        <w:t>resolution, appoint another person to act as</w:t>
      </w:r>
    </w:p>
    <w:p>
      <w:pPr>
        <w:ind w:left="4000"/>
        <w:spacing w:after="0"/>
        <w:rPr>
          <w:sz w:val="20"/>
          <w:szCs w:val="20"/>
          <w:color w:val="auto"/>
        </w:rPr>
      </w:pPr>
      <w:r>
        <w:rPr>
          <w:rFonts w:ascii="Arial" w:cs="Arial" w:eastAsia="Arial" w:hAnsi="Arial"/>
          <w:sz w:val="18"/>
          <w:szCs w:val="18"/>
          <w:color w:val="auto"/>
        </w:rPr>
        <w:t>director in his or her place.</w:t>
      </w:r>
    </w:p>
    <w:p>
      <w:pPr>
        <w:sectPr>
          <w:pgSz w:w="11900" w:h="16838" w:orient="portrait"/>
          <w:cols w:equalWidth="0" w:num="1">
            <w:col w:w="11120"/>
          </w:cols>
          <w:pgMar w:left="320" w:top="459" w:right="459" w:bottom="1440" w:gutter="0" w:footer="0" w:header="0"/>
        </w:sectPr>
      </w:pPr>
    </w:p>
    <w:p>
      <w:pPr>
        <w:spacing w:after="0" w:line="99"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Vacancies on the Board of Directors</w:t>
      </w:r>
      <w:r>
        <w:rPr>
          <w:sz w:val="20"/>
          <w:szCs w:val="20"/>
          <w:color w:val="auto"/>
        </w:rPr>
        <w:tab/>
      </w:r>
      <w:r>
        <w:rPr>
          <w:rFonts w:ascii="Arial" w:cs="Arial" w:eastAsia="Arial" w:hAnsi="Arial"/>
          <w:sz w:val="17"/>
          <w:szCs w:val="17"/>
          <w:color w:val="auto"/>
        </w:rPr>
        <w:t>Under our Articles, we may by ordinary</w:t>
      </w:r>
    </w:p>
    <w:p>
      <w:pPr>
        <w:ind w:left="4000"/>
        <w:spacing w:after="0" w:line="234" w:lineRule="auto"/>
        <w:rPr>
          <w:sz w:val="20"/>
          <w:szCs w:val="20"/>
          <w:color w:val="auto"/>
        </w:rPr>
      </w:pPr>
      <w:r>
        <w:rPr>
          <w:rFonts w:ascii="Arial" w:cs="Arial" w:eastAsia="Arial" w:hAnsi="Arial"/>
          <w:sz w:val="18"/>
          <w:szCs w:val="18"/>
          <w:color w:val="auto"/>
        </w:rPr>
        <w:t>resolution appoint a person who is willing to</w:t>
      </w:r>
    </w:p>
    <w:p>
      <w:pPr>
        <w:ind w:left="4000"/>
        <w:spacing w:after="0" w:line="235" w:lineRule="auto"/>
        <w:rPr>
          <w:sz w:val="20"/>
          <w:szCs w:val="20"/>
          <w:color w:val="auto"/>
        </w:rPr>
      </w:pPr>
      <w:r>
        <w:rPr>
          <w:rFonts w:ascii="Arial" w:cs="Arial" w:eastAsia="Arial" w:hAnsi="Arial"/>
          <w:sz w:val="18"/>
          <w:szCs w:val="18"/>
          <w:color w:val="auto"/>
        </w:rPr>
        <w:t>act to be a director, either to fill a vacancy or</w:t>
      </w:r>
    </w:p>
    <w:p>
      <w:pPr>
        <w:ind w:left="4000"/>
        <w:spacing w:after="0" w:line="235" w:lineRule="auto"/>
        <w:rPr>
          <w:sz w:val="20"/>
          <w:szCs w:val="20"/>
          <w:color w:val="auto"/>
        </w:rPr>
      </w:pPr>
      <w:r>
        <w:rPr>
          <w:rFonts w:ascii="Arial" w:cs="Arial" w:eastAsia="Arial" w:hAnsi="Arial"/>
          <w:sz w:val="18"/>
          <w:szCs w:val="18"/>
          <w:color w:val="auto"/>
        </w:rPr>
        <w:t>as an additional director and our board of</w:t>
      </w:r>
    </w:p>
    <w:p>
      <w:pPr>
        <w:ind w:left="4000"/>
        <w:spacing w:after="0" w:line="235" w:lineRule="auto"/>
        <w:rPr>
          <w:sz w:val="20"/>
          <w:szCs w:val="20"/>
          <w:color w:val="auto"/>
        </w:rPr>
      </w:pPr>
      <w:r>
        <w:rPr>
          <w:rFonts w:ascii="Arial" w:cs="Arial" w:eastAsia="Arial" w:hAnsi="Arial"/>
          <w:sz w:val="18"/>
          <w:szCs w:val="18"/>
          <w:color w:val="auto"/>
        </w:rPr>
        <w:t>directors may appoint a person who is willing</w:t>
      </w:r>
    </w:p>
    <w:p>
      <w:pPr>
        <w:ind w:left="4000"/>
        <w:spacing w:after="0" w:line="235" w:lineRule="auto"/>
        <w:rPr>
          <w:sz w:val="20"/>
          <w:szCs w:val="20"/>
          <w:color w:val="auto"/>
        </w:rPr>
      </w:pPr>
      <w:r>
        <w:rPr>
          <w:rFonts w:ascii="Arial" w:cs="Arial" w:eastAsia="Arial" w:hAnsi="Arial"/>
          <w:sz w:val="18"/>
          <w:szCs w:val="18"/>
          <w:color w:val="auto"/>
        </w:rPr>
        <w:t>to act to be a director, either to fill a vacancy</w:t>
      </w:r>
    </w:p>
    <w:p>
      <w:pPr>
        <w:ind w:left="4000"/>
        <w:spacing w:after="0" w:line="234" w:lineRule="auto"/>
        <w:rPr>
          <w:sz w:val="20"/>
          <w:szCs w:val="20"/>
          <w:color w:val="auto"/>
        </w:rPr>
      </w:pPr>
      <w:r>
        <w:rPr>
          <w:rFonts w:ascii="Arial" w:cs="Arial" w:eastAsia="Arial" w:hAnsi="Arial"/>
          <w:sz w:val="18"/>
          <w:szCs w:val="18"/>
          <w:color w:val="auto"/>
        </w:rPr>
        <w:t>or as an additional director, provided in each</w:t>
      </w:r>
    </w:p>
    <w:p>
      <w:pPr>
        <w:ind w:left="4000"/>
        <w:spacing w:after="0" w:line="235" w:lineRule="auto"/>
        <w:rPr>
          <w:sz w:val="20"/>
          <w:szCs w:val="20"/>
          <w:color w:val="auto"/>
        </w:rPr>
      </w:pPr>
      <w:r>
        <w:rPr>
          <w:rFonts w:ascii="Arial" w:cs="Arial" w:eastAsia="Arial" w:hAnsi="Arial"/>
          <w:sz w:val="18"/>
          <w:szCs w:val="18"/>
          <w:color w:val="auto"/>
        </w:rPr>
        <w:t>case that the appointment does not cause</w:t>
      </w:r>
    </w:p>
    <w:p>
      <w:pPr>
        <w:ind w:left="4000"/>
        <w:spacing w:after="0" w:line="235" w:lineRule="auto"/>
        <w:rPr>
          <w:sz w:val="20"/>
          <w:szCs w:val="20"/>
          <w:color w:val="auto"/>
        </w:rPr>
      </w:pPr>
      <w:r>
        <w:rPr>
          <w:rFonts w:ascii="Arial" w:cs="Arial" w:eastAsia="Arial" w:hAnsi="Arial"/>
          <w:sz w:val="18"/>
          <w:szCs w:val="18"/>
          <w:color w:val="auto"/>
        </w:rPr>
        <w:t>the number of directors to exceed the</w:t>
      </w:r>
    </w:p>
    <w:p>
      <w:pPr>
        <w:ind w:left="4000"/>
        <w:spacing w:after="0" w:line="235" w:lineRule="auto"/>
        <w:rPr>
          <w:sz w:val="20"/>
          <w:szCs w:val="20"/>
          <w:color w:val="auto"/>
        </w:rPr>
      </w:pPr>
      <w:r>
        <w:rPr>
          <w:rFonts w:ascii="Arial" w:cs="Arial" w:eastAsia="Arial" w:hAnsi="Arial"/>
          <w:sz w:val="18"/>
          <w:szCs w:val="18"/>
          <w:color w:val="auto"/>
        </w:rPr>
        <w:t>number fixed by or in accordance with our</w:t>
      </w:r>
    </w:p>
    <w:p>
      <w:pPr>
        <w:ind w:left="4000"/>
        <w:spacing w:after="0"/>
        <w:rPr>
          <w:sz w:val="20"/>
          <w:szCs w:val="20"/>
          <w:color w:val="auto"/>
        </w:rPr>
      </w:pPr>
      <w:r>
        <w:rPr>
          <w:rFonts w:ascii="Arial" w:cs="Arial" w:eastAsia="Arial" w:hAnsi="Arial"/>
          <w:sz w:val="18"/>
          <w:szCs w:val="18"/>
          <w:color w:val="auto"/>
        </w:rPr>
        <w:t>Articles as the maximum number of directors.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Annual General Meeting</w:t>
      </w:r>
      <w:r>
        <w:rPr>
          <w:sz w:val="20"/>
          <w:szCs w:val="20"/>
          <w:color w:val="auto"/>
        </w:rPr>
        <w:tab/>
      </w:r>
      <w:r>
        <w:rPr>
          <w:rFonts w:ascii="Arial" w:cs="Arial" w:eastAsia="Arial" w:hAnsi="Arial"/>
          <w:sz w:val="17"/>
          <w:szCs w:val="17"/>
          <w:color w:val="auto"/>
        </w:rPr>
        <w:t>Under the U.K. Companies Act 2006, a public</w:t>
      </w:r>
    </w:p>
    <w:p>
      <w:pPr>
        <w:ind w:left="4000"/>
        <w:spacing w:after="0"/>
        <w:rPr>
          <w:sz w:val="20"/>
          <w:szCs w:val="20"/>
          <w:color w:val="auto"/>
        </w:rPr>
      </w:pPr>
      <w:r>
        <w:rPr>
          <w:rFonts w:ascii="Arial" w:cs="Arial" w:eastAsia="Arial" w:hAnsi="Arial"/>
          <w:sz w:val="17"/>
          <w:szCs w:val="17"/>
          <w:color w:val="auto"/>
        </w:rPr>
        <w:t>limited company must hold an annual general</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meeting in each six-month period following</w:t>
      </w:r>
    </w:p>
    <w:p>
      <w:pPr>
        <w:ind w:left="4000"/>
        <w:spacing w:after="0" w:line="234" w:lineRule="auto"/>
        <w:rPr>
          <w:sz w:val="20"/>
          <w:szCs w:val="20"/>
          <w:color w:val="auto"/>
        </w:rPr>
      </w:pPr>
      <w:r>
        <w:rPr>
          <w:rFonts w:ascii="Arial" w:cs="Arial" w:eastAsia="Arial" w:hAnsi="Arial"/>
          <w:sz w:val="18"/>
          <w:szCs w:val="18"/>
          <w:color w:val="auto"/>
        </w:rPr>
        <w:t>the company’s annual accounting reference</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304"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General Meeting</w:t>
      </w:r>
      <w:r>
        <w:rPr>
          <w:sz w:val="20"/>
          <w:szCs w:val="20"/>
          <w:color w:val="auto"/>
        </w:rPr>
        <w:tab/>
      </w:r>
      <w:r>
        <w:rPr>
          <w:rFonts w:ascii="Arial" w:cs="Arial" w:eastAsia="Arial" w:hAnsi="Arial"/>
          <w:sz w:val="17"/>
          <w:szCs w:val="17"/>
          <w:color w:val="auto"/>
        </w:rPr>
        <w:t>Under the U.K. Companies Act 2006, a</w:t>
      </w:r>
    </w:p>
    <w:p>
      <w:pPr>
        <w:ind w:left="4000"/>
        <w:spacing w:after="0" w:line="234" w:lineRule="auto"/>
        <w:rPr>
          <w:sz w:val="20"/>
          <w:szCs w:val="20"/>
          <w:color w:val="auto"/>
        </w:rPr>
      </w:pPr>
      <w:r>
        <w:rPr>
          <w:rFonts w:ascii="Arial" w:cs="Arial" w:eastAsia="Arial" w:hAnsi="Arial"/>
          <w:sz w:val="18"/>
          <w:szCs w:val="18"/>
          <w:color w:val="auto"/>
        </w:rPr>
        <w:t>general meeting of the shareholders of a</w:t>
      </w:r>
    </w:p>
    <w:p>
      <w:pPr>
        <w:ind w:left="4000"/>
        <w:spacing w:after="0" w:line="235" w:lineRule="auto"/>
        <w:rPr>
          <w:sz w:val="20"/>
          <w:szCs w:val="20"/>
          <w:color w:val="auto"/>
        </w:rPr>
      </w:pPr>
      <w:r>
        <w:rPr>
          <w:rFonts w:ascii="Arial" w:cs="Arial" w:eastAsia="Arial" w:hAnsi="Arial"/>
          <w:sz w:val="18"/>
          <w:szCs w:val="18"/>
          <w:color w:val="auto"/>
        </w:rPr>
        <w:t>public limited company may be called by the</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directors.</w:t>
      </w:r>
    </w:p>
    <w:p>
      <w:pPr>
        <w:spacing w:after="0" w:line="200" w:lineRule="exact"/>
        <w:rPr>
          <w:sz w:val="20"/>
          <w:szCs w:val="20"/>
          <w:color w:val="auto"/>
        </w:rPr>
      </w:pPr>
    </w:p>
    <w:p>
      <w:pPr>
        <w:spacing w:after="0" w:line="34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10" w:right="20"/>
        <w:spacing w:after="0" w:line="234" w:lineRule="auto"/>
        <w:rPr>
          <w:sz w:val="20"/>
          <w:szCs w:val="20"/>
          <w:color w:val="auto"/>
        </w:rPr>
      </w:pPr>
      <w:r>
        <w:rPr>
          <w:rFonts w:ascii="Arial" w:cs="Arial" w:eastAsia="Arial" w:hAnsi="Arial"/>
          <w:sz w:val="18"/>
          <w:szCs w:val="18"/>
          <w:color w:val="auto"/>
        </w:rPr>
        <w:t>Under Delaware law, vacancies and newly created directorships may be filled by a majority of the directors then in office (even though less than a quorum) or by a sole remaining director unless</w:t>
      </w:r>
    </w:p>
    <w:p>
      <w:pPr>
        <w:spacing w:after="0" w:line="3" w:lineRule="exact"/>
        <w:rPr>
          <w:sz w:val="20"/>
          <w:szCs w:val="20"/>
          <w:color w:val="auto"/>
        </w:rPr>
      </w:pPr>
    </w:p>
    <w:p>
      <w:pPr>
        <w:ind w:left="10" w:right="20" w:hanging="10"/>
        <w:spacing w:after="0" w:line="236"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99" w:lineRule="exact"/>
        <w:rPr>
          <w:sz w:val="20"/>
          <w:szCs w:val="20"/>
          <w:color w:val="auto"/>
        </w:rPr>
      </w:pPr>
    </w:p>
    <w:p>
      <w:pPr>
        <w:ind w:left="10"/>
        <w:spacing w:after="0" w:line="237"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95" w:lineRule="exact"/>
        <w:rPr>
          <w:sz w:val="20"/>
          <w:szCs w:val="20"/>
          <w:color w:val="auto"/>
        </w:rPr>
      </w:pPr>
    </w:p>
    <w:p>
      <w:pPr>
        <w:ind w:left="10" w:right="140"/>
        <w:spacing w:after="0" w:line="237"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ectPr>
          <w:pgSz w:w="11900" w:h="16838" w:orient="portrait"/>
          <w:cols w:equalWidth="0" w:num="2">
            <w:col w:w="7620" w:space="110"/>
            <w:col w:w="3390"/>
          </w:cols>
          <w:pgMar w:left="320" w:top="459" w:right="459" w:bottom="1440" w:gutter="0" w:footer="0" w:header="0"/>
          <w:type w:val="continuous"/>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80"/>
          </w:cols>
          <w:pgMar w:left="320" w:top="459" w:right="49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w w:val="99"/>
              </w:rPr>
              <w:t>Subject to the notice requirements of the U.K.</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Companies Act 2006 outlined below and</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subject to our Articles, a general meeting of</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our shareholders may be called by our board</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of directors whenever and at such times and</w:t>
            </w:r>
          </w:p>
        </w:tc>
      </w:tr>
      <w:tr>
        <w:trPr>
          <w:trHeight w:val="217"/>
        </w:trPr>
        <w:tc>
          <w:tcPr>
            <w:tcW w:w="3020" w:type="dxa"/>
            <w:vAlign w:val="bottom"/>
          </w:tcPr>
          <w:p>
            <w:pPr>
              <w:spacing w:after="0"/>
              <w:rPr>
                <w:sz w:val="18"/>
                <w:szCs w:val="18"/>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places as it shall determine.</w:t>
            </w:r>
          </w:p>
        </w:tc>
      </w:tr>
      <w:tr>
        <w:trPr>
          <w:trHeight w:val="296"/>
        </w:trPr>
        <w:tc>
          <w:tcPr>
            <w:tcW w:w="3020" w:type="dxa"/>
            <w:vAlign w:val="bottom"/>
          </w:tcPr>
          <w:p>
            <w:pPr>
              <w:spacing w:after="0"/>
              <w:rPr>
                <w:sz w:val="24"/>
                <w:szCs w:val="24"/>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A general meeting may also be convened by</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our board of directors on the requisition of not</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less than two of our shareholders who hold at</w:t>
            </w:r>
          </w:p>
        </w:tc>
      </w:tr>
      <w:tr>
        <w:trPr>
          <w:trHeight w:val="217"/>
        </w:trPr>
        <w:tc>
          <w:tcPr>
            <w:tcW w:w="3020" w:type="dxa"/>
            <w:vAlign w:val="bottom"/>
          </w:tcPr>
          <w:p>
            <w:pPr>
              <w:spacing w:after="0"/>
              <w:rPr>
                <w:sz w:val="18"/>
                <w:szCs w:val="18"/>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least 5% of our voting share capital.</w:t>
            </w:r>
          </w:p>
        </w:tc>
      </w:tr>
      <w:tr>
        <w:trPr>
          <w:trHeight w:val="296"/>
        </w:trPr>
        <w:tc>
          <w:tcPr>
            <w:tcW w:w="3020" w:type="dxa"/>
            <w:vAlign w:val="bottom"/>
          </w:tcPr>
          <w:p>
            <w:pPr>
              <w:spacing w:after="0"/>
              <w:rPr>
                <w:sz w:val="24"/>
                <w:szCs w:val="24"/>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General meetings at which special</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resolutions are proposed and passed</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generally involve proposals to change the</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name of the company, permit the company to</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issue new shares for cash without the</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shareholders’ pre-emptive right, amend the</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company’s articles of association, or carry</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out other matters where either the company’s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articles of association or the U.K. Companies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Act 2006 prescribe that a special resolution is</w:t>
            </w:r>
          </w:p>
        </w:tc>
      </w:tr>
      <w:tr>
        <w:trPr>
          <w:trHeight w:val="217"/>
        </w:trPr>
        <w:tc>
          <w:tcPr>
            <w:tcW w:w="3020" w:type="dxa"/>
            <w:vAlign w:val="bottom"/>
          </w:tcPr>
          <w:p>
            <w:pPr>
              <w:spacing w:after="0"/>
              <w:rPr>
                <w:sz w:val="18"/>
                <w:szCs w:val="18"/>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required.</w:t>
            </w:r>
          </w:p>
        </w:tc>
      </w:tr>
      <w:tr>
        <w:trPr>
          <w:trHeight w:val="296"/>
        </w:trPr>
        <w:tc>
          <w:tcPr>
            <w:tcW w:w="3020" w:type="dxa"/>
            <w:vAlign w:val="bottom"/>
          </w:tcPr>
          <w:p>
            <w:pPr>
              <w:spacing w:after="0"/>
              <w:rPr>
                <w:sz w:val="24"/>
                <w:szCs w:val="24"/>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Other proposals relating to the ordinary</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course of the company’s business, such as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the election of directors, would generally be</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the subject of an ordinary resolution and</w:t>
            </w:r>
          </w:p>
        </w:tc>
      </w:tr>
      <w:tr>
        <w:trPr>
          <w:trHeight w:val="217"/>
        </w:trPr>
        <w:tc>
          <w:tcPr>
            <w:tcW w:w="3020" w:type="dxa"/>
            <w:vAlign w:val="bottom"/>
          </w:tcPr>
          <w:p>
            <w:pPr>
              <w:spacing w:after="0"/>
              <w:rPr>
                <w:sz w:val="18"/>
                <w:szCs w:val="18"/>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subject to our Articles.</w:t>
            </w:r>
          </w:p>
        </w:tc>
      </w:tr>
      <w:tr>
        <w:trPr>
          <w:trHeight w:val="296"/>
        </w:trPr>
        <w:tc>
          <w:tcPr>
            <w:tcW w:w="3020" w:type="dxa"/>
            <w:vAlign w:val="bottom"/>
          </w:tcPr>
          <w:p>
            <w:pPr>
              <w:spacing w:after="0"/>
              <w:rPr>
                <w:sz w:val="20"/>
                <w:szCs w:val="20"/>
                <w:color w:val="auto"/>
              </w:rPr>
            </w:pPr>
            <w:r>
              <w:rPr>
                <w:rFonts w:ascii="Arial" w:cs="Arial" w:eastAsia="Arial" w:hAnsi="Arial"/>
                <w:sz w:val="18"/>
                <w:szCs w:val="18"/>
                <w:color w:val="auto"/>
              </w:rPr>
              <w:t>Notice of General Meetings</w:t>
            </w: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Under the U.K. Companies Act 2006, at least</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21 clear days’ notice must be given for an</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annual general meeting and any resolutions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to be proposed at that meeting. At least 14</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clear days’ notice is required for any other</w:t>
            </w:r>
          </w:p>
        </w:tc>
      </w:tr>
      <w:tr>
        <w:trPr>
          <w:trHeight w:val="217"/>
        </w:trPr>
        <w:tc>
          <w:tcPr>
            <w:tcW w:w="3020" w:type="dxa"/>
            <w:vAlign w:val="bottom"/>
          </w:tcPr>
          <w:p>
            <w:pPr>
              <w:spacing w:after="0"/>
              <w:rPr>
                <w:sz w:val="18"/>
                <w:szCs w:val="18"/>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general meeting.</w:t>
            </w:r>
          </w:p>
        </w:tc>
      </w:tr>
      <w:tr>
        <w:trPr>
          <w:trHeight w:val="959"/>
        </w:trPr>
        <w:tc>
          <w:tcPr>
            <w:tcW w:w="3020" w:type="dxa"/>
            <w:vAlign w:val="bottom"/>
          </w:tcPr>
          <w:p>
            <w:pPr>
              <w:spacing w:after="0"/>
              <w:rPr>
                <w:sz w:val="24"/>
                <w:szCs w:val="24"/>
                <w:color w:val="auto"/>
              </w:rPr>
            </w:pPr>
          </w:p>
        </w:tc>
        <w:tc>
          <w:tcPr>
            <w:tcW w:w="4480" w:type="dxa"/>
            <w:vAlign w:val="bottom"/>
            <w:gridSpan w:val="2"/>
          </w:tcPr>
          <w:p>
            <w:pPr>
              <w:ind w:left="2380"/>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21602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ectPr>
          <w:pgSz w:w="11900" w:h="16838" w:orient="portrait"/>
          <w:cols w:equalWidth="0" w:num="2">
            <w:col w:w="7620" w:space="120"/>
            <w:col w:w="3340"/>
          </w:cols>
          <w:pgMar w:left="320" w:top="459" w:right="49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400"/>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17780</wp:posOffset>
            </wp:positionV>
            <wp:extent cx="45345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addition, certain matters, such as the</w:t>
      </w:r>
    </w:p>
    <w:p>
      <w:pPr>
        <w:ind w:left="4000"/>
        <w:spacing w:after="0" w:line="234" w:lineRule="auto"/>
        <w:rPr>
          <w:sz w:val="20"/>
          <w:szCs w:val="20"/>
          <w:color w:val="auto"/>
        </w:rPr>
      </w:pPr>
      <w:r>
        <w:rPr>
          <w:rFonts w:ascii="Arial" w:cs="Arial" w:eastAsia="Arial" w:hAnsi="Arial"/>
          <w:sz w:val="18"/>
          <w:szCs w:val="18"/>
          <w:color w:val="auto"/>
        </w:rPr>
        <w:t>removal of directors or auditors, require</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special notice, which is 28 clear days’ notice.</w:t>
      </w:r>
    </w:p>
    <w:p>
      <w:pPr>
        <w:sectPr>
          <w:pgSz w:w="11900" w:h="16838" w:orient="portrait"/>
          <w:cols w:equalWidth="0" w:num="1">
            <w:col w:w="11140"/>
          </w:cols>
          <w:pgMar w:left="320" w:top="459" w:right="439" w:bottom="1440" w:gutter="0" w:footer="0" w:header="0"/>
        </w:sectPr>
      </w:pPr>
    </w:p>
    <w:p>
      <w:pPr>
        <w:spacing w:after="0" w:line="99"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Quorum</w:t>
      </w:r>
      <w:r>
        <w:rPr>
          <w:sz w:val="20"/>
          <w:szCs w:val="20"/>
          <w:color w:val="auto"/>
        </w:rPr>
        <w:tab/>
      </w:r>
      <w:r>
        <w:rPr>
          <w:rFonts w:ascii="Arial" w:cs="Arial" w:eastAsia="Arial" w:hAnsi="Arial"/>
          <w:sz w:val="18"/>
          <w:szCs w:val="18"/>
          <w:color w:val="auto"/>
        </w:rPr>
        <w:t>Our Articles provide that no business shall be</w:t>
      </w:r>
    </w:p>
    <w:p>
      <w:pPr>
        <w:ind w:left="4000"/>
        <w:spacing w:after="0" w:line="234" w:lineRule="auto"/>
        <w:rPr>
          <w:sz w:val="20"/>
          <w:szCs w:val="20"/>
          <w:color w:val="auto"/>
        </w:rPr>
      </w:pPr>
      <w:r>
        <w:rPr>
          <w:rFonts w:ascii="Arial" w:cs="Arial" w:eastAsia="Arial" w:hAnsi="Arial"/>
          <w:sz w:val="18"/>
          <w:szCs w:val="18"/>
          <w:color w:val="auto"/>
        </w:rPr>
        <w:t>transacted at any general meeting unless a</w:t>
      </w:r>
    </w:p>
    <w:p>
      <w:pPr>
        <w:ind w:left="4000"/>
        <w:spacing w:after="0" w:line="235" w:lineRule="auto"/>
        <w:rPr>
          <w:sz w:val="20"/>
          <w:szCs w:val="20"/>
          <w:color w:val="auto"/>
        </w:rPr>
      </w:pPr>
      <w:r>
        <w:rPr>
          <w:rFonts w:ascii="Arial" w:cs="Arial" w:eastAsia="Arial" w:hAnsi="Arial"/>
          <w:sz w:val="18"/>
          <w:szCs w:val="18"/>
          <w:color w:val="auto"/>
        </w:rPr>
        <w:t>quorum is present. Two qualifying persons</w:t>
      </w:r>
    </w:p>
    <w:p>
      <w:pPr>
        <w:ind w:left="4000"/>
        <w:spacing w:after="0" w:line="235" w:lineRule="auto"/>
        <w:rPr>
          <w:sz w:val="20"/>
          <w:szCs w:val="20"/>
          <w:color w:val="auto"/>
        </w:rPr>
      </w:pPr>
      <w:r>
        <w:rPr>
          <w:rFonts w:ascii="Arial" w:cs="Arial" w:eastAsia="Arial" w:hAnsi="Arial"/>
          <w:sz w:val="18"/>
          <w:szCs w:val="18"/>
          <w:color w:val="auto"/>
        </w:rPr>
        <w:t>present at a meeting and entitled to vote on</w:t>
      </w:r>
    </w:p>
    <w:p>
      <w:pPr>
        <w:ind w:left="4000"/>
        <w:spacing w:after="0" w:line="235" w:lineRule="auto"/>
        <w:rPr>
          <w:sz w:val="20"/>
          <w:szCs w:val="20"/>
          <w:color w:val="auto"/>
        </w:rPr>
      </w:pPr>
      <w:r>
        <w:rPr>
          <w:rFonts w:ascii="Arial" w:cs="Arial" w:eastAsia="Arial" w:hAnsi="Arial"/>
          <w:sz w:val="18"/>
          <w:szCs w:val="18"/>
          <w:color w:val="auto"/>
        </w:rPr>
        <w:t>the business to be transacted shall be a</w:t>
      </w:r>
    </w:p>
    <w:p>
      <w:pPr>
        <w:ind w:left="4000"/>
        <w:spacing w:after="0" w:line="235" w:lineRule="auto"/>
        <w:rPr>
          <w:sz w:val="20"/>
          <w:szCs w:val="20"/>
          <w:color w:val="auto"/>
        </w:rPr>
      </w:pPr>
      <w:r>
        <w:rPr>
          <w:rFonts w:ascii="Arial" w:cs="Arial" w:eastAsia="Arial" w:hAnsi="Arial"/>
          <w:sz w:val="18"/>
          <w:szCs w:val="18"/>
          <w:color w:val="auto"/>
        </w:rPr>
        <w:t>quorum, unless (1) each is a qualifying</w:t>
      </w:r>
    </w:p>
    <w:p>
      <w:pPr>
        <w:ind w:left="4000"/>
        <w:spacing w:after="0" w:line="234" w:lineRule="auto"/>
        <w:rPr>
          <w:sz w:val="20"/>
          <w:szCs w:val="20"/>
          <w:color w:val="auto"/>
        </w:rPr>
      </w:pPr>
      <w:r>
        <w:rPr>
          <w:rFonts w:ascii="Arial" w:cs="Arial" w:eastAsia="Arial" w:hAnsi="Arial"/>
          <w:sz w:val="18"/>
          <w:szCs w:val="18"/>
          <w:color w:val="auto"/>
        </w:rPr>
        <w:t>person only because he or she is authorized</w:t>
      </w:r>
    </w:p>
    <w:p>
      <w:pPr>
        <w:ind w:left="4000"/>
        <w:spacing w:after="0" w:line="235" w:lineRule="auto"/>
        <w:rPr>
          <w:sz w:val="20"/>
          <w:szCs w:val="20"/>
          <w:color w:val="auto"/>
        </w:rPr>
      </w:pPr>
      <w:r>
        <w:rPr>
          <w:rFonts w:ascii="Arial" w:cs="Arial" w:eastAsia="Arial" w:hAnsi="Arial"/>
          <w:sz w:val="18"/>
          <w:szCs w:val="18"/>
          <w:color w:val="auto"/>
        </w:rPr>
        <w:t>under the U.K. Companies Act 2006 to act as</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a representative of a corporation in relation to</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meeting, and they are representatives of</w:t>
      </w:r>
    </w:p>
    <w:p>
      <w:pPr>
        <w:ind w:left="4000"/>
        <w:spacing w:after="0" w:line="234" w:lineRule="auto"/>
        <w:rPr>
          <w:sz w:val="20"/>
          <w:szCs w:val="20"/>
          <w:color w:val="auto"/>
        </w:rPr>
      </w:pPr>
      <w:r>
        <w:rPr>
          <w:rFonts w:ascii="Arial" w:cs="Arial" w:eastAsia="Arial" w:hAnsi="Arial"/>
          <w:sz w:val="18"/>
          <w:szCs w:val="18"/>
          <w:color w:val="auto"/>
        </w:rPr>
        <w:t>the same corporation, or (2) each is a</w:t>
      </w:r>
    </w:p>
    <w:p>
      <w:pPr>
        <w:ind w:left="4000"/>
        <w:spacing w:after="0" w:line="235" w:lineRule="auto"/>
        <w:rPr>
          <w:sz w:val="20"/>
          <w:szCs w:val="20"/>
          <w:color w:val="auto"/>
        </w:rPr>
      </w:pPr>
      <w:r>
        <w:rPr>
          <w:rFonts w:ascii="Arial" w:cs="Arial" w:eastAsia="Arial" w:hAnsi="Arial"/>
          <w:sz w:val="18"/>
          <w:szCs w:val="18"/>
          <w:color w:val="auto"/>
        </w:rPr>
        <w:t>qualifying person only because he or she is</w:t>
      </w:r>
    </w:p>
    <w:p>
      <w:pPr>
        <w:ind w:left="4000"/>
        <w:spacing w:after="0" w:line="235" w:lineRule="auto"/>
        <w:rPr>
          <w:sz w:val="20"/>
          <w:szCs w:val="20"/>
          <w:color w:val="auto"/>
        </w:rPr>
      </w:pPr>
      <w:r>
        <w:rPr>
          <w:rFonts w:ascii="Arial" w:cs="Arial" w:eastAsia="Arial" w:hAnsi="Arial"/>
          <w:sz w:val="18"/>
          <w:szCs w:val="18"/>
          <w:color w:val="auto"/>
        </w:rPr>
        <w:t>appointed as proxy of a shareholder in</w:t>
      </w:r>
    </w:p>
    <w:p>
      <w:pPr>
        <w:ind w:left="4000"/>
        <w:spacing w:after="0" w:line="235" w:lineRule="auto"/>
        <w:rPr>
          <w:sz w:val="20"/>
          <w:szCs w:val="20"/>
          <w:color w:val="auto"/>
        </w:rPr>
      </w:pPr>
      <w:r>
        <w:rPr>
          <w:rFonts w:ascii="Arial" w:cs="Arial" w:eastAsia="Arial" w:hAnsi="Arial"/>
          <w:sz w:val="18"/>
          <w:szCs w:val="18"/>
          <w:color w:val="auto"/>
        </w:rPr>
        <w:t>relation to the meeting, and they are proxies</w:t>
      </w:r>
    </w:p>
    <w:p>
      <w:pPr>
        <w:ind w:left="4000"/>
        <w:spacing w:after="0"/>
        <w:rPr>
          <w:sz w:val="20"/>
          <w:szCs w:val="20"/>
          <w:color w:val="auto"/>
        </w:rPr>
      </w:pPr>
      <w:r>
        <w:rPr>
          <w:rFonts w:ascii="Arial" w:cs="Arial" w:eastAsia="Arial" w:hAnsi="Arial"/>
          <w:sz w:val="18"/>
          <w:szCs w:val="18"/>
          <w:color w:val="auto"/>
        </w:rPr>
        <w:t>of the same shareholder.</w:t>
      </w:r>
    </w:p>
    <w:p>
      <w:pPr>
        <w:spacing w:after="0" w:line="9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 “qualifying person” means (1) a person</w:t>
      </w:r>
    </w:p>
    <w:p>
      <w:pPr>
        <w:ind w:left="4000"/>
        <w:spacing w:after="0" w:line="234" w:lineRule="auto"/>
        <w:rPr>
          <w:sz w:val="20"/>
          <w:szCs w:val="20"/>
          <w:color w:val="auto"/>
        </w:rPr>
      </w:pPr>
      <w:r>
        <w:rPr>
          <w:rFonts w:ascii="Arial" w:cs="Arial" w:eastAsia="Arial" w:hAnsi="Arial"/>
          <w:sz w:val="18"/>
          <w:szCs w:val="18"/>
          <w:color w:val="auto"/>
        </w:rPr>
        <w:t>who is one of our shareholders, (2) a person</w:t>
      </w:r>
    </w:p>
    <w:p>
      <w:pPr>
        <w:ind w:left="4000"/>
        <w:spacing w:after="0" w:line="235" w:lineRule="auto"/>
        <w:rPr>
          <w:sz w:val="20"/>
          <w:szCs w:val="20"/>
          <w:color w:val="auto"/>
        </w:rPr>
      </w:pPr>
      <w:r>
        <w:rPr>
          <w:rFonts w:ascii="Arial" w:cs="Arial" w:eastAsia="Arial" w:hAnsi="Arial"/>
          <w:sz w:val="18"/>
          <w:szCs w:val="18"/>
          <w:color w:val="auto"/>
        </w:rPr>
        <w:t>authorized under the U.K. Companies Act</w:t>
      </w:r>
    </w:p>
    <w:p>
      <w:pPr>
        <w:ind w:left="4000"/>
        <w:spacing w:after="0" w:line="235" w:lineRule="auto"/>
        <w:rPr>
          <w:sz w:val="20"/>
          <w:szCs w:val="20"/>
          <w:color w:val="auto"/>
        </w:rPr>
      </w:pPr>
      <w:r>
        <w:rPr>
          <w:rFonts w:ascii="Arial" w:cs="Arial" w:eastAsia="Arial" w:hAnsi="Arial"/>
          <w:sz w:val="18"/>
          <w:szCs w:val="18"/>
          <w:color w:val="auto"/>
        </w:rPr>
        <w:t>2006 to act as a representative of the</w:t>
      </w:r>
    </w:p>
    <w:p>
      <w:pPr>
        <w:ind w:left="4000"/>
        <w:spacing w:after="0" w:line="235" w:lineRule="auto"/>
        <w:rPr>
          <w:sz w:val="20"/>
          <w:szCs w:val="20"/>
          <w:color w:val="auto"/>
        </w:rPr>
      </w:pPr>
      <w:r>
        <w:rPr>
          <w:rFonts w:ascii="Arial" w:cs="Arial" w:eastAsia="Arial" w:hAnsi="Arial"/>
          <w:sz w:val="18"/>
          <w:szCs w:val="18"/>
          <w:color w:val="auto"/>
        </w:rPr>
        <w:t>corporation in relation to the meeting, or (3) a</w:t>
      </w:r>
    </w:p>
    <w:p>
      <w:pPr>
        <w:ind w:left="4000"/>
        <w:spacing w:after="0" w:line="235" w:lineRule="auto"/>
        <w:rPr>
          <w:sz w:val="20"/>
          <w:szCs w:val="20"/>
          <w:color w:val="auto"/>
        </w:rPr>
      </w:pPr>
      <w:r>
        <w:rPr>
          <w:rFonts w:ascii="Arial" w:cs="Arial" w:eastAsia="Arial" w:hAnsi="Arial"/>
          <w:sz w:val="18"/>
          <w:szCs w:val="18"/>
          <w:color w:val="auto"/>
        </w:rPr>
        <w:t>person appointed as proxy of a shareholder</w:t>
      </w:r>
    </w:p>
    <w:p>
      <w:pPr>
        <w:ind w:left="4000"/>
        <w:spacing w:after="0"/>
        <w:rPr>
          <w:sz w:val="20"/>
          <w:szCs w:val="20"/>
          <w:color w:val="auto"/>
        </w:rPr>
      </w:pPr>
      <w:r>
        <w:rPr>
          <w:rFonts w:ascii="Arial" w:cs="Arial" w:eastAsia="Arial" w:hAnsi="Arial"/>
          <w:sz w:val="18"/>
          <w:szCs w:val="18"/>
          <w:color w:val="auto"/>
        </w:rPr>
        <w:t>in relation to the meeting.</w:t>
      </w:r>
    </w:p>
    <w:p>
      <w:pPr>
        <w:spacing w:after="0" w:line="99"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Proxy</w:t>
      </w:r>
      <w:r>
        <w:rPr>
          <w:sz w:val="20"/>
          <w:szCs w:val="20"/>
          <w:color w:val="auto"/>
        </w:rPr>
        <w:tab/>
      </w:r>
      <w:r>
        <w:rPr>
          <w:rFonts w:ascii="Arial" w:cs="Arial" w:eastAsia="Arial" w:hAnsi="Arial"/>
          <w:sz w:val="18"/>
          <w:szCs w:val="18"/>
          <w:color w:val="auto"/>
        </w:rPr>
        <w:t>Under the U.K. Companies Act 2006, at any</w:t>
      </w:r>
    </w:p>
    <w:p>
      <w:pPr>
        <w:ind w:left="4000"/>
        <w:spacing w:after="0" w:line="234" w:lineRule="auto"/>
        <w:rPr>
          <w:sz w:val="20"/>
          <w:szCs w:val="20"/>
          <w:color w:val="auto"/>
        </w:rPr>
      </w:pPr>
      <w:r>
        <w:rPr>
          <w:rFonts w:ascii="Arial" w:cs="Arial" w:eastAsia="Arial" w:hAnsi="Arial"/>
          <w:sz w:val="18"/>
          <w:szCs w:val="18"/>
          <w:color w:val="auto"/>
        </w:rPr>
        <w:t>meeting of shareholders, a shareholder may</w:t>
      </w:r>
    </w:p>
    <w:p>
      <w:pPr>
        <w:ind w:left="4000"/>
        <w:spacing w:after="0" w:line="235" w:lineRule="auto"/>
        <w:rPr>
          <w:sz w:val="20"/>
          <w:szCs w:val="20"/>
          <w:color w:val="auto"/>
        </w:rPr>
      </w:pPr>
      <w:r>
        <w:rPr>
          <w:rFonts w:ascii="Arial" w:cs="Arial" w:eastAsia="Arial" w:hAnsi="Arial"/>
          <w:sz w:val="18"/>
          <w:szCs w:val="18"/>
          <w:color w:val="auto"/>
        </w:rPr>
        <w:t>designate another person to attend, speak</w:t>
      </w:r>
    </w:p>
    <w:p>
      <w:pPr>
        <w:ind w:left="4000"/>
        <w:spacing w:after="0" w:line="235" w:lineRule="auto"/>
        <w:rPr>
          <w:sz w:val="20"/>
          <w:szCs w:val="20"/>
          <w:color w:val="auto"/>
        </w:rPr>
      </w:pPr>
      <w:r>
        <w:rPr>
          <w:rFonts w:ascii="Arial" w:cs="Arial" w:eastAsia="Arial" w:hAnsi="Arial"/>
          <w:sz w:val="18"/>
          <w:szCs w:val="18"/>
          <w:color w:val="auto"/>
        </w:rPr>
        <w:t>and vote at the meeting on their behalf by</w:t>
      </w:r>
    </w:p>
    <w:p>
      <w:pPr>
        <w:ind w:left="4000"/>
        <w:spacing w:after="0"/>
        <w:rPr>
          <w:sz w:val="20"/>
          <w:szCs w:val="20"/>
          <w:color w:val="auto"/>
        </w:rPr>
      </w:pPr>
      <w:r>
        <w:rPr>
          <w:rFonts w:ascii="Arial" w:cs="Arial" w:eastAsia="Arial" w:hAnsi="Arial"/>
          <w:sz w:val="18"/>
          <w:szCs w:val="18"/>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ectPr>
          <w:pgSz w:w="11900" w:h="16838" w:orient="portrait"/>
          <w:cols w:equalWidth="0" w:num="2">
            <w:col w:w="7620" w:space="120"/>
            <w:col w:w="3400"/>
          </w:cols>
          <w:pgMar w:left="320" w:top="459" w:right="439" w:bottom="1440" w:gutter="0" w:footer="0" w:header="0"/>
          <w:type w:val="continuous"/>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760" w:type="dxa"/>
            <w:vAlign w:val="bottom"/>
            <w:vMerge w:val="restart"/>
          </w:tcPr>
          <w:p>
            <w:pPr>
              <w:spacing w:after="0"/>
              <w:rPr>
                <w:sz w:val="20"/>
                <w:szCs w:val="20"/>
                <w:color w:val="auto"/>
              </w:rPr>
            </w:pPr>
            <w:r>
              <w:rPr>
                <w:rFonts w:ascii="Arial" w:cs="Arial" w:eastAsia="Arial" w:hAnsi="Arial"/>
                <w:sz w:val="18"/>
                <w:szCs w:val="18"/>
                <w:color w:val="auto"/>
              </w:rPr>
              <w:t>Issue of New Shares</w:t>
            </w:r>
          </w:p>
        </w:tc>
        <w:tc>
          <w:tcPr>
            <w:tcW w:w="112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95"/>
        </w:trPr>
        <w:tc>
          <w:tcPr>
            <w:tcW w:w="27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Under the U.K. Companies Act 2006, the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directors of a company must not exercise any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power to allot shares or grant rights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subscribe for, or to convert any security into,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shares unless they are authorized to do so by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the company’s articles of association or by an</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ordinary resolution of the shareholders. Any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authorization given must state the maximum</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amount of shares that may be allotted under</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it and specify the date on which it will expire,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which must be not more than five years from</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the date the authorization was given. The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authority can be renewed by a further</w:t>
            </w:r>
          </w:p>
        </w:tc>
        <w:tc>
          <w:tcPr>
            <w:tcW w:w="0" w:type="dxa"/>
            <w:vAlign w:val="bottom"/>
          </w:tcPr>
          <w:p>
            <w:pPr>
              <w:spacing w:after="0"/>
              <w:rPr>
                <w:sz w:val="1"/>
                <w:szCs w:val="1"/>
                <w:color w:val="auto"/>
              </w:rPr>
            </w:pPr>
          </w:p>
        </w:tc>
      </w:tr>
      <w:tr>
        <w:trPr>
          <w:trHeight w:val="217"/>
        </w:trPr>
        <w:tc>
          <w:tcPr>
            <w:tcW w:w="2760" w:type="dxa"/>
            <w:vAlign w:val="bottom"/>
          </w:tcPr>
          <w:p>
            <w:pPr>
              <w:spacing w:after="0"/>
              <w:rPr>
                <w:sz w:val="18"/>
                <w:szCs w:val="18"/>
                <w:color w:val="auto"/>
              </w:rPr>
            </w:pP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resolution of the shareholders.</w:t>
            </w:r>
          </w:p>
        </w:tc>
        <w:tc>
          <w:tcPr>
            <w:tcW w:w="0" w:type="dxa"/>
            <w:vAlign w:val="bottom"/>
          </w:tcPr>
          <w:p>
            <w:pPr>
              <w:spacing w:after="0"/>
              <w:rPr>
                <w:sz w:val="1"/>
                <w:szCs w:val="1"/>
                <w:color w:val="auto"/>
              </w:rPr>
            </w:pPr>
          </w:p>
        </w:tc>
      </w:tr>
      <w:tr>
        <w:trPr>
          <w:trHeight w:val="296"/>
        </w:trPr>
        <w:tc>
          <w:tcPr>
            <w:tcW w:w="2760" w:type="dxa"/>
            <w:vAlign w:val="bottom"/>
          </w:tcPr>
          <w:p>
            <w:pPr>
              <w:spacing w:after="0"/>
              <w:rPr>
                <w:sz w:val="20"/>
                <w:szCs w:val="20"/>
                <w:color w:val="auto"/>
              </w:rPr>
            </w:pPr>
            <w:r>
              <w:rPr>
                <w:rFonts w:ascii="Arial" w:cs="Arial" w:eastAsia="Arial" w:hAnsi="Arial"/>
                <w:sz w:val="18"/>
                <w:szCs w:val="18"/>
                <w:color w:val="auto"/>
              </w:rPr>
              <w:t>Pre-emptive Rights</w:t>
            </w: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Under the U.K. Companies Act 2006, “equity</w:t>
            </w: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securities,” being (i) shares in the company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other than shares that, with respect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dividends and capital, carry a right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participate only up to a specified amount in a</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distribution (“ordinary shares”) or (ii) rights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subscribe for, or to convert securities into,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ordinary shares, proposed to be allotted for</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cash, must be offered first to the existing</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equity shareholders in the company in</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proportion to the respective nominal value of</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their holdings, unless an exception applies or</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 special resolution to the contrary has been</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passed by shareholders in a general meeting</w:t>
            </w: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or the articles of association provide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otherwise, in each case in accordance with</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the provisions of the U.K. Companies Act</w:t>
            </w:r>
          </w:p>
        </w:tc>
        <w:tc>
          <w:tcPr>
            <w:tcW w:w="0" w:type="dxa"/>
            <w:vAlign w:val="bottom"/>
          </w:tcPr>
          <w:p>
            <w:pPr>
              <w:spacing w:after="0"/>
              <w:rPr>
                <w:sz w:val="1"/>
                <w:szCs w:val="1"/>
                <w:color w:val="auto"/>
              </w:rPr>
            </w:pPr>
          </w:p>
        </w:tc>
      </w:tr>
      <w:tr>
        <w:trPr>
          <w:trHeight w:val="217"/>
        </w:trPr>
        <w:tc>
          <w:tcPr>
            <w:tcW w:w="2760" w:type="dxa"/>
            <w:vAlign w:val="bottom"/>
          </w:tcPr>
          <w:p>
            <w:pPr>
              <w:spacing w:after="0"/>
              <w:rPr>
                <w:sz w:val="18"/>
                <w:szCs w:val="18"/>
                <w:color w:val="auto"/>
              </w:rPr>
            </w:pP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351"/>
        </w:trPr>
        <w:tc>
          <w:tcPr>
            <w:tcW w:w="2760" w:type="dxa"/>
            <w:vAlign w:val="bottom"/>
          </w:tcPr>
          <w:p>
            <w:pPr>
              <w:spacing w:after="0"/>
              <w:rPr>
                <w:sz w:val="24"/>
                <w:szCs w:val="24"/>
                <w:color w:val="auto"/>
              </w:rPr>
            </w:pPr>
          </w:p>
        </w:tc>
        <w:tc>
          <w:tcPr>
            <w:tcW w:w="4740" w:type="dxa"/>
            <w:vAlign w:val="bottom"/>
            <w:gridSpan w:val="2"/>
          </w:tcPr>
          <w:p>
            <w:pPr>
              <w:ind w:left="26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21602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Delaware law, if the company’s certificate of incorporation so provides, the directors have the power to authorize additional stock. The directors may authorize capital stock to be issued for consideration consisting of cash, any tangible or intangible property or any benefit to the company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7620" w:space="120"/>
            <w:col w:w="3400"/>
          </w:cols>
          <w:pgMar w:left="320" w:top="459" w:right="439" w:bottom="1440" w:gutter="0" w:footer="0" w:header="0"/>
          <w:type w:val="continuous"/>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220" w:type="dxa"/>
            <w:vAlign w:val="bottom"/>
            <w:vMerge w:val="restart"/>
          </w:tcPr>
          <w:p>
            <w:pPr>
              <w:spacing w:after="0"/>
              <w:rPr>
                <w:sz w:val="20"/>
                <w:szCs w:val="20"/>
                <w:color w:val="auto"/>
              </w:rPr>
            </w:pPr>
            <w:r>
              <w:rPr>
                <w:rFonts w:ascii="Arial" w:cs="Arial" w:eastAsia="Arial" w:hAnsi="Arial"/>
                <w:sz w:val="18"/>
                <w:szCs w:val="18"/>
                <w:color w:val="auto"/>
              </w:rPr>
              <w:t>Authority to Allot</w:t>
            </w:r>
          </w:p>
        </w:tc>
        <w:tc>
          <w:tcPr>
            <w:tcW w:w="66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95"/>
        </w:trPr>
        <w:tc>
          <w:tcPr>
            <w:tcW w:w="32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Under the U.K. Companies Act 2006, the</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directors of a company must not allot shares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or grant rights to subscribe for or to convert</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any security into shares unless those shares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are allotted, or those rights to subscribe 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convert any security into shares are granted</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(as applicable) pursuant to an employee</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share scheme, an ordinary resolution to the</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contrary has been passed by shareholders in</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 general meeting, or the articles of</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association provide otherwise, in each case,</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in accordance with the provisions of the U.K.</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Companies Act 2006.</w:t>
            </w:r>
          </w:p>
        </w:tc>
        <w:tc>
          <w:tcPr>
            <w:tcW w:w="0" w:type="dxa"/>
            <w:vAlign w:val="bottom"/>
          </w:tcPr>
          <w:p>
            <w:pPr>
              <w:spacing w:after="0"/>
              <w:rPr>
                <w:sz w:val="1"/>
                <w:szCs w:val="1"/>
                <w:color w:val="auto"/>
              </w:rPr>
            </w:pPr>
          </w:p>
        </w:tc>
      </w:tr>
      <w:tr>
        <w:trPr>
          <w:trHeight w:val="701"/>
        </w:trPr>
        <w:tc>
          <w:tcPr>
            <w:tcW w:w="3220" w:type="dxa"/>
            <w:vAlign w:val="bottom"/>
          </w:tcPr>
          <w:p>
            <w:pPr>
              <w:spacing w:after="0"/>
              <w:rPr>
                <w:sz w:val="20"/>
                <w:szCs w:val="20"/>
                <w:color w:val="auto"/>
              </w:rPr>
            </w:pPr>
            <w:r>
              <w:rPr>
                <w:rFonts w:ascii="Arial" w:cs="Arial" w:eastAsia="Arial" w:hAnsi="Arial"/>
                <w:sz w:val="18"/>
                <w:szCs w:val="18"/>
                <w:color w:val="auto"/>
              </w:rPr>
              <w:t>Liability of Directors and Officers</w:t>
            </w: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Under the U.K. Companies Act 2006, any</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provision (whether contained in a company’s</w:t>
            </w: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articles of association or any contract 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otherwise) that purports to exempt a director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9"/>
              </w:rPr>
              <w:t>of a company (to any extent) from any liability</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that would otherwise attach to him in</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connection with any negligence, default,</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breach of duty or breach of trust in relation to</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the company is void.</w:t>
            </w: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Any provision by which we directly 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9"/>
              </w:rPr>
              <w:t>indirectly provide an indemnity (to any extent)</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for a director of the company or of an</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9"/>
              </w:rPr>
              <w:t>“associated company” (i.e., a company that is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 parent, subsidiary or sister company of us)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against any liability attaching to him or her in</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connection with any negligence, default,</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breach of duty or breach of trust in relation to</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the company of which he or she is a director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is void except as permitted by the U.K.</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Companies Act 2006, which provides</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exceptions for us to:</w:t>
            </w:r>
          </w:p>
        </w:tc>
        <w:tc>
          <w:tcPr>
            <w:tcW w:w="0" w:type="dxa"/>
            <w:vAlign w:val="bottom"/>
          </w:tcPr>
          <w:p>
            <w:pPr>
              <w:spacing w:after="0"/>
              <w:rPr>
                <w:sz w:val="1"/>
                <w:szCs w:val="1"/>
                <w:color w:val="auto"/>
              </w:rPr>
            </w:pPr>
          </w:p>
        </w:tc>
      </w:tr>
      <w:tr>
        <w:trPr>
          <w:trHeight w:val="729"/>
        </w:trPr>
        <w:tc>
          <w:tcPr>
            <w:tcW w:w="3220" w:type="dxa"/>
            <w:vAlign w:val="bottom"/>
          </w:tcPr>
          <w:p>
            <w:pPr>
              <w:spacing w:after="0"/>
              <w:rPr>
                <w:sz w:val="24"/>
                <w:szCs w:val="24"/>
                <w:color w:val="auto"/>
              </w:rPr>
            </w:pPr>
          </w:p>
        </w:tc>
        <w:tc>
          <w:tcPr>
            <w:tcW w:w="4280" w:type="dxa"/>
            <w:vAlign w:val="bottom"/>
            <w:gridSpan w:val="2"/>
          </w:tcPr>
          <w:p>
            <w:pPr>
              <w:ind w:left="21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1602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10" w:right="20"/>
        <w:spacing w:after="0" w:line="235"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The board of directors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105" w:lineRule="exact"/>
        <w:rPr>
          <w:sz w:val="20"/>
          <w:szCs w:val="20"/>
          <w:color w:val="auto"/>
        </w:rPr>
      </w:pPr>
    </w:p>
    <w:p>
      <w:pPr>
        <w:ind w:left="10"/>
        <w:spacing w:after="0" w:line="252" w:lineRule="auto"/>
        <w:rPr>
          <w:sz w:val="20"/>
          <w:szCs w:val="20"/>
          <w:color w:val="auto"/>
        </w:rPr>
      </w:pPr>
      <w:r>
        <w:rPr>
          <w:rFonts w:ascii="Arial" w:cs="Arial" w:eastAsia="Arial" w:hAnsi="Arial"/>
          <w:sz w:val="17"/>
          <w:szCs w:val="17"/>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289" w:lineRule="exact"/>
        <w:rPr>
          <w:sz w:val="20"/>
          <w:szCs w:val="20"/>
          <w:color w:val="auto"/>
        </w:rPr>
      </w:pPr>
    </w:p>
    <w:p>
      <w:pPr>
        <w:ind w:left="350" w:right="280" w:hanging="350"/>
        <w:spacing w:after="0"/>
        <w:tabs>
          <w:tab w:leader="none" w:pos="352" w:val="left"/>
        </w:tabs>
        <w:numPr>
          <w:ilvl w:val="0"/>
          <w:numId w:val="28"/>
        </w:numPr>
        <w:rPr>
          <w:rFonts w:ascii="MS PGothic" w:cs="MS PGothic" w:eastAsia="MS PGothic" w:hAnsi="MS PGothic"/>
          <w:sz w:val="13"/>
          <w:szCs w:val="13"/>
          <w:color w:val="auto"/>
        </w:rPr>
      </w:pPr>
      <w:r>
        <w:rPr>
          <w:rFonts w:ascii="Arial" w:cs="Arial" w:eastAsia="Arial" w:hAnsi="Arial"/>
          <w:sz w:val="18"/>
          <w:szCs w:val="18"/>
          <w:color w:val="auto"/>
        </w:rPr>
        <w:t>any breach of the director’s duty of loyalty to the corporation or its stockholders;</w:t>
      </w:r>
    </w:p>
    <w:p>
      <w:pPr>
        <w:spacing w:after="0" w:line="108" w:lineRule="exact"/>
        <w:rPr>
          <w:rFonts w:ascii="MS PGothic" w:cs="MS PGothic" w:eastAsia="MS PGothic" w:hAnsi="MS PGothic"/>
          <w:sz w:val="13"/>
          <w:szCs w:val="13"/>
          <w:color w:val="auto"/>
        </w:rPr>
      </w:pPr>
    </w:p>
    <w:p>
      <w:pPr>
        <w:jc w:val="both"/>
        <w:ind w:left="350" w:right="100" w:hanging="350"/>
        <w:spacing w:after="0"/>
        <w:tabs>
          <w:tab w:leader="none" w:pos="352" w:val="left"/>
        </w:tabs>
        <w:numPr>
          <w:ilvl w:val="0"/>
          <w:numId w:val="28"/>
        </w:numPr>
        <w:rPr>
          <w:rFonts w:ascii="MS PGothic" w:cs="MS PGothic" w:eastAsia="MS PGothic" w:hAnsi="MS PGothic"/>
          <w:sz w:val="13"/>
          <w:szCs w:val="13"/>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08" w:lineRule="exact"/>
        <w:rPr>
          <w:rFonts w:ascii="MS PGothic" w:cs="MS PGothic" w:eastAsia="MS PGothic" w:hAnsi="MS PGothic"/>
          <w:sz w:val="13"/>
          <w:szCs w:val="13"/>
          <w:color w:val="auto"/>
        </w:rPr>
      </w:pPr>
    </w:p>
    <w:p>
      <w:pPr>
        <w:ind w:left="350" w:right="20" w:hanging="350"/>
        <w:spacing w:after="0"/>
        <w:tabs>
          <w:tab w:leader="none" w:pos="352" w:val="left"/>
        </w:tabs>
        <w:numPr>
          <w:ilvl w:val="0"/>
          <w:numId w:val="28"/>
        </w:numPr>
        <w:rPr>
          <w:rFonts w:ascii="MS PGothic" w:cs="MS PGothic" w:eastAsia="MS PGothic" w:hAnsi="MS PGothic"/>
          <w:sz w:val="13"/>
          <w:szCs w:val="13"/>
          <w:color w:val="auto"/>
        </w:rPr>
      </w:pPr>
      <w:r>
        <w:rPr>
          <w:rFonts w:ascii="Arial" w:cs="Arial" w:eastAsia="Arial" w:hAnsi="Arial"/>
          <w:sz w:val="18"/>
          <w:szCs w:val="18"/>
          <w:color w:val="auto"/>
        </w:rPr>
        <w:t>intentional or negligent payment of unlawful dividends or stock purchases or redemptions; or</w:t>
      </w:r>
    </w:p>
    <w:p>
      <w:pPr>
        <w:spacing w:after="0" w:line="108" w:lineRule="exact"/>
        <w:rPr>
          <w:rFonts w:ascii="MS PGothic" w:cs="MS PGothic" w:eastAsia="MS PGothic" w:hAnsi="MS PGothic"/>
          <w:sz w:val="13"/>
          <w:szCs w:val="13"/>
          <w:color w:val="auto"/>
        </w:rPr>
      </w:pPr>
    </w:p>
    <w:p>
      <w:pPr>
        <w:ind w:left="350" w:right="60" w:hanging="350"/>
        <w:spacing w:after="0"/>
        <w:tabs>
          <w:tab w:leader="none" w:pos="352" w:val="left"/>
        </w:tabs>
        <w:numPr>
          <w:ilvl w:val="0"/>
          <w:numId w:val="28"/>
        </w:numPr>
        <w:rPr>
          <w:rFonts w:ascii="MS PGothic" w:cs="MS PGothic" w:eastAsia="MS PGothic" w:hAnsi="MS PGothic"/>
          <w:sz w:val="13"/>
          <w:szCs w:val="13"/>
          <w:color w:val="auto"/>
        </w:rPr>
      </w:pPr>
      <w:r>
        <w:rPr>
          <w:rFonts w:ascii="Arial" w:cs="Arial" w:eastAsia="Arial" w:hAnsi="Arial"/>
          <w:sz w:val="18"/>
          <w:szCs w:val="18"/>
          <w:color w:val="auto"/>
        </w:rPr>
        <w:t>any transaction from which the director derives an improper personal benefit.</w:t>
      </w:r>
    </w:p>
    <w:p>
      <w:pPr>
        <w:sectPr>
          <w:pgSz w:w="11900" w:h="16838" w:orient="portrait"/>
          <w:cols w:equalWidth="0" w:num="2">
            <w:col w:w="7620" w:space="110"/>
            <w:col w:w="3410"/>
          </w:cols>
          <w:pgMar w:left="320" w:top="459" w:right="4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399"/>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17780</wp:posOffset>
            </wp:positionV>
            <wp:extent cx="45345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20" w:lineRule="exact"/>
        <w:rPr>
          <w:sz w:val="20"/>
          <w:szCs w:val="20"/>
          <w:color w:val="auto"/>
        </w:rPr>
      </w:pPr>
    </w:p>
    <w:p>
      <w:pPr>
        <w:ind w:left="4360" w:right="2539" w:hanging="370"/>
        <w:spacing w:after="0" w:line="236" w:lineRule="auto"/>
        <w:tabs>
          <w:tab w:leader="none" w:pos="4362" w:val="left"/>
        </w:tabs>
        <w:numPr>
          <w:ilvl w:val="0"/>
          <w:numId w:val="29"/>
        </w:numPr>
        <w:rPr>
          <w:rFonts w:ascii="MS PGothic" w:cs="MS PGothic" w:eastAsia="MS PGothic" w:hAnsi="MS PGothic"/>
          <w:sz w:val="13"/>
          <w:szCs w:val="13"/>
          <w:color w:val="auto"/>
        </w:rPr>
      </w:pPr>
      <w:r>
        <w:rPr>
          <w:rFonts w:ascii="Arial" w:cs="Arial" w:eastAsia="Arial" w:hAnsi="Arial"/>
          <w:sz w:val="18"/>
          <w:szCs w:val="18"/>
          <w:color w:val="auto"/>
        </w:rPr>
        <w:t>purchase and maintain director and officer insurance insuring our directors or the directors of an associated company against any liability attaching in connection with any negligence, default, breach of duty or breach of trust in relation to the company of which he or she is a director;</w:t>
      </w:r>
    </w:p>
    <w:p>
      <w:pPr>
        <w:spacing w:after="0" w:line="99" w:lineRule="exact"/>
        <w:rPr>
          <w:rFonts w:ascii="MS PGothic" w:cs="MS PGothic" w:eastAsia="MS PGothic" w:hAnsi="MS PGothic"/>
          <w:sz w:val="13"/>
          <w:szCs w:val="13"/>
          <w:color w:val="auto"/>
        </w:rPr>
      </w:pPr>
    </w:p>
    <w:p>
      <w:pPr>
        <w:ind w:left="4360" w:right="2539" w:hanging="370"/>
        <w:spacing w:after="0" w:line="235" w:lineRule="auto"/>
        <w:tabs>
          <w:tab w:leader="none" w:pos="4362" w:val="left"/>
        </w:tabs>
        <w:numPr>
          <w:ilvl w:val="0"/>
          <w:numId w:val="29"/>
        </w:numPr>
        <w:rPr>
          <w:rFonts w:ascii="MS PGothic" w:cs="MS PGothic" w:eastAsia="MS PGothic" w:hAnsi="MS PGothic"/>
          <w:sz w:val="13"/>
          <w:szCs w:val="13"/>
          <w:color w:val="auto"/>
        </w:rPr>
      </w:pPr>
      <w:r>
        <w:rPr>
          <w:rFonts w:ascii="Arial" w:cs="Arial" w:eastAsia="Arial" w:hAnsi="Arial"/>
          <w:sz w:val="18"/>
          <w:szCs w:val="18"/>
          <w:color w:val="auto"/>
        </w:rPr>
        <w:t>provide a “qualifying third party indemnity,” which is an indemnity against liability incurred by our directors and directors of an associated company to a person other than us or an associated company. Such indemnity must not cover criminal fines, penalties imposed by regulatory bodies, the defense costs of criminal proceedings where the director is found guilty, the defense costs of civil proceedings successfully brought against the director by the company or an associated company, or the costs of unsuccessful applications by the director for relief from liabilities for such matters; and</w:t>
      </w:r>
    </w:p>
    <w:p>
      <w:pPr>
        <w:spacing w:after="0" w:line="105" w:lineRule="exact"/>
        <w:rPr>
          <w:rFonts w:ascii="MS PGothic" w:cs="MS PGothic" w:eastAsia="MS PGothic" w:hAnsi="MS PGothic"/>
          <w:sz w:val="13"/>
          <w:szCs w:val="13"/>
          <w:color w:val="auto"/>
        </w:rPr>
      </w:pPr>
    </w:p>
    <w:p>
      <w:pPr>
        <w:ind w:left="4360" w:right="2539" w:hanging="370"/>
        <w:spacing w:after="0"/>
        <w:tabs>
          <w:tab w:leader="none" w:pos="4362" w:val="left"/>
        </w:tabs>
        <w:numPr>
          <w:ilvl w:val="0"/>
          <w:numId w:val="29"/>
        </w:numPr>
        <w:rPr>
          <w:rFonts w:ascii="MS PGothic" w:cs="MS PGothic" w:eastAsia="MS PGothic" w:hAnsi="MS PGothic"/>
          <w:sz w:val="13"/>
          <w:szCs w:val="13"/>
          <w:color w:val="auto"/>
        </w:rPr>
      </w:pPr>
      <w:r>
        <w:rPr>
          <w:rFonts w:ascii="Arial" w:cs="Arial" w:eastAsia="Arial" w:hAnsi="Arial"/>
          <w:sz w:val="18"/>
          <w:szCs w:val="18"/>
          <w:color w:val="auto"/>
        </w:rPr>
        <w:t>provide a “qualifying pension scheme indemnity,” which is an indemnity against liability incurred in connection</w:t>
      </w:r>
    </w:p>
    <w:p>
      <w:pPr>
        <w:spacing w:after="0" w:line="94" w:lineRule="exact"/>
        <w:rPr>
          <w:rFonts w:ascii="MS PGothic" w:cs="MS PGothic" w:eastAsia="MS PGothic" w:hAnsi="MS PGothic"/>
          <w:sz w:val="13"/>
          <w:szCs w:val="13"/>
          <w:color w:val="auto"/>
        </w:rPr>
      </w:pPr>
    </w:p>
    <w:p>
      <w:pPr>
        <w:ind w:left="4360" w:right="2559" w:hanging="370"/>
        <w:spacing w:after="0" w:line="237" w:lineRule="auto"/>
        <w:tabs>
          <w:tab w:leader="none" w:pos="4362" w:val="left"/>
        </w:tabs>
        <w:numPr>
          <w:ilvl w:val="0"/>
          <w:numId w:val="29"/>
        </w:numPr>
        <w:rPr>
          <w:rFonts w:ascii="MS PGothic" w:cs="MS PGothic" w:eastAsia="MS PGothic" w:hAnsi="MS PGothic"/>
          <w:sz w:val="13"/>
          <w:szCs w:val="13"/>
          <w:color w:val="auto"/>
        </w:rPr>
      </w:pPr>
      <w:r>
        <w:rPr>
          <w:rFonts w:ascii="Arial" w:cs="Arial" w:eastAsia="Arial" w:hAnsi="Arial"/>
          <w:sz w:val="18"/>
          <w:szCs w:val="18"/>
          <w:color w:val="auto"/>
        </w:rPr>
        <w:t>with the company’s activities as trustee of an occupational pension plan. Such indemnity must not cover a fine imposed in criminal proceedings, or sum payable to a regulatory authority by way of a penalty in respect of</w:t>
      </w:r>
    </w:p>
    <w:p>
      <w:pPr>
        <w:spacing w:after="0" w:line="13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139"/>
          </w:cols>
          <w:pgMar w:left="320" w:top="459" w:right="1440"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3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20" w:type="dxa"/>
            <w:vAlign w:val="bottom"/>
          </w:tcPr>
          <w:p>
            <w:pPr>
              <w:ind w:left="360"/>
              <w:spacing w:after="0" w:line="195" w:lineRule="exact"/>
              <w:rPr>
                <w:sz w:val="20"/>
                <w:szCs w:val="20"/>
                <w:color w:val="auto"/>
              </w:rPr>
            </w:pPr>
            <w:r>
              <w:rPr>
                <w:rFonts w:ascii="Arial" w:cs="Arial" w:eastAsia="Arial" w:hAnsi="Arial"/>
                <w:sz w:val="18"/>
                <w:szCs w:val="18"/>
                <w:color w:val="auto"/>
              </w:rPr>
              <w:t>non-compliance with any requirement of</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a regulatory nature (however arising), or</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any liability incurred by the director in</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defending criminal proceedings in which</w:t>
            </w:r>
          </w:p>
        </w:tc>
      </w:tr>
      <w:tr>
        <w:trPr>
          <w:trHeight w:val="217"/>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he or she is convicted.</w:t>
            </w:r>
          </w:p>
        </w:tc>
      </w:tr>
      <w:tr>
        <w:trPr>
          <w:trHeight w:val="296"/>
        </w:trPr>
        <w:tc>
          <w:tcPr>
            <w:tcW w:w="3600" w:type="dxa"/>
            <w:vAlign w:val="bottom"/>
          </w:tcPr>
          <w:p>
            <w:pPr>
              <w:spacing w:after="0"/>
              <w:rPr>
                <w:sz w:val="24"/>
                <w:szCs w:val="24"/>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Our Articles provide that it may indemnify</w:t>
            </w:r>
          </w:p>
        </w:tc>
      </w:tr>
      <w:tr>
        <w:trPr>
          <w:trHeight w:val="217"/>
        </w:trPr>
        <w:tc>
          <w:tcPr>
            <w:tcW w:w="3600" w:type="dxa"/>
            <w:vAlign w:val="bottom"/>
          </w:tcPr>
          <w:p>
            <w:pPr>
              <w:spacing w:after="0"/>
              <w:rPr>
                <w:sz w:val="18"/>
                <w:szCs w:val="18"/>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each of our directors against:</w:t>
            </w:r>
          </w:p>
        </w:tc>
      </w:tr>
      <w:tr>
        <w:trPr>
          <w:trHeight w:val="296"/>
        </w:trPr>
        <w:tc>
          <w:tcPr>
            <w:tcW w:w="3600" w:type="dxa"/>
            <w:vAlign w:val="bottom"/>
          </w:tcPr>
          <w:p>
            <w:pPr>
              <w:spacing w:after="0"/>
              <w:rPr>
                <w:sz w:val="24"/>
                <w:szCs w:val="24"/>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The U.K. Companies Act 2006 also provides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that we may lend each of our directors funds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to meet expenditure incurred by him or her in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defending any criminal or civil proceedings in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connection with any alleged negligence,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default, breach of duty or breach of trust by</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him or her in relation to us or an associated</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company, or in connection with an application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for certain specified relief, subject to the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requirement that the loan must be on terms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that it is to be repaid if the defense or the</w:t>
            </w:r>
          </w:p>
        </w:tc>
      </w:tr>
      <w:tr>
        <w:trPr>
          <w:trHeight w:val="217"/>
        </w:trPr>
        <w:tc>
          <w:tcPr>
            <w:tcW w:w="3600" w:type="dxa"/>
            <w:vAlign w:val="bottom"/>
          </w:tcPr>
          <w:p>
            <w:pPr>
              <w:spacing w:after="0"/>
              <w:rPr>
                <w:sz w:val="18"/>
                <w:szCs w:val="18"/>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application for relief is unsuccessful.</w:t>
            </w:r>
          </w:p>
        </w:tc>
      </w:tr>
      <w:tr>
        <w:trPr>
          <w:trHeight w:val="296"/>
        </w:trPr>
        <w:tc>
          <w:tcPr>
            <w:tcW w:w="3600" w:type="dxa"/>
            <w:vAlign w:val="bottom"/>
          </w:tcPr>
          <w:p>
            <w:pPr>
              <w:spacing w:after="0"/>
              <w:rPr>
                <w:sz w:val="20"/>
                <w:szCs w:val="20"/>
                <w:color w:val="auto"/>
              </w:rPr>
            </w:pPr>
            <w:r>
              <w:rPr>
                <w:rFonts w:ascii="Arial" w:cs="Arial" w:eastAsia="Arial" w:hAnsi="Arial"/>
                <w:sz w:val="18"/>
                <w:szCs w:val="18"/>
                <w:color w:val="auto"/>
              </w:rPr>
              <w:t>Voting Rights</w:t>
            </w: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For a description of the voting rights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contained in our Articles see “Description of</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the Share Capital and Articles of Association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—Articles of Association—Shares and Rights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Attaching to Them—Voting Rights” in this</w:t>
            </w:r>
          </w:p>
        </w:tc>
      </w:tr>
      <w:tr>
        <w:trPr>
          <w:trHeight w:val="217"/>
        </w:trPr>
        <w:tc>
          <w:tcPr>
            <w:tcW w:w="3600" w:type="dxa"/>
            <w:vAlign w:val="bottom"/>
          </w:tcPr>
          <w:p>
            <w:pPr>
              <w:spacing w:after="0"/>
              <w:rPr>
                <w:sz w:val="18"/>
                <w:szCs w:val="18"/>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prospectus.</w:t>
            </w:r>
          </w:p>
        </w:tc>
      </w:tr>
      <w:tr>
        <w:trPr>
          <w:trHeight w:val="296"/>
        </w:trPr>
        <w:tc>
          <w:tcPr>
            <w:tcW w:w="3600" w:type="dxa"/>
            <w:vAlign w:val="bottom"/>
          </w:tcPr>
          <w:p>
            <w:pPr>
              <w:spacing w:after="0"/>
              <w:rPr>
                <w:sz w:val="20"/>
                <w:szCs w:val="20"/>
                <w:color w:val="auto"/>
              </w:rPr>
            </w:pPr>
            <w:r>
              <w:rPr>
                <w:rFonts w:ascii="Arial" w:cs="Arial" w:eastAsia="Arial" w:hAnsi="Arial"/>
                <w:sz w:val="18"/>
                <w:szCs w:val="18"/>
                <w:color w:val="auto"/>
              </w:rPr>
              <w:t>Shareholder Vote on Certain Transactions</w:t>
            </w: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The U.K. Companies Act 2006 provides for</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schemes of arrangement, which are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arrangements or compromises between a</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company and any class of shareholders or</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creditors and used in certain types of</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reconstructions, amalgamations, capital</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reorganizations or takeovers. These</w:t>
            </w:r>
          </w:p>
        </w:tc>
      </w:tr>
      <w:tr>
        <w:trPr>
          <w:trHeight w:val="217"/>
        </w:trPr>
        <w:tc>
          <w:tcPr>
            <w:tcW w:w="3600" w:type="dxa"/>
            <w:vAlign w:val="bottom"/>
          </w:tcPr>
          <w:p>
            <w:pPr>
              <w:spacing w:after="0"/>
              <w:rPr>
                <w:sz w:val="18"/>
                <w:szCs w:val="18"/>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arrangements require:</w:t>
            </w:r>
          </w:p>
        </w:tc>
      </w:tr>
      <w:tr>
        <w:trPr>
          <w:trHeight w:val="810"/>
        </w:trPr>
        <w:tc>
          <w:tcPr>
            <w:tcW w:w="3600" w:type="dxa"/>
            <w:vAlign w:val="bottom"/>
          </w:tcPr>
          <w:p>
            <w:pPr>
              <w:spacing w:after="0"/>
              <w:rPr>
                <w:sz w:val="24"/>
                <w:szCs w:val="24"/>
                <w:color w:val="auto"/>
              </w:rPr>
            </w:pPr>
          </w:p>
        </w:tc>
        <w:tc>
          <w:tcPr>
            <w:tcW w:w="3900" w:type="dxa"/>
            <w:vAlign w:val="bottom"/>
            <w:gridSpan w:val="2"/>
          </w:tcPr>
          <w:p>
            <w:pPr>
              <w:ind w:left="1800"/>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2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1602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 w:right="60"/>
        <w:spacing w:after="0" w:line="238"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pacing w:after="0" w:line="297" w:lineRule="exact"/>
        <w:rPr>
          <w:sz w:val="20"/>
          <w:szCs w:val="20"/>
          <w:color w:val="auto"/>
        </w:rPr>
      </w:pPr>
    </w:p>
    <w:p>
      <w:pPr>
        <w:ind w:left="10"/>
        <w:spacing w:after="0" w:line="237" w:lineRule="auto"/>
        <w:rPr>
          <w:sz w:val="20"/>
          <w:szCs w:val="20"/>
          <w:color w:val="auto"/>
        </w:rPr>
      </w:pPr>
      <w:r>
        <w:rPr>
          <w:rFonts w:ascii="Arial" w:cs="Arial" w:eastAsia="Arial" w:hAnsi="Arial"/>
          <w:sz w:val="18"/>
          <w:szCs w:val="18"/>
          <w:color w:val="auto"/>
        </w:rPr>
        <w:t>Generally, under Delaware law, unless the certificate of incorporation provides for the vote of a larger portion of the stock, closing of a merger, consolidation, sale, lease or exchange of all or substantially all of a corporation’s assets or dissolution requires:</w:t>
      </w:r>
    </w:p>
    <w:p>
      <w:pPr>
        <w:spacing w:after="0" w:line="108" w:lineRule="exact"/>
        <w:rPr>
          <w:sz w:val="20"/>
          <w:szCs w:val="20"/>
          <w:color w:val="auto"/>
        </w:rPr>
      </w:pPr>
    </w:p>
    <w:p>
      <w:pPr>
        <w:ind w:left="350" w:right="40" w:hanging="350"/>
        <w:spacing w:after="0" w:line="246" w:lineRule="auto"/>
        <w:tabs>
          <w:tab w:leader="none" w:pos="352" w:val="left"/>
        </w:tabs>
        <w:numPr>
          <w:ilvl w:val="0"/>
          <w:numId w:val="30"/>
        </w:numPr>
        <w:rPr>
          <w:rFonts w:ascii="MS PGothic" w:cs="MS PGothic" w:eastAsia="MS PGothic" w:hAnsi="MS PGothic"/>
          <w:sz w:val="13"/>
          <w:szCs w:val="13"/>
          <w:color w:val="auto"/>
        </w:rPr>
      </w:pPr>
      <w:r>
        <w:rPr>
          <w:rFonts w:ascii="Arial" w:cs="Arial" w:eastAsia="Arial" w:hAnsi="Arial"/>
          <w:sz w:val="18"/>
          <w:szCs w:val="18"/>
          <w:color w:val="auto"/>
        </w:rPr>
        <w:t>the approval of the board of directors; and</w:t>
      </w:r>
    </w:p>
    <w:p>
      <w:pPr>
        <w:sectPr>
          <w:pgSz w:w="11900" w:h="16838" w:orient="portrait"/>
          <w:cols w:equalWidth="0" w:num="2">
            <w:col w:w="7620" w:space="110"/>
            <w:col w:w="3390"/>
          </w:cols>
          <w:pgMar w:left="320" w:top="459" w:right="459" w:bottom="1440" w:gutter="0" w:footer="0" w:header="0"/>
          <w:type w:val="continuous"/>
        </w:sectPr>
      </w:pPr>
    </w:p>
    <w:bookmarkStart w:id="63" w:name="page64"/>
    <w:bookmarkEnd w:id="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2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(1) the approval, at a shareholders’ or</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creditors’ meeting convened by order of a</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court of England and Wales, of a majority in</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number representing not less than 75% in</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value of the creditors or class of creditors or</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members or class of members (as the case</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may be) present and voting, either in person</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or by proxy; and (2) the approval of a court of</w:t>
            </w:r>
          </w:p>
        </w:tc>
      </w:tr>
      <w:tr>
        <w:trPr>
          <w:trHeight w:val="217"/>
        </w:trPr>
        <w:tc>
          <w:tcPr>
            <w:tcW w:w="2760" w:type="dxa"/>
            <w:vAlign w:val="bottom"/>
          </w:tcPr>
          <w:p>
            <w:pPr>
              <w:spacing w:after="0"/>
              <w:rPr>
                <w:sz w:val="18"/>
                <w:szCs w:val="18"/>
                <w:color w:val="auto"/>
              </w:rPr>
            </w:pP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England and Wales.</w:t>
            </w:r>
          </w:p>
        </w:tc>
      </w:tr>
      <w:tr>
        <w:trPr>
          <w:trHeight w:val="296"/>
        </w:trPr>
        <w:tc>
          <w:tcPr>
            <w:tcW w:w="2760" w:type="dxa"/>
            <w:vAlign w:val="bottom"/>
          </w:tcPr>
          <w:p>
            <w:pPr>
              <w:spacing w:after="0"/>
              <w:rPr>
                <w:sz w:val="20"/>
                <w:szCs w:val="20"/>
                <w:color w:val="auto"/>
              </w:rPr>
            </w:pPr>
            <w:r>
              <w:rPr>
                <w:rFonts w:ascii="Arial" w:cs="Arial" w:eastAsia="Arial" w:hAnsi="Arial"/>
                <w:sz w:val="18"/>
                <w:szCs w:val="18"/>
                <w:color w:val="auto"/>
              </w:rPr>
              <w:t>Standard of Conduct</w:t>
            </w: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Under English law, a director owes</w:t>
            </w:r>
          </w:p>
        </w:tc>
      </w:tr>
      <w:tr>
        <w:trPr>
          <w:trHeight w:val="203"/>
        </w:trPr>
        <w:tc>
          <w:tcPr>
            <w:tcW w:w="2760" w:type="dxa"/>
            <w:vAlign w:val="bottom"/>
          </w:tcPr>
          <w:p>
            <w:pPr>
              <w:spacing w:after="0" w:line="202" w:lineRule="exact"/>
              <w:rPr>
                <w:sz w:val="20"/>
                <w:szCs w:val="20"/>
                <w:color w:val="auto"/>
              </w:rPr>
            </w:pPr>
            <w:r>
              <w:rPr>
                <w:rFonts w:ascii="Arial" w:cs="Arial" w:eastAsia="Arial" w:hAnsi="Arial"/>
                <w:sz w:val="18"/>
                <w:szCs w:val="18"/>
                <w:color w:val="auto"/>
              </w:rPr>
              <w:t>for Directors</w:t>
            </w: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various statutory and fiduciary duties to</w:t>
            </w:r>
          </w:p>
        </w:tc>
      </w:tr>
      <w:tr>
        <w:trPr>
          <w:trHeight w:val="217"/>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the company, including:</w:t>
            </w:r>
          </w:p>
        </w:tc>
      </w:tr>
      <w:tr>
        <w:trPr>
          <w:trHeight w:val="310"/>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the way he or she considers, in</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good faith, would be most likely to</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promote the success of the company for</w:t>
            </w:r>
          </w:p>
        </w:tc>
      </w:tr>
      <w:tr>
        <w:trPr>
          <w:trHeight w:val="217"/>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the benefit of its members as a whole;</w:t>
            </w:r>
          </w:p>
        </w:tc>
      </w:tr>
      <w:tr>
        <w:trPr>
          <w:trHeight w:val="310"/>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avoid a situation in which he or she</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has, or can have, a direct or indirect</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interest that conflicts, or possibly</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conflicts, with the interests of the</w:t>
            </w:r>
          </w:p>
        </w:tc>
      </w:tr>
      <w:tr>
        <w:trPr>
          <w:trHeight w:val="217"/>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company;</w:t>
            </w:r>
          </w:p>
        </w:tc>
      </w:tr>
      <w:tr>
        <w:trPr>
          <w:trHeight w:val="310"/>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accordance with the company’s</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constitution and only exercise his or her</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powers for the purposes for which they</w:t>
            </w:r>
          </w:p>
        </w:tc>
      </w:tr>
      <w:tr>
        <w:trPr>
          <w:trHeight w:val="217"/>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are conferred;</w:t>
            </w:r>
          </w:p>
        </w:tc>
      </w:tr>
      <w:tr>
        <w:trPr>
          <w:trHeight w:val="324"/>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independent judgment;</w:t>
            </w:r>
          </w:p>
        </w:tc>
      </w:tr>
      <w:tr>
        <w:trPr>
          <w:trHeight w:val="310"/>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reasonable care, skill, and</w:t>
            </w:r>
          </w:p>
        </w:tc>
      </w:tr>
      <w:tr>
        <w:trPr>
          <w:trHeight w:val="217"/>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diligence;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1602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50" w:right="140" w:hanging="350"/>
        <w:spacing w:after="0" w:line="236" w:lineRule="auto"/>
        <w:tabs>
          <w:tab w:leader="none" w:pos="352" w:val="left"/>
        </w:tabs>
        <w:numPr>
          <w:ilvl w:val="0"/>
          <w:numId w:val="31"/>
        </w:numPr>
        <w:rPr>
          <w:rFonts w:ascii="MS PGothic" w:cs="MS PGothic" w:eastAsia="MS PGothic" w:hAnsi="MS PGothic"/>
          <w:sz w:val="13"/>
          <w:szCs w:val="13"/>
          <w:color w:val="auto"/>
        </w:rPr>
      </w:pPr>
      <w:r>
        <w:rPr>
          <w:rFonts w:ascii="Arial" w:cs="Arial" w:eastAsia="Arial" w:hAnsi="Arial"/>
          <w:sz w:val="18"/>
          <w:szCs w:val="18"/>
          <w:color w:val="auto"/>
        </w:rPr>
        <w:t>the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302" w:lineRule="exact"/>
        <w:rPr>
          <w:sz w:val="20"/>
          <w:szCs w:val="20"/>
          <w:color w:val="auto"/>
        </w:rPr>
      </w:pPr>
    </w:p>
    <w:p>
      <w:pPr>
        <w:ind w:left="10" w:right="100"/>
        <w:spacing w:after="0" w:line="236" w:lineRule="auto"/>
        <w:rPr>
          <w:sz w:val="20"/>
          <w:szCs w:val="20"/>
          <w:color w:val="auto"/>
        </w:rPr>
      </w:pPr>
      <w:r>
        <w:rPr>
          <w:rFonts w:ascii="Arial" w:cs="Arial" w:eastAsia="Arial" w:hAnsi="Arial"/>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111" w:lineRule="exact"/>
        <w:rPr>
          <w:sz w:val="20"/>
          <w:szCs w:val="20"/>
          <w:color w:val="auto"/>
        </w:rPr>
      </w:pPr>
    </w:p>
    <w:p>
      <w:pPr>
        <w:ind w:left="10"/>
        <w:spacing w:after="0" w:line="235" w:lineRule="auto"/>
        <w:rPr>
          <w:sz w:val="20"/>
          <w:szCs w:val="20"/>
          <w:color w:val="auto"/>
        </w:rPr>
      </w:pPr>
      <w:r>
        <w:rPr>
          <w:rFonts w:ascii="Arial" w:cs="Arial" w:eastAsia="Arial" w:hAnsi="Arial"/>
          <w:sz w:val="18"/>
          <w:szCs w:val="18"/>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In general, but subject to certain exceptions,</w:t>
      </w:r>
    </w:p>
    <w:p>
      <w:pPr>
        <w:sectPr>
          <w:pgSz w:w="11900" w:h="16838" w:orient="portrait"/>
          <w:cols w:equalWidth="0" w:num="2">
            <w:col w:w="7620" w:space="110"/>
            <w:col w:w="3410"/>
          </w:cols>
          <w:pgMar w:left="320" w:top="459" w:right="439" w:bottom="1440" w:gutter="0" w:footer="0" w:header="0"/>
          <w:type w:val="continuous"/>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4"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17780</wp:posOffset>
            </wp:positionV>
            <wp:extent cx="23056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4000"/>
        <w:spacing w:after="0"/>
        <w:tabs>
          <w:tab w:leader="none" w:pos="43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8"/>
          <w:szCs w:val="18"/>
          <w:color w:val="auto"/>
        </w:rPr>
        <w:t>not to accept benefits from a third party</w:t>
      </w:r>
    </w:p>
    <w:p>
      <w:pPr>
        <w:ind w:left="4360"/>
        <w:spacing w:after="0"/>
        <w:rPr>
          <w:sz w:val="20"/>
          <w:szCs w:val="20"/>
          <w:color w:val="auto"/>
        </w:rPr>
      </w:pPr>
      <w:r>
        <w:rPr>
          <w:rFonts w:ascii="Arial" w:cs="Arial" w:eastAsia="Arial" w:hAnsi="Arial"/>
          <w:sz w:val="18"/>
          <w:szCs w:val="18"/>
          <w:color w:val="auto"/>
        </w:rPr>
        <w:t>conferred by reason of his or</w:t>
      </w:r>
    </w:p>
    <w:p>
      <w:pPr>
        <w:spacing w:after="0" w:line="113" w:lineRule="exact"/>
        <w:rPr>
          <w:sz w:val="20"/>
          <w:szCs w:val="20"/>
          <w:color w:val="auto"/>
        </w:rPr>
      </w:pPr>
    </w:p>
    <w:p>
      <w:pPr>
        <w:ind w:left="4000"/>
        <w:spacing w:after="0"/>
        <w:tabs>
          <w:tab w:leader="none" w:pos="43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8"/>
          <w:szCs w:val="18"/>
          <w:color w:val="auto"/>
        </w:rPr>
        <w:t>her being a director or doing, or not</w:t>
      </w:r>
    </w:p>
    <w:p>
      <w:pPr>
        <w:ind w:left="4360"/>
        <w:spacing w:after="0"/>
        <w:rPr>
          <w:sz w:val="20"/>
          <w:szCs w:val="20"/>
          <w:color w:val="auto"/>
        </w:rPr>
      </w:pPr>
      <w:r>
        <w:rPr>
          <w:rFonts w:ascii="Arial" w:cs="Arial" w:eastAsia="Arial" w:hAnsi="Arial"/>
          <w:sz w:val="18"/>
          <w:szCs w:val="18"/>
          <w:color w:val="auto"/>
        </w:rPr>
        <w:t>doing, anything as a director; and</w:t>
      </w:r>
    </w:p>
    <w:p>
      <w:pPr>
        <w:spacing w:after="0" w:line="113" w:lineRule="exact"/>
        <w:rPr>
          <w:sz w:val="20"/>
          <w:szCs w:val="20"/>
          <w:color w:val="auto"/>
        </w:rPr>
      </w:pPr>
    </w:p>
    <w:p>
      <w:pPr>
        <w:ind w:left="4000"/>
        <w:spacing w:after="0"/>
        <w:tabs>
          <w:tab w:leader="none" w:pos="43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8"/>
          <w:szCs w:val="18"/>
          <w:color w:val="auto"/>
        </w:rPr>
        <w:t>a duty to declare any interest that he or</w:t>
      </w:r>
    </w:p>
    <w:p>
      <w:pPr>
        <w:ind w:left="4360"/>
        <w:spacing w:after="0" w:line="234" w:lineRule="auto"/>
        <w:rPr>
          <w:sz w:val="20"/>
          <w:szCs w:val="20"/>
          <w:color w:val="auto"/>
        </w:rPr>
      </w:pPr>
      <w:r>
        <w:rPr>
          <w:rFonts w:ascii="Arial" w:cs="Arial" w:eastAsia="Arial" w:hAnsi="Arial"/>
          <w:sz w:val="18"/>
          <w:szCs w:val="18"/>
          <w:color w:val="auto"/>
        </w:rPr>
        <w:t>she has, whether directly or indirectly, in</w:t>
      </w:r>
    </w:p>
    <w:p>
      <w:pPr>
        <w:ind w:left="4360"/>
        <w:spacing w:after="0" w:line="235" w:lineRule="auto"/>
        <w:rPr>
          <w:sz w:val="20"/>
          <w:szCs w:val="20"/>
          <w:color w:val="auto"/>
        </w:rPr>
      </w:pPr>
      <w:r>
        <w:rPr>
          <w:rFonts w:ascii="Arial" w:cs="Arial" w:eastAsia="Arial" w:hAnsi="Arial"/>
          <w:sz w:val="18"/>
          <w:szCs w:val="18"/>
          <w:color w:val="auto"/>
        </w:rPr>
        <w:t>a proposed or existing transaction or</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Shareholder Suits</w:t>
      </w:r>
      <w:r>
        <w:rPr>
          <w:sz w:val="20"/>
          <w:szCs w:val="20"/>
          <w:color w:val="auto"/>
        </w:rPr>
        <w:tab/>
      </w:r>
      <w:r>
        <w:rPr>
          <w:rFonts w:ascii="Arial" w:cs="Arial" w:eastAsia="Arial" w:hAnsi="Arial"/>
          <w:sz w:val="17"/>
          <w:szCs w:val="17"/>
          <w:color w:val="auto"/>
        </w:rPr>
        <w:t>Under English law, generally, the company,</w:t>
      </w:r>
    </w:p>
    <w:p>
      <w:pPr>
        <w:ind w:left="4000"/>
        <w:spacing w:after="0" w:line="234" w:lineRule="auto"/>
        <w:rPr>
          <w:sz w:val="20"/>
          <w:szCs w:val="20"/>
          <w:color w:val="auto"/>
        </w:rPr>
      </w:pPr>
      <w:r>
        <w:rPr>
          <w:rFonts w:ascii="Arial" w:cs="Arial" w:eastAsia="Arial" w:hAnsi="Arial"/>
          <w:sz w:val="18"/>
          <w:szCs w:val="18"/>
          <w:color w:val="auto"/>
        </w:rPr>
        <w:t>rather than its shareholders, is the proper</w:t>
      </w:r>
    </w:p>
    <w:p>
      <w:pPr>
        <w:ind w:left="4000"/>
        <w:spacing w:after="0" w:line="235" w:lineRule="auto"/>
        <w:rPr>
          <w:sz w:val="20"/>
          <w:szCs w:val="20"/>
          <w:color w:val="auto"/>
        </w:rPr>
      </w:pPr>
      <w:r>
        <w:rPr>
          <w:rFonts w:ascii="Arial" w:cs="Arial" w:eastAsia="Arial" w:hAnsi="Arial"/>
          <w:sz w:val="18"/>
          <w:szCs w:val="18"/>
          <w:color w:val="auto"/>
        </w:rPr>
        <w:t>claimant in an action in respect of a wrong</w:t>
      </w:r>
    </w:p>
    <w:p>
      <w:pPr>
        <w:ind w:left="4000"/>
        <w:spacing w:after="0" w:line="235" w:lineRule="auto"/>
        <w:rPr>
          <w:sz w:val="20"/>
          <w:szCs w:val="20"/>
          <w:color w:val="auto"/>
        </w:rPr>
      </w:pPr>
      <w:r>
        <w:rPr>
          <w:rFonts w:ascii="Arial" w:cs="Arial" w:eastAsia="Arial" w:hAnsi="Arial"/>
          <w:sz w:val="18"/>
          <w:szCs w:val="18"/>
          <w:color w:val="auto"/>
        </w:rPr>
        <w:t>done to the company or where there is an</w:t>
      </w:r>
    </w:p>
    <w:p>
      <w:pPr>
        <w:ind w:left="4000"/>
        <w:spacing w:after="0" w:line="235" w:lineRule="auto"/>
        <w:rPr>
          <w:sz w:val="20"/>
          <w:szCs w:val="20"/>
          <w:color w:val="auto"/>
        </w:rPr>
      </w:pPr>
      <w:r>
        <w:rPr>
          <w:rFonts w:ascii="Arial" w:cs="Arial" w:eastAsia="Arial" w:hAnsi="Arial"/>
          <w:sz w:val="18"/>
          <w:szCs w:val="18"/>
          <w:color w:val="auto"/>
        </w:rPr>
        <w:t>irregularity in the company’s internal</w:t>
      </w:r>
    </w:p>
    <w:p>
      <w:pPr>
        <w:ind w:left="4000"/>
        <w:spacing w:after="0" w:line="235" w:lineRule="auto"/>
        <w:rPr>
          <w:sz w:val="20"/>
          <w:szCs w:val="20"/>
          <w:color w:val="auto"/>
        </w:rPr>
      </w:pPr>
      <w:r>
        <w:rPr>
          <w:rFonts w:ascii="Arial" w:cs="Arial" w:eastAsia="Arial" w:hAnsi="Arial"/>
          <w:sz w:val="18"/>
          <w:szCs w:val="18"/>
          <w:color w:val="auto"/>
        </w:rPr>
        <w:t>management. Notwithstanding this general</w:t>
      </w:r>
    </w:p>
    <w:p>
      <w:pPr>
        <w:ind w:left="4000"/>
        <w:spacing w:after="0" w:line="234" w:lineRule="auto"/>
        <w:rPr>
          <w:sz w:val="20"/>
          <w:szCs w:val="20"/>
          <w:color w:val="auto"/>
        </w:rPr>
      </w:pPr>
      <w:r>
        <w:rPr>
          <w:rFonts w:ascii="Arial" w:cs="Arial" w:eastAsia="Arial" w:hAnsi="Arial"/>
          <w:sz w:val="18"/>
          <w:szCs w:val="18"/>
          <w:color w:val="auto"/>
        </w:rPr>
        <w:t>position, the U.K. Companies Act 2006</w:t>
      </w:r>
    </w:p>
    <w:p>
      <w:pPr>
        <w:ind w:left="4000"/>
        <w:spacing w:after="0" w:line="235" w:lineRule="auto"/>
        <w:rPr>
          <w:sz w:val="20"/>
          <w:szCs w:val="20"/>
          <w:color w:val="auto"/>
        </w:rPr>
      </w:pPr>
      <w:r>
        <w:rPr>
          <w:rFonts w:ascii="Arial" w:cs="Arial" w:eastAsia="Arial" w:hAnsi="Arial"/>
          <w:sz w:val="18"/>
          <w:szCs w:val="18"/>
          <w:color w:val="auto"/>
        </w:rPr>
        <w:t>provides that (1) a court may allow a</w:t>
      </w:r>
    </w:p>
    <w:p>
      <w:pPr>
        <w:ind w:left="4000"/>
        <w:spacing w:after="0" w:line="235" w:lineRule="auto"/>
        <w:rPr>
          <w:sz w:val="20"/>
          <w:szCs w:val="20"/>
          <w:color w:val="auto"/>
        </w:rPr>
      </w:pPr>
      <w:r>
        <w:rPr>
          <w:rFonts w:ascii="Arial" w:cs="Arial" w:eastAsia="Arial" w:hAnsi="Arial"/>
          <w:sz w:val="18"/>
          <w:szCs w:val="18"/>
          <w:color w:val="auto"/>
        </w:rPr>
        <w:t>shareholder to bring a derivative claim (that</w:t>
      </w:r>
    </w:p>
    <w:p>
      <w:pPr>
        <w:ind w:left="4000"/>
        <w:spacing w:after="0"/>
        <w:rPr>
          <w:sz w:val="20"/>
          <w:szCs w:val="20"/>
          <w:color w:val="auto"/>
        </w:rPr>
      </w:pPr>
      <w:r>
        <w:rPr>
          <w:rFonts w:ascii="Arial" w:cs="Arial" w:eastAsia="Arial" w:hAnsi="Arial"/>
          <w:sz w:val="17"/>
          <w:szCs w:val="17"/>
          <w:color w:val="auto"/>
        </w:rPr>
        <w:t>is, an action in respect of and on behalf of the</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company) in respect of a cause of action</w:t>
      </w:r>
    </w:p>
    <w:p>
      <w:pPr>
        <w:ind w:left="4000"/>
        <w:spacing w:after="0" w:line="234" w:lineRule="auto"/>
        <w:rPr>
          <w:sz w:val="20"/>
          <w:szCs w:val="20"/>
          <w:color w:val="auto"/>
        </w:rPr>
      </w:pPr>
      <w:r>
        <w:rPr>
          <w:rFonts w:ascii="Arial" w:cs="Arial" w:eastAsia="Arial" w:hAnsi="Arial"/>
          <w:sz w:val="18"/>
          <w:szCs w:val="18"/>
          <w:color w:val="auto"/>
        </w:rPr>
        <w:t>arising from a director’s negligence, default,</w:t>
      </w:r>
    </w:p>
    <w:p>
      <w:pPr>
        <w:ind w:left="4000"/>
        <w:spacing w:after="0" w:line="235" w:lineRule="auto"/>
        <w:rPr>
          <w:sz w:val="20"/>
          <w:szCs w:val="20"/>
          <w:color w:val="auto"/>
        </w:rPr>
      </w:pPr>
      <w:r>
        <w:rPr>
          <w:rFonts w:ascii="Arial" w:cs="Arial" w:eastAsia="Arial" w:hAnsi="Arial"/>
          <w:sz w:val="18"/>
          <w:szCs w:val="18"/>
          <w:color w:val="auto"/>
        </w:rPr>
        <w:t>breach of duty or breach of trust and (2) a</w:t>
      </w:r>
    </w:p>
    <w:p>
      <w:pPr>
        <w:ind w:left="4000"/>
        <w:spacing w:after="0" w:line="235" w:lineRule="auto"/>
        <w:rPr>
          <w:sz w:val="20"/>
          <w:szCs w:val="20"/>
          <w:color w:val="auto"/>
        </w:rPr>
      </w:pPr>
      <w:r>
        <w:rPr>
          <w:rFonts w:ascii="Arial" w:cs="Arial" w:eastAsia="Arial" w:hAnsi="Arial"/>
          <w:sz w:val="18"/>
          <w:szCs w:val="18"/>
          <w:color w:val="auto"/>
        </w:rPr>
        <w:t>shareholder may bring a claim for a court</w:t>
      </w:r>
    </w:p>
    <w:p>
      <w:pPr>
        <w:ind w:left="4000"/>
        <w:spacing w:after="0" w:line="235" w:lineRule="auto"/>
        <w:rPr>
          <w:sz w:val="20"/>
          <w:szCs w:val="20"/>
          <w:color w:val="auto"/>
        </w:rPr>
      </w:pPr>
      <w:r>
        <w:rPr>
          <w:rFonts w:ascii="Arial" w:cs="Arial" w:eastAsia="Arial" w:hAnsi="Arial"/>
          <w:sz w:val="18"/>
          <w:szCs w:val="18"/>
          <w:color w:val="auto"/>
        </w:rPr>
        <w:t>order on the ground that the company’s</w:t>
      </w:r>
    </w:p>
    <w:p>
      <w:pPr>
        <w:ind w:left="4000"/>
        <w:spacing w:after="0" w:line="235" w:lineRule="auto"/>
        <w:rPr>
          <w:sz w:val="20"/>
          <w:szCs w:val="20"/>
          <w:color w:val="auto"/>
        </w:rPr>
      </w:pPr>
      <w:r>
        <w:rPr>
          <w:rFonts w:ascii="Arial" w:cs="Arial" w:eastAsia="Arial" w:hAnsi="Arial"/>
          <w:sz w:val="18"/>
          <w:szCs w:val="18"/>
          <w:color w:val="auto"/>
        </w:rPr>
        <w:t>affairs have been or are being conducted in a</w:t>
      </w:r>
    </w:p>
    <w:p>
      <w:pPr>
        <w:ind w:left="4000"/>
        <w:spacing w:after="0"/>
        <w:rPr>
          <w:sz w:val="20"/>
          <w:szCs w:val="20"/>
          <w:color w:val="auto"/>
        </w:rPr>
      </w:pPr>
      <w:r>
        <w:rPr>
          <w:rFonts w:ascii="Arial" w:cs="Arial" w:eastAsia="Arial" w:hAnsi="Arial"/>
          <w:sz w:val="18"/>
          <w:szCs w:val="18"/>
          <w:color w:val="auto"/>
        </w:rPr>
        <w:t>manner that is unfairly prejudicial</w:t>
      </w:r>
    </w:p>
    <w:p>
      <w:pPr>
        <w:spacing w:after="0" w:line="200" w:lineRule="exact"/>
        <w:rPr>
          <w:sz w:val="20"/>
          <w:szCs w:val="20"/>
          <w:color w:val="auto"/>
        </w:rPr>
      </w:pP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1602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10" w:right="20"/>
        <w:spacing w:after="0" w:line="236" w:lineRule="auto"/>
        <w:rPr>
          <w:sz w:val="20"/>
          <w:szCs w:val="20"/>
          <w:color w:val="auto"/>
        </w:rPr>
      </w:pPr>
      <w:r>
        <w:rPr>
          <w:rFonts w:ascii="Arial" w:cs="Arial" w:eastAsia="Arial" w:hAnsi="Arial"/>
          <w:sz w:val="18"/>
          <w:szCs w:val="18"/>
          <w:color w:val="auto"/>
        </w:rPr>
        <w:t>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08" w:lineRule="exact"/>
        <w:rPr>
          <w:sz w:val="20"/>
          <w:szCs w:val="20"/>
          <w:color w:val="auto"/>
        </w:rPr>
      </w:pPr>
    </w:p>
    <w:p>
      <w:pPr>
        <w:ind w:left="10"/>
        <w:spacing w:after="0" w:line="237" w:lineRule="auto"/>
        <w:rPr>
          <w:sz w:val="20"/>
          <w:szCs w:val="20"/>
          <w:color w:val="auto"/>
        </w:rPr>
      </w:pPr>
      <w:r>
        <w:rPr>
          <w:rFonts w:ascii="Arial" w:cs="Arial" w:eastAsia="Arial" w:hAnsi="Arial"/>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108" w:lineRule="exact"/>
        <w:rPr>
          <w:sz w:val="20"/>
          <w:szCs w:val="20"/>
          <w:color w:val="auto"/>
        </w:rPr>
      </w:pPr>
    </w:p>
    <w:p>
      <w:pPr>
        <w:ind w:left="10" w:right="220"/>
        <w:spacing w:after="0" w:line="238"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108" w:lineRule="exact"/>
        <w:rPr>
          <w:sz w:val="20"/>
          <w:szCs w:val="20"/>
          <w:color w:val="auto"/>
        </w:rPr>
      </w:pPr>
    </w:p>
    <w:p>
      <w:pPr>
        <w:ind w:left="350" w:right="60" w:hanging="350"/>
        <w:spacing w:after="0" w:line="237" w:lineRule="auto"/>
        <w:tabs>
          <w:tab w:leader="none" w:pos="352" w:val="left"/>
        </w:tabs>
        <w:numPr>
          <w:ilvl w:val="0"/>
          <w:numId w:val="32"/>
        </w:numPr>
        <w:rPr>
          <w:rFonts w:ascii="MS PGothic" w:cs="MS PGothic" w:eastAsia="MS PGothic" w:hAnsi="MS PGothic"/>
          <w:sz w:val="13"/>
          <w:szCs w:val="13"/>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110" w:lineRule="exact"/>
        <w:rPr>
          <w:rFonts w:ascii="MS PGothic" w:cs="MS PGothic" w:eastAsia="MS PGothic" w:hAnsi="MS PGothic"/>
          <w:sz w:val="13"/>
          <w:szCs w:val="13"/>
          <w:color w:val="auto"/>
        </w:rPr>
      </w:pPr>
    </w:p>
    <w:p>
      <w:pPr>
        <w:ind w:left="350" w:right="180" w:hanging="350"/>
        <w:spacing w:after="0" w:line="237" w:lineRule="auto"/>
        <w:tabs>
          <w:tab w:leader="none" w:pos="352" w:val="left"/>
        </w:tabs>
        <w:numPr>
          <w:ilvl w:val="0"/>
          <w:numId w:val="32"/>
        </w:numPr>
        <w:rPr>
          <w:rFonts w:ascii="MS PGothic" w:cs="MS PGothic" w:eastAsia="MS PGothic" w:hAnsi="MS PGothic"/>
          <w:sz w:val="13"/>
          <w:szCs w:val="13"/>
          <w:color w:val="auto"/>
        </w:rPr>
      </w:pPr>
      <w:r>
        <w:rPr>
          <w:rFonts w:ascii="Arial" w:cs="Arial" w:eastAsia="Arial" w:hAnsi="Arial"/>
          <w:sz w:val="18"/>
          <w:szCs w:val="18"/>
          <w:color w:val="auto"/>
        </w:rPr>
        <w:t>allege with particularity the efforts made by the plaintiff to obtain the action the plaintiff desires from the directors and the reasons for the plaintiff’s failure to obtain the action; or</w:t>
      </w:r>
    </w:p>
    <w:p>
      <w:pPr>
        <w:sectPr>
          <w:pgSz w:w="11900" w:h="16838" w:orient="portrait"/>
          <w:cols w:equalWidth="0" w:num="2">
            <w:col w:w="7620" w:space="110"/>
            <w:col w:w="3390"/>
          </w:cols>
          <w:pgMar w:left="320" w:top="459" w:right="459" w:bottom="1440" w:gutter="0" w:footer="0" w:header="0"/>
          <w:type w:val="continuous"/>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960"/>
          </w:cols>
          <w:pgMar w:left="320" w:top="459" w:right="619" w:bottom="1440" w:gutter="0" w:footer="0" w:header="0"/>
        </w:sectPr>
      </w:pPr>
    </w:p>
    <w:p>
      <w:pPr>
        <w:spacing w:after="0" w:line="334"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17780</wp:posOffset>
            </wp:positionV>
            <wp:extent cx="23056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to the interests of its shareholders generally</w:t>
      </w:r>
    </w:p>
    <w:p>
      <w:pPr>
        <w:ind w:left="4000"/>
        <w:spacing w:after="0" w:line="234" w:lineRule="auto"/>
        <w:rPr>
          <w:sz w:val="20"/>
          <w:szCs w:val="20"/>
          <w:color w:val="auto"/>
        </w:rPr>
      </w:pPr>
      <w:r>
        <w:rPr>
          <w:rFonts w:ascii="Arial" w:cs="Arial" w:eastAsia="Arial" w:hAnsi="Arial"/>
          <w:sz w:val="18"/>
          <w:szCs w:val="18"/>
          <w:color w:val="auto"/>
        </w:rPr>
        <w:t>or of some of its shareholders, or that an</w:t>
      </w:r>
    </w:p>
    <w:p>
      <w:pPr>
        <w:ind w:left="4000"/>
        <w:spacing w:after="0" w:line="235" w:lineRule="auto"/>
        <w:rPr>
          <w:sz w:val="20"/>
          <w:szCs w:val="20"/>
          <w:color w:val="auto"/>
        </w:rPr>
      </w:pPr>
      <w:r>
        <w:rPr>
          <w:rFonts w:ascii="Arial" w:cs="Arial" w:eastAsia="Arial" w:hAnsi="Arial"/>
          <w:sz w:val="18"/>
          <w:szCs w:val="18"/>
          <w:color w:val="auto"/>
        </w:rPr>
        <w:t>actual or proposed act or omission of the</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company is or would be so prejudicial.</w:t>
      </w:r>
    </w:p>
    <w:p>
      <w:pPr>
        <w:spacing w:after="0" w:line="11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U.K. Limitation Act 1980 imposes a</w:t>
      </w:r>
    </w:p>
    <w:p>
      <w:pPr>
        <w:ind w:left="4000"/>
        <w:spacing w:after="0" w:line="234" w:lineRule="auto"/>
        <w:rPr>
          <w:sz w:val="20"/>
          <w:szCs w:val="20"/>
          <w:color w:val="auto"/>
        </w:rPr>
      </w:pPr>
      <w:r>
        <w:rPr>
          <w:rFonts w:ascii="Arial" w:cs="Arial" w:eastAsia="Arial" w:hAnsi="Arial"/>
          <w:sz w:val="18"/>
          <w:szCs w:val="18"/>
          <w:color w:val="auto"/>
        </w:rPr>
        <w:t>limitation period, with certain exceptions, in</w:t>
      </w:r>
    </w:p>
    <w:p>
      <w:pPr>
        <w:ind w:left="4000"/>
        <w:spacing w:after="0" w:line="235" w:lineRule="auto"/>
        <w:rPr>
          <w:sz w:val="20"/>
          <w:szCs w:val="20"/>
          <w:color w:val="auto"/>
        </w:rPr>
      </w:pPr>
      <w:r>
        <w:rPr>
          <w:rFonts w:ascii="Arial" w:cs="Arial" w:eastAsia="Arial" w:hAnsi="Arial"/>
          <w:sz w:val="18"/>
          <w:szCs w:val="18"/>
          <w:color w:val="auto"/>
        </w:rPr>
        <w:t>respect of civil claims. The period is six years</w:t>
      </w:r>
    </w:p>
    <w:p>
      <w:pPr>
        <w:ind w:left="4000"/>
        <w:spacing w:after="0" w:line="235" w:lineRule="auto"/>
        <w:rPr>
          <w:sz w:val="20"/>
          <w:szCs w:val="20"/>
          <w:color w:val="auto"/>
        </w:rPr>
      </w:pPr>
      <w:r>
        <w:rPr>
          <w:rFonts w:ascii="Arial" w:cs="Arial" w:eastAsia="Arial" w:hAnsi="Arial"/>
          <w:sz w:val="18"/>
          <w:szCs w:val="18"/>
          <w:color w:val="auto"/>
        </w:rPr>
        <w:t>in respect of actions in contract and tort, and</w:t>
      </w:r>
    </w:p>
    <w:p>
      <w:pPr>
        <w:ind w:left="4000"/>
        <w:spacing w:after="0" w:line="235" w:lineRule="auto"/>
        <w:rPr>
          <w:sz w:val="20"/>
          <w:szCs w:val="20"/>
          <w:color w:val="auto"/>
        </w:rPr>
      </w:pPr>
      <w:r>
        <w:rPr>
          <w:rFonts w:ascii="Arial" w:cs="Arial" w:eastAsia="Arial" w:hAnsi="Arial"/>
          <w:sz w:val="18"/>
          <w:szCs w:val="18"/>
          <w:color w:val="auto"/>
        </w:rPr>
        <w:t>12 years for “actions on a specialty,” such as</w:t>
      </w:r>
    </w:p>
    <w:p>
      <w:pPr>
        <w:ind w:left="4000"/>
        <w:spacing w:after="0" w:line="235" w:lineRule="auto"/>
        <w:rPr>
          <w:sz w:val="20"/>
          <w:szCs w:val="20"/>
          <w:color w:val="auto"/>
        </w:rPr>
      </w:pPr>
      <w:r>
        <w:rPr>
          <w:rFonts w:ascii="Arial" w:cs="Arial" w:eastAsia="Arial" w:hAnsi="Arial"/>
          <w:sz w:val="18"/>
          <w:szCs w:val="18"/>
          <w:color w:val="auto"/>
        </w:rPr>
        <w:t>a breach of any obligation contained in a</w:t>
      </w:r>
    </w:p>
    <w:p>
      <w:pPr>
        <w:ind w:left="4000"/>
        <w:spacing w:after="0"/>
        <w:rPr>
          <w:sz w:val="20"/>
          <w:szCs w:val="20"/>
          <w:color w:val="auto"/>
        </w:rPr>
      </w:pPr>
      <w:r>
        <w:rPr>
          <w:rFonts w:ascii="Arial" w:cs="Arial" w:eastAsia="Arial" w:hAnsi="Arial"/>
          <w:sz w:val="17"/>
          <w:szCs w:val="17"/>
          <w:color w:val="auto"/>
        </w:rPr>
        <w:t>deed. The limitation period begins to run from</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date on which the action accrued. In the</w:t>
      </w:r>
    </w:p>
    <w:p>
      <w:pPr>
        <w:ind w:left="4000"/>
        <w:spacing w:after="0" w:line="234" w:lineRule="auto"/>
        <w:rPr>
          <w:sz w:val="20"/>
          <w:szCs w:val="20"/>
          <w:color w:val="auto"/>
        </w:rPr>
      </w:pPr>
      <w:r>
        <w:rPr>
          <w:rFonts w:ascii="Arial" w:cs="Arial" w:eastAsia="Arial" w:hAnsi="Arial"/>
          <w:sz w:val="18"/>
          <w:szCs w:val="18"/>
          <w:color w:val="auto"/>
        </w:rPr>
        <w:t>case of contract, this is the date on which the</w:t>
      </w:r>
    </w:p>
    <w:p>
      <w:pPr>
        <w:ind w:left="4000"/>
        <w:spacing w:after="0" w:line="235" w:lineRule="auto"/>
        <w:rPr>
          <w:sz w:val="20"/>
          <w:szCs w:val="20"/>
          <w:color w:val="auto"/>
        </w:rPr>
      </w:pPr>
      <w:r>
        <w:rPr>
          <w:rFonts w:ascii="Arial" w:cs="Arial" w:eastAsia="Arial" w:hAnsi="Arial"/>
          <w:sz w:val="18"/>
          <w:szCs w:val="18"/>
          <w:color w:val="auto"/>
        </w:rPr>
        <w:t>breach of contract occurred, and in tort this is</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date on which the damage is suffered.</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39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1602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50" w:hanging="350"/>
        <w:spacing w:after="0" w:line="246" w:lineRule="auto"/>
        <w:tabs>
          <w:tab w:leader="none" w:pos="352" w:val="left"/>
        </w:tabs>
        <w:numPr>
          <w:ilvl w:val="0"/>
          <w:numId w:val="33"/>
        </w:numPr>
        <w:rPr>
          <w:rFonts w:ascii="MS PGothic" w:cs="MS PGothic" w:eastAsia="MS PGothic" w:hAnsi="MS PGothic"/>
          <w:sz w:val="13"/>
          <w:szCs w:val="13"/>
          <w:color w:val="auto"/>
        </w:rPr>
      </w:pPr>
      <w:r>
        <w:rPr>
          <w:rFonts w:ascii="Arial" w:cs="Arial" w:eastAsia="Arial" w:hAnsi="Arial"/>
          <w:sz w:val="18"/>
          <w:szCs w:val="18"/>
          <w:color w:val="auto"/>
        </w:rPr>
        <w:t>state the reasons for not making the effort.</w:t>
      </w:r>
    </w:p>
    <w:p>
      <w:pPr>
        <w:spacing w:after="0" w:line="102" w:lineRule="exact"/>
        <w:rPr>
          <w:sz w:val="20"/>
          <w:szCs w:val="20"/>
          <w:color w:val="auto"/>
        </w:rPr>
      </w:pPr>
    </w:p>
    <w:p>
      <w:pPr>
        <w:ind w:left="10" w:right="140"/>
        <w:spacing w:after="0" w:line="237"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7620" w:space="110"/>
            <w:col w:w="3230"/>
          </w:cols>
          <w:pgMar w:left="320" w:top="459" w:right="61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26"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Citibank, N.A.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E14 5LB, United Kingdom.</w:t>
      </w:r>
    </w:p>
    <w:p>
      <w:pPr>
        <w:spacing w:after="0" w:line="202"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We have appointed Citibank as depositary pursuant to a deposit agreement. A copy of the form of the deposit agreement is on file with the SEC under cover of a registration statement on Form F-6. A copy of the deposit agreement is available from the SEC’s website (www.sec.gov). Please refer to registration number 333-223890 when retrieving such copy. “Holder” means the person or persons in whose name an ADS is registered on the register maintained by the depository for such purpose.</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202"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Each ADS represents the right to receive, and to exercise the beneficial ownership interests in, five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21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None of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6"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Holders generally have the right to receive the distributions we make on the securities deposited with the custodian. A Holder’s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spacing w:after="0" w:line="246" w:lineRule="auto"/>
        <w:rPr>
          <w:sz w:val="20"/>
          <w:szCs w:val="20"/>
          <w:color w:val="auto"/>
        </w:rPr>
      </w:pPr>
      <w:r>
        <w:rPr>
          <w:rFonts w:ascii="Arial" w:cs="Arial" w:eastAsia="Arial" w:hAnsi="Arial"/>
          <w:sz w:val="18"/>
          <w:szCs w:val="18"/>
          <w:color w:val="auto"/>
        </w:rPr>
        <w:t>the depositary will arrange for the funds received in a currency other than U.S. dollars to be converted into U.S. dollars and for the distribution of the U.S. dollars to the holders, subject to the laws and regulations of England and Wales.</w:t>
      </w:r>
    </w:p>
    <w:p>
      <w:pPr>
        <w:spacing w:after="0" w:line="197"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a Holder holds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2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85" w:lineRule="exact"/>
        <w:rPr>
          <w:sz w:val="20"/>
          <w:szCs w:val="20"/>
          <w:color w:val="auto"/>
        </w:rPr>
      </w:pPr>
    </w:p>
    <w:p>
      <w:pPr>
        <w:ind w:left="120" w:right="160" w:firstLine="440"/>
        <w:spacing w:after="0" w:line="250"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26"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Whenever we intend to distribute rights to subscribe for additional ordinary shares, we will give prior notice to the depositary and we will assist the depositary in determining whether it is lawful and reasonably practicable to distribute rights to purchase additional ADSs to holders.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Holders may have to pay fees, expenses, taxes and other governmental charges to subscribe for the new ADSs upon the exercise of a Holder’s rights. The depositary is not obligated to establish procedures to facilitate the distribution and exercise by holders of rights to subscribe for new ordinary shares other than in the form of ADSs.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320" w:top="459" w:right="5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a Holder if:</w:t>
      </w:r>
    </w:p>
    <w:p>
      <w:pPr>
        <w:spacing w:after="0" w:line="257" w:lineRule="exact"/>
        <w:rPr>
          <w:sz w:val="20"/>
          <w:szCs w:val="20"/>
          <w:color w:val="auto"/>
        </w:rPr>
      </w:pPr>
    </w:p>
    <w:p>
      <w:pPr>
        <w:ind w:left="980" w:right="360" w:hanging="432"/>
        <w:spacing w:after="0" w:line="218"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timely request that the rights be distributed to such Holder or we request that the rights not be distributed to such Holder; or</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fail to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not reasonably practicable to distribute the rights.</w:t>
      </w:r>
    </w:p>
    <w:p>
      <w:pPr>
        <w:spacing w:after="0" w:line="20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2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a Holder. In such case, we will assist the depositary in determining whether such distribution is lawful and reasonably practicable.</w:t>
      </w:r>
    </w:p>
    <w:p>
      <w:pPr>
        <w:spacing w:after="0" w:line="203"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The depositary will make the election available to a Holder only if it is reasonably practicable and if we have provided all of the documentation contemplated in the deposit agreement. In such case, the depositary will establish procedures to enable such Holder to elect to receive either cash or additional ADSs, in each case as described in the deposit agreement.</w:t>
      </w:r>
    </w:p>
    <w:p>
      <w:pPr>
        <w:spacing w:after="0" w:line="203" w:lineRule="exact"/>
        <w:rPr>
          <w:sz w:val="20"/>
          <w:szCs w:val="20"/>
          <w:color w:val="auto"/>
        </w:rPr>
      </w:pPr>
    </w:p>
    <w:p>
      <w:pPr>
        <w:ind w:left="120" w:right="500" w:firstLine="440"/>
        <w:spacing w:after="0" w:line="274" w:lineRule="auto"/>
        <w:rPr>
          <w:sz w:val="20"/>
          <w:szCs w:val="20"/>
          <w:color w:val="auto"/>
        </w:rPr>
      </w:pPr>
      <w:r>
        <w:rPr>
          <w:rFonts w:ascii="Arial" w:cs="Arial" w:eastAsia="Arial" w:hAnsi="Arial"/>
          <w:sz w:val="17"/>
          <w:szCs w:val="17"/>
          <w:color w:val="auto"/>
        </w:rPr>
        <w:t>If the election is not made available to a Holder, such Holder will receive either cash or additional ADSs, depending on what a shareholder in England and Wales would receive upon failing to make an election, as more fully described in the deposit agreement.</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26"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a Holder. If so, we will assist the depositary in determining whether such distribution to holders is lawful and reasonably practicable.</w:t>
      </w:r>
    </w:p>
    <w:p>
      <w:pPr>
        <w:spacing w:after="0" w:line="203" w:lineRule="exact"/>
        <w:rPr>
          <w:sz w:val="20"/>
          <w:szCs w:val="20"/>
          <w:color w:val="auto"/>
        </w:rPr>
      </w:pPr>
    </w:p>
    <w:p>
      <w:pPr>
        <w:ind w:left="120" w:right="500" w:firstLine="440"/>
        <w:spacing w:after="0" w:line="274" w:lineRule="auto"/>
        <w:rPr>
          <w:sz w:val="20"/>
          <w:szCs w:val="20"/>
          <w:color w:val="auto"/>
        </w:rPr>
      </w:pPr>
      <w:r>
        <w:rPr>
          <w:rFonts w:ascii="Arial" w:cs="Arial" w:eastAsia="Arial" w:hAnsi="Arial"/>
          <w:sz w:val="17"/>
          <w:szCs w:val="17"/>
          <w:color w:val="auto"/>
        </w:rPr>
        <w:t>If it is reasonably practicable to distribute such property to a Holder and if we provide to the depositary all of the documentation contemplated in the deposit agreement, the depositary will distribute the property to the holders in a manner it deems practicable.</w:t>
      </w:r>
    </w:p>
    <w:p>
      <w:pPr>
        <w:spacing w:after="0" w:line="175"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a Holder and will sell the property if:</w:t>
      </w:r>
    </w:p>
    <w:p>
      <w:pPr>
        <w:spacing w:after="0" w:line="257" w:lineRule="exact"/>
        <w:rPr>
          <w:sz w:val="20"/>
          <w:szCs w:val="20"/>
          <w:color w:val="auto"/>
        </w:rPr>
      </w:pPr>
    </w:p>
    <w:p>
      <w:pPr>
        <w:ind w:left="980" w:right="300" w:hanging="432"/>
        <w:spacing w:after="0" w:line="218"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request that the property be distributed to such Holder or if we request that the property not be distributed to such Holder; or</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determines that all or a portion of the distribution to such Holder is not reasonably practicable.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proceeds of such a sale will be distributed to holders as in the case of a cash distribution.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A Holder may have to pay fees, expenses, taxes, and other governmental charges upon the redemption of such Holder’s ADSs. If less than all ADSs are being redeemed, the ADSs to be retired will be selected by lot or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the depositary may determine.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126"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The ordinary shares held on deposit for a Holder’s ADSs may change from time to time. For example, there may be a change in nominal (or par) value, split-up, cancellation, consolidation, or any other reclassification of such ordinary shares or a recapitalization, reorganization, merger, consolidation, or sale of assets of ours.</w:t>
      </w:r>
    </w:p>
    <w:p>
      <w:pPr>
        <w:spacing w:after="0" w:line="20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If any such change were to occur, such Holder’s ADSs would, to the extent permitted by law and the deposit agreement, represent the right to receive the property received or exchanged in respect of the ordinary shares held on deposit. The depositary may in such circumstances deliver new ADSs to a Holder, amend the deposit agreement, the ADRs and the applicable registration statement(s) on Form F-6, call for the exchange of such Holder’s existing ADSs for new ADSs and take any other actions that are appropriate to reflect as to the ADSs the change affecting the Shares. If the depositary may not lawfully distribute such property to a Holder, the depositary may sell such property and distribute the net proceeds to such Holder as in the case of a cash distribution.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depositary may create ADSs on a Holder’s behalf if such Holder or such Holder’s broker deposit ordinary shares with the custodian. The depositary will deliver these ADSs to the person a Holder indicates only after such Holder pays any applicable issuance fees and any charges and taxes payable for the transfer of the ordinary shares to the custodian. A Holder’s ability to deposit ordinary shares and receive ADSs may be limited by the legal considerations in the United States and England and Wales applicable at the time of deposit.</w:t>
      </w:r>
    </w:p>
    <w:p>
      <w:pPr>
        <w:spacing w:after="0" w:line="202"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203"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When a Holder makes a deposit of ordinary shares, such Holder will be responsible for transferring good and valid title to the depositary. As such, a Holder will be deemed to represent and warrant that:</w:t>
      </w:r>
    </w:p>
    <w:p>
      <w:pPr>
        <w:spacing w:after="0" w:line="224" w:lineRule="exact"/>
        <w:rPr>
          <w:sz w:val="20"/>
          <w:szCs w:val="20"/>
          <w:color w:val="auto"/>
        </w:rPr>
      </w:pPr>
    </w:p>
    <w:p>
      <w:pPr>
        <w:ind w:left="980" w:right="160" w:hanging="432"/>
        <w:spacing w:after="0" w:line="218" w:lineRule="auto"/>
        <w:tabs>
          <w:tab w:leader="none" w:pos="9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are duly authorized, validly allotted and issued, fully paid, not subject to any call for the payment of further capital, and legally obtained;</w:t>
      </w:r>
    </w:p>
    <w:p>
      <w:pPr>
        <w:spacing w:after="0" w:line="27" w:lineRule="exact"/>
        <w:rPr>
          <w:rFonts w:ascii="MS PGothic" w:cs="MS PGothic" w:eastAsia="MS PGothic" w:hAnsi="MS PGothic"/>
          <w:sz w:val="25"/>
          <w:szCs w:val="25"/>
          <w:color w:val="auto"/>
          <w:vertAlign w:val="superscript"/>
        </w:rPr>
      </w:pPr>
    </w:p>
    <w:p>
      <w:pPr>
        <w:ind w:left="980" w:right="760" w:hanging="432"/>
        <w:spacing w:after="0" w:line="218" w:lineRule="auto"/>
        <w:tabs>
          <w:tab w:leader="none" w:pos="9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pre-emptive (and similar) rights, if any, with respect to such ordinary shares have been validly waived, disapplied or exercised;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such Holder is duly authorized to deposit the ordinary shares;</w:t>
      </w:r>
    </w:p>
    <w:p>
      <w:pPr>
        <w:spacing w:after="0" w:line="26" w:lineRule="exact"/>
        <w:rPr>
          <w:rFonts w:ascii="MS PGothic" w:cs="MS PGothic" w:eastAsia="MS PGothic" w:hAnsi="MS PGothic"/>
          <w:sz w:val="25"/>
          <w:szCs w:val="25"/>
          <w:color w:val="auto"/>
          <w:vertAlign w:val="superscript"/>
        </w:rPr>
      </w:pPr>
    </w:p>
    <w:p>
      <w:pPr>
        <w:ind w:left="980" w:right="200" w:hanging="432"/>
        <w:spacing w:after="0" w:line="223" w:lineRule="auto"/>
        <w:tabs>
          <w:tab w:leader="none" w:pos="9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have not been stripped of any rights or entitlements.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If any of the representations or warranties is incorrect in any way, we and the depositary may, at such Holder’s cost and expense, take any and all actions necessary to correct the consequences of the misrepresentation.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ADR holders will be entitled to transfer, combine, or split up such Holder’s ADRs and the ADSs evidenced thereby. For transfers of</w:t>
      </w:r>
    </w:p>
    <w:p>
      <w:pPr>
        <w:ind w:left="120"/>
        <w:spacing w:after="0"/>
        <w:rPr>
          <w:sz w:val="20"/>
          <w:szCs w:val="20"/>
          <w:color w:val="auto"/>
        </w:rPr>
      </w:pPr>
      <w:r>
        <w:rPr>
          <w:rFonts w:ascii="Arial" w:cs="Arial" w:eastAsia="Arial" w:hAnsi="Arial"/>
          <w:sz w:val="18"/>
          <w:szCs w:val="18"/>
          <w:color w:val="auto"/>
        </w:rPr>
        <w:t>ADRs, a Holder will have to surrender the ADRs to be transferred to the depositary and also must:</w:t>
      </w:r>
    </w:p>
    <w:p>
      <w:pPr>
        <w:spacing w:after="0" w:line="202" w:lineRule="exact"/>
        <w:rPr>
          <w:sz w:val="20"/>
          <w:szCs w:val="20"/>
          <w:color w:val="auto"/>
        </w:rPr>
      </w:pPr>
    </w:p>
    <w:p>
      <w:pPr>
        <w:ind w:left="980" w:hanging="432"/>
        <w:spacing w:after="0"/>
        <w:tabs>
          <w:tab w:leader="none" w:pos="9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26" w:lineRule="exact"/>
        <w:rPr>
          <w:rFonts w:ascii="MS PGothic" w:cs="MS PGothic" w:eastAsia="MS PGothic" w:hAnsi="MS PGothic"/>
          <w:sz w:val="25"/>
          <w:szCs w:val="25"/>
          <w:color w:val="auto"/>
          <w:vertAlign w:val="superscript"/>
        </w:rPr>
      </w:pPr>
    </w:p>
    <w:p>
      <w:pPr>
        <w:ind w:left="980" w:right="440" w:hanging="432"/>
        <w:spacing w:after="0" w:line="218" w:lineRule="auto"/>
        <w:tabs>
          <w:tab w:leader="none" w:pos="9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3"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To have a Holder’s ADRs either combined or split up, such Holder must surrender the ADRs in question to the depositary with such Holder’s request to have them combined or split up, and such Holder must pay all applicable fees, charges, and expenses payable by ADR holders, pursuant to the terms of the deposit agreement, upon a combination or split up of ADRs.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 Holder will be entitled to present such Holder’s ADSs to the depositary for cancellation and then receive the corresponding number of underlying ordinary shares at the custodian’s offices. A Holder’s ability to withdraw the ordinary shares held in respect of the ADSs may be limited by the legal considerations in the United States and England and Wales applicable at the time of withdrawal. In order to withdraw the ordinary shares represented by a Holder’s ADSs, such Holder will be required to pay to the depositary the fees for cancellation of ADSs and any charges and taxes payable upon the transfer of the ordinary shares.</w:t>
      </w:r>
    </w:p>
    <w:p>
      <w:pPr>
        <w:spacing w:after="0" w:line="20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A Holder assumes the risk for delivery of all funds and securities upon withdrawal. Once canceled, the ADSs will not have any rights under the deposit agreement.</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If a Holder holds ADSs registered in such Holder’s name, the depositary may ask such Holder to provide proof of identity and genuineness of any signature and such other documents as the depositary may deem appropriate before it will cancel such Holder’s ADSs. The withdrawal of the ordinary shares represented by such Holder’s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will have the right to withdraw the securities represented by their ADSs at any time except for:</w:t>
      </w:r>
    </w:p>
    <w:p>
      <w:pPr>
        <w:spacing w:after="0" w:line="239" w:lineRule="exact"/>
        <w:rPr>
          <w:sz w:val="20"/>
          <w:szCs w:val="20"/>
          <w:color w:val="auto"/>
        </w:rPr>
      </w:pPr>
    </w:p>
    <w:p>
      <w:pPr>
        <w:ind w:left="980" w:right="440" w:hanging="432"/>
        <w:spacing w:after="0" w:line="218"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Obligations to pay fees, taxes and similar charges.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imposed because of laws or regulations applicable to ADSs or the withdrawal of securities on deposit.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The deposit agreement may not be modified to impair a Holder’s right to withdraw the securities represented by such Holder’s ADSs except to comply with mandatory provisions of law.</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6"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Holders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Association—Articles of Association” in this prospectus.</w:t>
      </w:r>
    </w:p>
    <w:p>
      <w:pPr>
        <w:spacing w:after="0" w:line="203" w:lineRule="exact"/>
        <w:rPr>
          <w:sz w:val="20"/>
          <w:szCs w:val="20"/>
          <w:color w:val="auto"/>
        </w:rPr>
      </w:pPr>
    </w:p>
    <w:p>
      <w:pPr>
        <w:ind w:left="120" w:right="920" w:firstLine="440"/>
        <w:spacing w:after="0" w:line="246" w:lineRule="auto"/>
        <w:rPr>
          <w:sz w:val="20"/>
          <w:szCs w:val="20"/>
          <w:color w:val="auto"/>
        </w:rPr>
      </w:pPr>
      <w:r>
        <w:rPr>
          <w:rFonts w:ascii="Arial" w:cs="Arial" w:eastAsia="Arial" w:hAnsi="Arial"/>
          <w:sz w:val="18"/>
          <w:szCs w:val="18"/>
          <w:color w:val="auto"/>
        </w:rPr>
        <w:t>At our request, the depositary will distribute to Holders any notice of shareholders’ meeting received from us together with information explaining how to instruct the depositary to exercise the voting rights of the securities represented by ADSs.</w:t>
      </w:r>
    </w:p>
    <w:p>
      <w:pPr>
        <w:spacing w:after="0" w:line="197"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as follows:</w:t>
      </w:r>
    </w:p>
    <w:p>
      <w:pPr>
        <w:spacing w:after="0" w:line="206" w:lineRule="exact"/>
        <w:rPr>
          <w:sz w:val="20"/>
          <w:szCs w:val="20"/>
          <w:color w:val="auto"/>
        </w:rPr>
      </w:pPr>
    </w:p>
    <w:p>
      <w:pPr>
        <w:ind w:left="980" w:right="140" w:hanging="432"/>
        <w:spacing w:after="0" w:line="230"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held on deposit at</w:t>
      </w:r>
      <w:r>
        <w:rPr>
          <w:rFonts w:ascii="Arial" w:cs="Arial" w:eastAsia="Arial" w:hAnsi="Arial"/>
          <w:sz w:val="18"/>
          <w:szCs w:val="18"/>
          <w:i w:val="1"/>
          <w:iCs w:val="1"/>
          <w:color w:val="auto"/>
        </w:rPr>
        <w:t xml:space="preserve"> </w:t>
      </w:r>
      <w:r>
        <w:rPr>
          <w:rFonts w:ascii="Arial" w:cs="Arial" w:eastAsia="Arial" w:hAnsi="Arial"/>
          <w:sz w:val="18"/>
          <w:szCs w:val="18"/>
          <w:color w:val="auto"/>
        </w:rPr>
        <w:t>that time in accordance with the voting instructions received from a majority of Holders of ADSs who provide timely voting instructions.</w:t>
      </w:r>
    </w:p>
    <w:p>
      <w:pPr>
        <w:spacing w:after="0" w:line="8" w:lineRule="exact"/>
        <w:rPr>
          <w:rFonts w:ascii="MS PGothic" w:cs="MS PGothic" w:eastAsia="MS PGothic" w:hAnsi="MS PGothic"/>
          <w:sz w:val="25"/>
          <w:szCs w:val="25"/>
          <w:color w:val="auto"/>
          <w:vertAlign w:val="superscript"/>
        </w:rPr>
      </w:pPr>
    </w:p>
    <w:p>
      <w:pPr>
        <w:ind w:left="980" w:right="220" w:hanging="432"/>
        <w:spacing w:after="0" w:line="231"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ADSs. The depositary will give a discretionary proxy to a person designated by us to vote any ordinary shares held on deposit for which voting instructions were not received from the Holders of ADSs, unless we inform the depositary that (a) we do not wish such proxy to be given, (b) substantial opposition exists, or (c) the rights of Holders of ADSs may be adversely affected.</w:t>
      </w:r>
    </w:p>
    <w:p>
      <w:pPr>
        <w:spacing w:after="0" w:line="20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Holders that they will receive voting materials in time to enable such Holders to return voting instructions to the depositary in a timely manner.</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auto"/>
        </w:rPr>
        <w:t>Fees and Charges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will be required to pay the following fees under the terms of the deposit agreement:</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c>
          <w:tcPr>
            <w:tcW w:w="120" w:type="dxa"/>
            <w:vAlign w:val="bottom"/>
          </w:tcPr>
          <w:p>
            <w:pPr>
              <w:spacing w:after="0"/>
              <w:rPr>
                <w:sz w:val="15"/>
                <w:szCs w:val="15"/>
                <w:color w:val="auto"/>
              </w:rPr>
            </w:pPr>
          </w:p>
        </w:tc>
        <w:tc>
          <w:tcPr>
            <w:tcW w:w="5180" w:type="dxa"/>
            <w:vAlign w:val="bottom"/>
          </w:tcPr>
          <w:p>
            <w:pPr>
              <w:ind w:left="2420"/>
              <w:spacing w:after="0"/>
              <w:rPr>
                <w:sz w:val="20"/>
                <w:szCs w:val="20"/>
                <w:color w:val="auto"/>
              </w:rPr>
            </w:pPr>
            <w:r>
              <w:rPr>
                <w:rFonts w:ascii="Arial" w:cs="Arial" w:eastAsia="Arial" w:hAnsi="Arial"/>
                <w:sz w:val="14"/>
                <w:szCs w:val="14"/>
                <w:b w:val="1"/>
                <w:bCs w:val="1"/>
                <w:color w:val="auto"/>
              </w:rPr>
              <w:t>Fees</w:t>
            </w:r>
          </w:p>
        </w:tc>
      </w:tr>
      <w:tr>
        <w:trPr>
          <w:trHeight w:val="20"/>
        </w:trPr>
        <w:tc>
          <w:tcPr>
            <w:tcW w:w="50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175"/>
        </w:trPr>
        <w:tc>
          <w:tcPr>
            <w:tcW w:w="5720" w:type="dxa"/>
            <w:vAlign w:val="bottom"/>
            <w:gridSpan w:val="2"/>
          </w:tcPr>
          <w:p>
            <w:pPr>
              <w:spacing w:after="0" w:line="176" w:lineRule="exact"/>
              <w:rPr>
                <w:sz w:val="20"/>
                <w:szCs w:val="20"/>
                <w:color w:val="auto"/>
              </w:rPr>
            </w:pPr>
            <w:r>
              <w:rPr>
                <w:rFonts w:ascii="Arial" w:cs="Arial" w:eastAsia="Arial" w:hAnsi="Arial"/>
                <w:sz w:val="18"/>
                <w:szCs w:val="18"/>
                <w:color w:val="auto"/>
              </w:rPr>
              <w:t>Issuance of ADSs (e.g., an issuance of ADS upon a deposit of</w:t>
            </w:r>
          </w:p>
        </w:tc>
        <w:tc>
          <w:tcPr>
            <w:tcW w:w="120" w:type="dxa"/>
            <w:vAlign w:val="bottom"/>
          </w:tcPr>
          <w:p>
            <w:pPr>
              <w:spacing w:after="0"/>
              <w:rPr>
                <w:sz w:val="15"/>
                <w:szCs w:val="15"/>
                <w:color w:val="auto"/>
              </w:rPr>
            </w:pPr>
          </w:p>
        </w:tc>
        <w:tc>
          <w:tcPr>
            <w:tcW w:w="5180" w:type="dxa"/>
            <w:vAlign w:val="bottom"/>
          </w:tcPr>
          <w:p>
            <w:pPr>
              <w:spacing w:after="0" w:line="176" w:lineRule="exact"/>
              <w:rPr>
                <w:sz w:val="20"/>
                <w:szCs w:val="20"/>
                <w:color w:val="auto"/>
              </w:rPr>
            </w:pPr>
            <w:r>
              <w:rPr>
                <w:rFonts w:ascii="Arial" w:cs="Arial" w:eastAsia="Arial" w:hAnsi="Arial"/>
                <w:sz w:val="18"/>
                <w:szCs w:val="18"/>
                <w:color w:val="auto"/>
              </w:rPr>
              <w:t>Up to U.S. 5¢ per ADS issued</w:t>
            </w: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ordinary shares, upon a change in the ADS(s)-to-ordinary share ratio,</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or for any other reason), excluding ADS issuances as a result of</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distributions of ordinary shares)</w:t>
            </w: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404"/>
        </w:trPr>
        <w:tc>
          <w:tcPr>
            <w:tcW w:w="5720" w:type="dxa"/>
            <w:vAlign w:val="bottom"/>
            <w:gridSpan w:val="2"/>
          </w:tcPr>
          <w:p>
            <w:pPr>
              <w:spacing w:after="0"/>
              <w:rPr>
                <w:sz w:val="20"/>
                <w:szCs w:val="20"/>
                <w:color w:val="auto"/>
              </w:rPr>
            </w:pPr>
            <w:r>
              <w:rPr>
                <w:rFonts w:ascii="Arial" w:cs="Arial" w:eastAsia="Arial" w:hAnsi="Arial"/>
                <w:sz w:val="18"/>
                <w:szCs w:val="18"/>
                <w:color w:val="auto"/>
              </w:rPr>
              <w:t>Cancellation of ADSs (e.g., a cancellation of ADSs for delivery of</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cancelled</w:t>
            </w: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deposited property, upon a change in the ADS(s)-to-ordinary share</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ratio, or for any other reason)</w:t>
            </w: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404"/>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 of cash dividends or other cash distributions (e.g., upon a</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held</w:t>
            </w: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sale of rights and other entitlements)</w:t>
            </w: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351"/>
        </w:trPr>
        <w:tc>
          <w:tcPr>
            <w:tcW w:w="5720" w:type="dxa"/>
            <w:vAlign w:val="bottom"/>
            <w:gridSpan w:val="2"/>
          </w:tcPr>
          <w:p>
            <w:pPr>
              <w:ind w:left="54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Service</w:t>
            </w:r>
          </w:p>
        </w:tc>
        <w:tc>
          <w:tcPr>
            <w:tcW w:w="140" w:type="dxa"/>
            <w:vAlign w:val="bottom"/>
          </w:tcPr>
          <w:p>
            <w:pPr>
              <w:spacing w:after="0"/>
              <w:rPr>
                <w:sz w:val="15"/>
                <w:szCs w:val="15"/>
                <w:color w:val="auto"/>
              </w:rPr>
            </w:pPr>
          </w:p>
        </w:tc>
        <w:tc>
          <w:tcPr>
            <w:tcW w:w="518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Fees</w:t>
            </w:r>
          </w:p>
        </w:tc>
      </w:tr>
      <w:tr>
        <w:trPr>
          <w:trHeight w:val="296"/>
        </w:trPr>
        <w:tc>
          <w:tcPr>
            <w:tcW w:w="5700" w:type="dxa"/>
            <w:vAlign w:val="bottom"/>
            <w:gridSpan w:val="2"/>
          </w:tcPr>
          <w:p>
            <w:pPr>
              <w:spacing w:after="0"/>
              <w:rPr>
                <w:sz w:val="20"/>
                <w:szCs w:val="20"/>
                <w:color w:val="auto"/>
              </w:rPr>
            </w:pPr>
            <w:r>
              <w:rPr>
                <w:rFonts w:ascii="Arial" w:cs="Arial" w:eastAsia="Arial" w:hAnsi="Arial"/>
                <w:sz w:val="18"/>
                <w:szCs w:val="18"/>
                <w:color w:val="auto"/>
              </w:rPr>
              <w:t>Distribution of ADSs pursuant to (i) stock dividends or other free stock</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w:t>
            </w:r>
          </w:p>
        </w:tc>
      </w:tr>
      <w:tr>
        <w:trPr>
          <w:trHeight w:val="217"/>
        </w:trPr>
        <w:tc>
          <w:tcPr>
            <w:tcW w:w="5700" w:type="dxa"/>
            <w:vAlign w:val="bottom"/>
            <w:gridSpan w:val="2"/>
          </w:tcPr>
          <w:p>
            <w:pPr>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404"/>
        </w:trPr>
        <w:tc>
          <w:tcPr>
            <w:tcW w:w="5700" w:type="dxa"/>
            <w:vAlign w:val="bottom"/>
            <w:gridSpan w:val="2"/>
          </w:tcPr>
          <w:p>
            <w:pPr>
              <w:spacing w:after="0"/>
              <w:rPr>
                <w:sz w:val="20"/>
                <w:szCs w:val="20"/>
                <w:color w:val="auto"/>
              </w:rPr>
            </w:pPr>
            <w:r>
              <w:rPr>
                <w:rFonts w:ascii="Arial" w:cs="Arial" w:eastAsia="Arial" w:hAnsi="Arial"/>
                <w:sz w:val="18"/>
                <w:szCs w:val="18"/>
                <w:color w:val="auto"/>
              </w:rPr>
              <w:t>Distribution of securities other than ADSs or rights to purchase</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w:t>
            </w:r>
          </w:p>
        </w:tc>
      </w:tr>
      <w:tr>
        <w:trPr>
          <w:trHeight w:val="217"/>
        </w:trPr>
        <w:tc>
          <w:tcPr>
            <w:tcW w:w="5700" w:type="dxa"/>
            <w:vAlign w:val="bottom"/>
            <w:gridSpan w:val="2"/>
          </w:tcPr>
          <w:p>
            <w:pPr>
              <w:spacing w:after="0"/>
              <w:rPr>
                <w:sz w:val="20"/>
                <w:szCs w:val="20"/>
                <w:color w:val="auto"/>
              </w:rPr>
            </w:pPr>
            <w:r>
              <w:rPr>
                <w:rFonts w:ascii="Arial" w:cs="Arial" w:eastAsia="Arial" w:hAnsi="Arial"/>
                <w:sz w:val="18"/>
                <w:szCs w:val="18"/>
                <w:color w:val="auto"/>
              </w:rPr>
              <w:t>additional ADSs (e.g., upon a spin-off)</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404"/>
        </w:trPr>
        <w:tc>
          <w:tcPr>
            <w:tcW w:w="5700" w:type="dxa"/>
            <w:vAlign w:val="bottom"/>
            <w:gridSpan w:val="2"/>
          </w:tcPr>
          <w:p>
            <w:pPr>
              <w:spacing w:after="0"/>
              <w:rPr>
                <w:sz w:val="20"/>
                <w:szCs w:val="20"/>
                <w:color w:val="auto"/>
              </w:rPr>
            </w:pPr>
            <w:r>
              <w:rPr>
                <w:rFonts w:ascii="Arial" w:cs="Arial" w:eastAsia="Arial" w:hAnsi="Arial"/>
                <w:sz w:val="18"/>
                <w:szCs w:val="18"/>
                <w:color w:val="auto"/>
              </w:rPr>
              <w:t>ADS Services</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 on the applicable record date(s)</w:t>
            </w:r>
          </w:p>
        </w:tc>
      </w:tr>
      <w:tr>
        <w:trPr>
          <w:trHeight w:val="217"/>
        </w:trPr>
        <w:tc>
          <w:tcPr>
            <w:tcW w:w="5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established by the depositary bank</w:t>
            </w:r>
          </w:p>
        </w:tc>
      </w:tr>
      <w:tr>
        <w:trPr>
          <w:trHeight w:val="404"/>
        </w:trPr>
        <w:tc>
          <w:tcPr>
            <w:tcW w:w="5700" w:type="dxa"/>
            <w:vAlign w:val="bottom"/>
            <w:gridSpan w:val="2"/>
          </w:tcPr>
          <w:p>
            <w:pPr>
              <w:spacing w:after="0"/>
              <w:rPr>
                <w:sz w:val="20"/>
                <w:szCs w:val="20"/>
                <w:color w:val="auto"/>
              </w:rPr>
            </w:pPr>
            <w:r>
              <w:rPr>
                <w:rFonts w:ascii="Arial" w:cs="Arial" w:eastAsia="Arial" w:hAnsi="Arial"/>
                <w:sz w:val="18"/>
                <w:szCs w:val="18"/>
                <w:color w:val="auto"/>
              </w:rPr>
              <w:t>Registration of ADS transfers (e.g., upon a registration of the transfer</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(or fraction thereof) transferred</w:t>
            </w:r>
          </w:p>
        </w:tc>
      </w:tr>
      <w:tr>
        <w:trPr>
          <w:trHeight w:val="184"/>
        </w:trPr>
        <w:tc>
          <w:tcPr>
            <w:tcW w:w="5700" w:type="dxa"/>
            <w:vAlign w:val="bottom"/>
            <w:gridSpan w:val="2"/>
          </w:tcPr>
          <w:p>
            <w:pPr>
              <w:spacing w:after="0" w:line="184" w:lineRule="exact"/>
              <w:rPr>
                <w:sz w:val="20"/>
                <w:szCs w:val="20"/>
                <w:color w:val="auto"/>
              </w:rPr>
            </w:pPr>
            <w:r>
              <w:rPr>
                <w:rFonts w:ascii="Arial" w:cs="Arial" w:eastAsia="Arial" w:hAnsi="Arial"/>
                <w:sz w:val="18"/>
                <w:szCs w:val="18"/>
                <w:color w:val="auto"/>
              </w:rPr>
              <w:t>of registered ownership of ADSs, upon a transfer of ADSs into DTC</w:t>
            </w:r>
          </w:p>
        </w:tc>
        <w:tc>
          <w:tcPr>
            <w:tcW w:w="140" w:type="dxa"/>
            <w:vAlign w:val="bottom"/>
          </w:tcPr>
          <w:p>
            <w:pPr>
              <w:spacing w:after="0"/>
              <w:rPr>
                <w:sz w:val="16"/>
                <w:szCs w:val="16"/>
                <w:color w:val="auto"/>
              </w:rPr>
            </w:pPr>
          </w:p>
        </w:tc>
        <w:tc>
          <w:tcPr>
            <w:tcW w:w="5180" w:type="dxa"/>
            <w:vAlign w:val="bottom"/>
          </w:tcPr>
          <w:p>
            <w:pPr>
              <w:spacing w:after="0"/>
              <w:rPr>
                <w:sz w:val="16"/>
                <w:szCs w:val="16"/>
                <w:color w:val="auto"/>
              </w:rPr>
            </w:pPr>
          </w:p>
        </w:tc>
      </w:tr>
      <w:tr>
        <w:trPr>
          <w:trHeight w:val="235"/>
        </w:trPr>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04"/>
        </w:trPr>
        <w:tc>
          <w:tcPr>
            <w:tcW w:w="5700" w:type="dxa"/>
            <w:vAlign w:val="bottom"/>
            <w:gridSpan w:val="2"/>
          </w:tcPr>
          <w:p>
            <w:pPr>
              <w:spacing w:after="0"/>
              <w:rPr>
                <w:sz w:val="20"/>
                <w:szCs w:val="20"/>
                <w:color w:val="auto"/>
              </w:rPr>
            </w:pPr>
            <w:r>
              <w:rPr>
                <w:rFonts w:ascii="Arial" w:cs="Arial" w:eastAsia="Arial" w:hAnsi="Arial"/>
                <w:sz w:val="18"/>
                <w:szCs w:val="18"/>
                <w:color w:val="auto"/>
              </w:rPr>
              <w:t>Conversion of ADSs of one series for ADSs of another series (e.g.,</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(or fraction thereof) converted</w:t>
            </w:r>
          </w:p>
        </w:tc>
      </w:tr>
      <w:tr>
        <w:trPr>
          <w:trHeight w:val="203"/>
        </w:trPr>
        <w:tc>
          <w:tcPr>
            <w:tcW w:w="5700" w:type="dxa"/>
            <w:vAlign w:val="bottom"/>
            <w:gridSpan w:val="2"/>
          </w:tcPr>
          <w:p>
            <w:pPr>
              <w:spacing w:after="0" w:line="202" w:lineRule="exact"/>
              <w:rPr>
                <w:sz w:val="20"/>
                <w:szCs w:val="20"/>
                <w:color w:val="auto"/>
              </w:rPr>
            </w:pPr>
            <w:r>
              <w:rPr>
                <w:rFonts w:ascii="Arial" w:cs="Arial" w:eastAsia="Arial" w:hAnsi="Arial"/>
                <w:sz w:val="18"/>
                <w:szCs w:val="18"/>
                <w:color w:val="auto"/>
              </w:rPr>
              <w:t>upon conversion of Partial Entitlement ADSs for Full Entitlement</w:t>
            </w:r>
          </w:p>
        </w:tc>
        <w:tc>
          <w:tcPr>
            <w:tcW w:w="14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184"/>
        </w:trPr>
        <w:tc>
          <w:tcPr>
            <w:tcW w:w="5700" w:type="dxa"/>
            <w:vAlign w:val="bottom"/>
            <w:gridSpan w:val="2"/>
          </w:tcPr>
          <w:p>
            <w:pPr>
              <w:spacing w:after="0" w:line="184" w:lineRule="exact"/>
              <w:rPr>
                <w:sz w:val="20"/>
                <w:szCs w:val="20"/>
                <w:color w:val="auto"/>
              </w:rPr>
            </w:pPr>
            <w:r>
              <w:rPr>
                <w:rFonts w:ascii="Arial" w:cs="Arial" w:eastAsia="Arial" w:hAnsi="Arial"/>
                <w:sz w:val="18"/>
                <w:szCs w:val="18"/>
                <w:color w:val="auto"/>
              </w:rPr>
              <w:t>ADSs, or upon conversion of Restricted ADSs (each as defined in the</w:t>
            </w:r>
          </w:p>
        </w:tc>
        <w:tc>
          <w:tcPr>
            <w:tcW w:w="140" w:type="dxa"/>
            <w:vAlign w:val="bottom"/>
          </w:tcPr>
          <w:p>
            <w:pPr>
              <w:spacing w:after="0"/>
              <w:rPr>
                <w:sz w:val="16"/>
                <w:szCs w:val="16"/>
                <w:color w:val="auto"/>
              </w:rPr>
            </w:pPr>
          </w:p>
        </w:tc>
        <w:tc>
          <w:tcPr>
            <w:tcW w:w="5180" w:type="dxa"/>
            <w:vAlign w:val="bottom"/>
          </w:tcPr>
          <w:p>
            <w:pPr>
              <w:spacing w:after="0"/>
              <w:rPr>
                <w:sz w:val="16"/>
                <w:szCs w:val="16"/>
                <w:color w:val="auto"/>
              </w:rPr>
            </w:pPr>
          </w:p>
        </w:tc>
      </w:tr>
      <w:tr>
        <w:trPr>
          <w:trHeight w:val="235"/>
        </w:trPr>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Deposit Agreement) into freely transferable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will also be responsible to pay certain charges such as:</w:t>
      </w:r>
    </w:p>
    <w:p>
      <w:pPr>
        <w:spacing w:after="0" w:line="202" w:lineRule="exact"/>
        <w:rPr>
          <w:sz w:val="20"/>
          <w:szCs w:val="20"/>
          <w:color w:val="auto"/>
        </w:rPr>
      </w:pPr>
    </w:p>
    <w:p>
      <w:pPr>
        <w:ind w:left="980" w:hanging="432"/>
        <w:spacing w:after="0"/>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26" w:lineRule="exact"/>
        <w:rPr>
          <w:rFonts w:ascii="MS PGothic" w:cs="MS PGothic" w:eastAsia="MS PGothic" w:hAnsi="MS PGothic"/>
          <w:sz w:val="25"/>
          <w:szCs w:val="25"/>
          <w:color w:val="auto"/>
          <w:vertAlign w:val="superscript"/>
        </w:rPr>
      </w:pPr>
    </w:p>
    <w:p>
      <w:pPr>
        <w:jc w:val="both"/>
        <w:ind w:left="980" w:right="580" w:hanging="432"/>
        <w:spacing w:after="0" w:line="223" w:lineRule="auto"/>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cable, telex, and facsimile transmission and delivery expenses;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26"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27"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20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08"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Holders may be required to pay may vary over time and may be changed by us and by the depositary. ADS Holders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w:t>
      </w:r>
    </w:p>
    <w:p>
      <w:pPr>
        <w:spacing w:after="0" w:line="126"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We may agree with the depositary to modify the deposit agreement at any time without Holders’ consent. We undertake to give Holders 30 days’ prior notice of any modifications that would materially prejudice any of their substantial rights under the deposit agreement. We will not consider to be materially prejudicial to holders’ substantial rights any modifications or supplements that are reasonably necessary for the ADSs to be registered under the Securities Act or to be eligible for book-entry settlement, in each case without imposing or increasing the fees and charges Holders are required to pay. In addition, we may not be able to provide holders with prior notice of any modifications or supplements that are required to accommodate compliance with applicable provisions of law.</w:t>
      </w:r>
    </w:p>
    <w:p>
      <w:pPr>
        <w:spacing w:after="0" w:line="205"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Holders will be bound by the modifications to the deposit agreement if they continue to hold their ADSs after the modifications to the deposit agreement become effective. The deposit agreement cannot be amended to prevent Holders from withdrawing the ordinary shares represented by holders’ ADSs (except as permitted by law).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6" w:lineRule="exact"/>
        <w:rPr>
          <w:sz w:val="20"/>
          <w:szCs w:val="20"/>
          <w:color w:val="auto"/>
        </w:rPr>
      </w:pPr>
    </w:p>
    <w:p>
      <w:pPr>
        <w:jc w:val="both"/>
        <w:ind w:left="120" w:right="60" w:firstLine="440"/>
        <w:spacing w:after="0"/>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Holders’ rights under the deposit agreement will be unaffected.</w:t>
      </w:r>
    </w:p>
    <w:p>
      <w:pPr>
        <w:spacing w:after="0" w:line="203"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holders request the cancellation of their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of ADSs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26"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The depositary will maintain ADS holder records at its depositary office. Holders may inspect such records at such office during regular business hours but solely for the purpose of communicating with other holders in the interest of business matters relating to the ADSs and the deposit agreement.</w:t>
      </w:r>
    </w:p>
    <w:p>
      <w:pPr>
        <w:spacing w:after="0" w:line="203"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 agreement limits our obligations and the depositary’s obligations to Holders. Please note the following:</w:t>
      </w:r>
    </w:p>
    <w:p>
      <w:pPr>
        <w:spacing w:after="0" w:line="239" w:lineRule="exact"/>
        <w:rPr>
          <w:sz w:val="20"/>
          <w:szCs w:val="20"/>
          <w:color w:val="auto"/>
        </w:rPr>
      </w:pPr>
    </w:p>
    <w:p>
      <w:pPr>
        <w:ind w:left="980" w:right="120" w:hanging="432"/>
        <w:spacing w:after="0" w:line="218"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27"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27" w:lineRule="exact"/>
        <w:rPr>
          <w:rFonts w:ascii="MS PGothic" w:cs="MS PGothic" w:eastAsia="MS PGothic" w:hAnsi="MS PGothic"/>
          <w:sz w:val="25"/>
          <w:szCs w:val="25"/>
          <w:color w:val="auto"/>
          <w:vertAlign w:val="superscript"/>
        </w:rPr>
      </w:pPr>
    </w:p>
    <w:p>
      <w:pPr>
        <w:ind w:left="980" w:right="40" w:hanging="432"/>
        <w:spacing w:after="0" w:line="227"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holders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4"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26" w:lineRule="exact"/>
        <w:rPr>
          <w:rFonts w:ascii="MS PGothic" w:cs="MS PGothic" w:eastAsia="MS PGothic" w:hAnsi="MS PGothic"/>
          <w:sz w:val="25"/>
          <w:szCs w:val="25"/>
          <w:color w:val="auto"/>
          <w:vertAlign w:val="superscript"/>
        </w:rPr>
      </w:pPr>
    </w:p>
    <w:p>
      <w:pPr>
        <w:ind w:left="980" w:right="220" w:hanging="432"/>
        <w:spacing w:after="0" w:line="227"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30"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23"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432"/>
        <w:spacing w:after="0" w:line="223"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holders.</w:t>
      </w:r>
    </w:p>
    <w:p>
      <w:pPr>
        <w:spacing w:after="0" w:line="28" w:lineRule="exact"/>
        <w:rPr>
          <w:rFonts w:ascii="MS PGothic" w:cs="MS PGothic" w:eastAsia="MS PGothic" w:hAnsi="MS PGothic"/>
          <w:sz w:val="25"/>
          <w:szCs w:val="25"/>
          <w:color w:val="auto"/>
          <w:vertAlign w:val="superscript"/>
        </w:rPr>
      </w:pPr>
    </w:p>
    <w:p>
      <w:pPr>
        <w:ind w:left="980" w:right="120" w:hanging="432"/>
        <w:spacing w:after="0" w:line="218"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27" w:lineRule="exact"/>
        <w:rPr>
          <w:rFonts w:ascii="MS PGothic" w:cs="MS PGothic" w:eastAsia="MS PGothic" w:hAnsi="MS PGothic"/>
          <w:sz w:val="25"/>
          <w:szCs w:val="25"/>
          <w:color w:val="auto"/>
          <w:vertAlign w:val="superscript"/>
        </w:rPr>
      </w:pPr>
    </w:p>
    <w:p>
      <w:pPr>
        <w:ind w:left="980" w:right="560" w:hanging="432"/>
        <w:spacing w:after="0" w:line="218"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gives rise to a partnership or joint venture, or establishes a fiduciary relationship, among Mereo, the depositary and ADS holders.</w:t>
      </w:r>
    </w:p>
    <w:p>
      <w:pPr>
        <w:spacing w:after="0" w:line="27" w:lineRule="exact"/>
        <w:rPr>
          <w:rFonts w:ascii="MS PGothic" w:cs="MS PGothic" w:eastAsia="MS PGothic" w:hAnsi="MS PGothic"/>
          <w:sz w:val="25"/>
          <w:szCs w:val="25"/>
          <w:color w:val="auto"/>
          <w:vertAlign w:val="superscript"/>
        </w:rPr>
      </w:pPr>
    </w:p>
    <w:p>
      <w:pPr>
        <w:ind w:left="980" w:right="120" w:hanging="432"/>
        <w:spacing w:after="0" w:line="226"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precludes Citibank (or its affiliates) from engaging in transactions in which parties adverse to Mereo or the ADS owners have interests, and nothing in the deposit agreement obligates Citibank to disclose those transactions, or any information obtained in the course of those transactions, to Mereo or to the ADS owners, or to account for any payment received as part of those transactions.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Holders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Holders will be liable for any deficiency if the sale proceeds do not cover the taxes that are due.</w:t>
      </w:r>
    </w:p>
    <w:p>
      <w:pPr>
        <w:spacing w:after="0" w:line="205"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holders may be required to provide to the depositary and to the custodian proof of taxpayer status and residence and such other information as the depositary and the custodian may require to fulfill legal obligations. Holders are required to indemnify us, the depositary and the custodian for any claims with respect to taxes based on any tax benefit obtained for such holders.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26"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Holders may have to pay fees and expenses incurred in converting foreign currency, such as fees and expenses incurred in complying with currency exchange controls and other governmental requirements.</w:t>
      </w:r>
    </w:p>
    <w:p>
      <w:pPr>
        <w:spacing w:after="0" w:line="205" w:lineRule="exact"/>
        <w:rPr>
          <w:sz w:val="20"/>
          <w:szCs w:val="20"/>
          <w:color w:val="auto"/>
        </w:rPr>
      </w:pPr>
    </w:p>
    <w:p>
      <w:pPr>
        <w:ind w:left="120" w:right="880" w:firstLine="440"/>
        <w:spacing w:after="0" w:line="246"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224" w:lineRule="exact"/>
        <w:rPr>
          <w:sz w:val="20"/>
          <w:szCs w:val="20"/>
          <w:color w:val="auto"/>
        </w:rPr>
      </w:pPr>
    </w:p>
    <w:p>
      <w:pPr>
        <w:ind w:left="980" w:right="620" w:hanging="432"/>
        <w:spacing w:after="0" w:line="218" w:lineRule="auto"/>
        <w:tabs>
          <w:tab w:leader="none" w:pos="98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26"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9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7"/>
          <w:szCs w:val="17"/>
          <w:color w:val="auto"/>
        </w:rPr>
        <w:t>AS A PARTY TO THE DEPOSIT AGREEMENT, YOU IRREVOCABLY WAIVE, TO THE FULLEST EXTENT PERMITTED BY APPLICABLE LAW, ANY AND ALL RIGHT TO TRIAL BY JURY IN ANY LEGAL PROCEEDING AGAINST US AND/OR THE DEPOSITARY ARISING OUT OF, OR RELATING TO, THE DEPOSIT AGREEMENT, ANY ADR AND ANY TRANSACTIONS CONTEMPLATED IN THE DEPOSIT AGREEMENT (WHETHER BASED ON CONTRACT, TORT, COMMON LAW OR OTHERWISE).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320" w:top="459" w:right="5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ADSs in one or more of the following ways (or in any combination) from time to time:</w:t>
      </w:r>
    </w:p>
    <w:p>
      <w:pPr>
        <w:spacing w:after="0" w:line="202" w:lineRule="exact"/>
        <w:rPr>
          <w:sz w:val="20"/>
          <w:szCs w:val="20"/>
          <w:color w:val="auto"/>
        </w:rPr>
      </w:pPr>
    </w:p>
    <w:p>
      <w:pPr>
        <w:ind w:left="980" w:hanging="432"/>
        <w:spacing w:after="0"/>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underwriters or dealers;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directly to a limited number of purchasers or to a single purchaser;</w:t>
      </w:r>
    </w:p>
    <w:p>
      <w:pPr>
        <w:spacing w:after="0" w:line="26" w:lineRule="exact"/>
        <w:rPr>
          <w:rFonts w:ascii="MS PGothic" w:cs="MS PGothic" w:eastAsia="MS PGothic" w:hAnsi="MS PGothic"/>
          <w:sz w:val="25"/>
          <w:szCs w:val="25"/>
          <w:color w:val="auto"/>
          <w:vertAlign w:val="superscript"/>
        </w:rPr>
      </w:pPr>
    </w:p>
    <w:p>
      <w:pPr>
        <w:ind w:left="980" w:right="140" w:hanging="432"/>
        <w:spacing w:after="0" w:line="218"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“at-the-market” offerings, within the meaning of Rule 415(a)(4) of the Securities Act, to or through a market maker or into an existing trading market on an exchange or otherwise;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agents;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any other method permitted by applicable law and described in the applicable prospectus supplement.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will state the terms of the offering of the ADSs, including:</w:t>
      </w:r>
    </w:p>
    <w:p>
      <w:pPr>
        <w:spacing w:after="0" w:line="202" w:lineRule="exact"/>
        <w:rPr>
          <w:sz w:val="20"/>
          <w:szCs w:val="20"/>
          <w:color w:val="auto"/>
        </w:rPr>
      </w:pPr>
    </w:p>
    <w:p>
      <w:pPr>
        <w:ind w:left="980" w:hanging="432"/>
        <w:spacing w:after="0"/>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or names of any underwriters, dealers or agents;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purchase price of such securities and the proceeds to be received by us, if any;</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underwriting discounts or agency fees and other items constituting underwriters’ or agents’ compensation;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initial public offering price;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discounts or concessions allowed or reallowed or paid to dealers;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securities exchanges on which the securities may be listed.</w:t>
      </w:r>
    </w:p>
    <w:p>
      <w:pPr>
        <w:spacing w:after="0" w:line="202"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Any initial public offering price and any discounts or concessions allowed or reallowed or paid to dealers may be changed from time to time.</w:t>
      </w:r>
    </w:p>
    <w:p>
      <w:pPr>
        <w:spacing w:after="0" w:line="197"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If underwriters are used in the sale, the ADSs will be acquired by the underwriters for their own account and may be resold from time to time in one or more transactions, including:</w:t>
      </w:r>
    </w:p>
    <w:p>
      <w:pPr>
        <w:spacing w:after="0" w:line="188" w:lineRule="exact"/>
        <w:rPr>
          <w:sz w:val="20"/>
          <w:szCs w:val="20"/>
          <w:color w:val="auto"/>
        </w:rPr>
      </w:pPr>
    </w:p>
    <w:p>
      <w:pPr>
        <w:ind w:left="980" w:hanging="432"/>
        <w:spacing w:after="0"/>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negotiated transactions;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a fixed public offering price or prices, which may be changed;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market prices prevailing at the time of sale;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prices related to prevailing market prices;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negotiated prices.</w:t>
      </w:r>
    </w:p>
    <w:p>
      <w:pPr>
        <w:spacing w:after="0" w:line="202"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ADSs will be conditioned on customary closing conditions and the underwriters will be obligated to purchase all of such ADSs, if any are purchased.</w:t>
      </w:r>
    </w:p>
    <w:p>
      <w:pPr>
        <w:spacing w:after="0" w:line="197"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The ADSs may be sold through agents from time to time. The prospectus supplement will name any agent involved in the offer or sale of the ADSs and any commissions paid to them. Generally, any agent will be acting on a best efforts basis for the period of its appointment.</w:t>
      </w:r>
    </w:p>
    <w:p>
      <w:pPr>
        <w:spacing w:after="0" w:line="20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ADSs may be sold on a daily basis on any stock exchange, market or trading facility on which the ADSs are traded, in privately negotiated transactions or otherwise as agreed with the underwriters or agents. The distribution agreement will provide that any ADSs sold will be sold at negotiated prices or at prices related to the then prevailing market prices for our ADSs. Therefore, exact figures regarding</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ADSs. The terms of each such distribution agreement will be described in a prospectus supplement.</w:t>
      </w:r>
    </w:p>
    <w:p>
      <w:pPr>
        <w:spacing w:after="0" w:line="205"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ADSs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205"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203" w:lineRule="exact"/>
        <w:rPr>
          <w:sz w:val="20"/>
          <w:szCs w:val="20"/>
          <w:color w:val="auto"/>
        </w:rPr>
      </w:pPr>
    </w:p>
    <w:p>
      <w:pPr>
        <w:jc w:val="both"/>
        <w:ind w:left="120" w:right="520" w:firstLine="440"/>
        <w:spacing w:after="0"/>
        <w:rPr>
          <w:sz w:val="20"/>
          <w:szCs w:val="20"/>
          <w:color w:val="auto"/>
        </w:rPr>
      </w:pPr>
      <w:r>
        <w:rPr>
          <w:rFonts w:ascii="Arial" w:cs="Arial" w:eastAsia="Arial" w:hAnsi="Arial"/>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203"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Underwriters and agents may be customers of, engage in transactions with, or perform services for us and our affiliates in the ordinary course of business.</w:t>
      </w:r>
    </w:p>
    <w:p>
      <w:pPr>
        <w:spacing w:after="0" w:line="197"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Any underwriters to whom ADSs are sold for public offering and sale may make a market in the securities, but such underwriters will not be obligated to do so and may discontinue any market making at any time without notice.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9" w:right="5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Mayer Brown LLP has passed upon certain legal matters regarding the securities offered hereby. The validity of the ordinary shares underlying the ADSs to be offered pursuant to this prospectus will be passed upon for us by Mayer Brown International LLP.</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The consolidated financial statements of Mereo BioPharma Group plc appearing in Mereo BioPharma Group plc’s Annual Report (Form 20-F)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9" w:lineRule="exact"/>
        <w:rPr>
          <w:sz w:val="20"/>
          <w:szCs w:val="20"/>
          <w:color w:val="auto"/>
        </w:rPr>
      </w:pPr>
    </w:p>
    <w:p>
      <w:pPr>
        <w:jc w:val="center"/>
        <w:ind w:right="220"/>
        <w:spacing w:after="0" w:line="418" w:lineRule="auto"/>
        <w:rPr>
          <w:sz w:val="20"/>
          <w:szCs w:val="20"/>
          <w:color w:val="auto"/>
        </w:rPr>
      </w:pPr>
      <w:r>
        <w:rPr>
          <w:rFonts w:ascii="Arial" w:cs="Arial" w:eastAsia="Arial" w:hAnsi="Arial"/>
          <w:sz w:val="18"/>
          <w:szCs w:val="18"/>
          <w:color w:val="auto"/>
        </w:rPr>
        <w:t>The registered business address of Ernst &amp; Young LLP is Apex Plaza, Forbury Road, Reading, RG1 1YE, United Kingdom. 54</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4"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are incorporated and currently existing under the laws of England and Wales. In addition, most of our directors and officers reside outside of the United States and most of our assets are located outside of the United States. As a result, it may be difficult for investors to effect service of process in the United States on us or those persons or to enforce in the United States judgments obtained in United States courts against us or those persons based on the civil liability or other provisions of the United States securities laws or other laws.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39" w:lineRule="exact"/>
        <w:rPr>
          <w:sz w:val="20"/>
          <w:szCs w:val="20"/>
          <w:color w:val="auto"/>
        </w:rPr>
      </w:pPr>
    </w:p>
    <w:p>
      <w:pPr>
        <w:ind w:left="980" w:right="60" w:hanging="432"/>
        <w:spacing w:after="0" w:line="218"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27"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 final judgment for the payment of money rendered by any general or state court in the United States based on civil liability, whether or not predicated solely upon the United States securities laws, will not be automatically enforceable in England and Wales. Any final and conclusive monetary judgment for a definite sum obtained against us in United States courts will be treated by the courts of England and Wales as a cause of action in itself and sued upon as a debt at common law so that no retrial of the issues will be necessary, provided that:</w:t>
      </w:r>
    </w:p>
    <w:p>
      <w:pPr>
        <w:spacing w:after="0" w:line="230" w:lineRule="exact"/>
        <w:rPr>
          <w:sz w:val="20"/>
          <w:szCs w:val="20"/>
          <w:color w:val="auto"/>
        </w:rPr>
      </w:pPr>
    </w:p>
    <w:p>
      <w:pPr>
        <w:ind w:left="980" w:right="60" w:hanging="432"/>
        <w:spacing w:after="0" w:line="223"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initiated—in order to establish that, it would be necessary that we either submitted to the U.S. jurisdiction or were resident/present or carrying on business within the U.S. jurisdiction and were duly served with process;</w:t>
      </w:r>
    </w:p>
    <w:p>
      <w:pPr>
        <w:spacing w:after="0" w:line="28"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in the sense of being final and unalterable in the court that pronounced it and being for a definite sum of money and it is currently enforceable in the United States;</w:t>
      </w:r>
    </w:p>
    <w:p>
      <w:pPr>
        <w:spacing w:after="0" w:line="27" w:lineRule="exact"/>
        <w:rPr>
          <w:rFonts w:ascii="MS PGothic" w:cs="MS PGothic" w:eastAsia="MS PGothic" w:hAnsi="MS PGothic"/>
          <w:sz w:val="25"/>
          <w:szCs w:val="25"/>
          <w:color w:val="auto"/>
          <w:vertAlign w:val="superscript"/>
        </w:rPr>
      </w:pPr>
    </w:p>
    <w:p>
      <w:pPr>
        <w:ind w:left="980" w:right="68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26"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 or is otherwise unlawful under English law; and</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40" w:hanging="432"/>
        <w:spacing w:after="0" w:line="218" w:lineRule="auto"/>
        <w:tabs>
          <w:tab w:leader="none" w:pos="98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conflicting decision of an English court or the court of another jurisdiction whose judgment the English court recognizes on the issues in question between the same parties.</w:t>
      </w:r>
    </w:p>
    <w:p>
      <w:pPr>
        <w:spacing w:after="0" w:line="203"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English court making such decision.</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We maintain a corporate website at https://www.mereobiopharma.com. Information contained on, or that can be accessed through, our website does not constitute a part of this prospectus and our website address is included in this prospectus as an inactive textual reference only.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other documents which we have filed or will file with the SEC. We are incorporating by reference in this prospectus the documents listed below and all amendments or supplements we may file to such documents, as well as any future filings we may make with the SEC on Form 20-F under the Exchange Act before the time that all of the securities offered by this prospectus have been sold or de-registered:</w:t>
      </w:r>
    </w:p>
    <w:p>
      <w:pPr>
        <w:spacing w:after="0" w:line="193" w:lineRule="exact"/>
        <w:rPr>
          <w:sz w:val="20"/>
          <w:szCs w:val="20"/>
          <w:color w:val="auto"/>
        </w:rPr>
      </w:pPr>
    </w:p>
    <w:p>
      <w:pPr>
        <w:ind w:left="980" w:hanging="432"/>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9">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June 15, 2020;</w:t>
      </w:r>
    </w:p>
    <w:p>
      <w:pPr>
        <w:spacing w:after="0" w:line="26" w:lineRule="exact"/>
        <w:rPr>
          <w:rFonts w:ascii="Arial" w:cs="Arial" w:eastAsia="Arial" w:hAnsi="Arial"/>
          <w:sz w:val="18"/>
          <w:szCs w:val="18"/>
          <w:color w:val="auto"/>
        </w:rPr>
      </w:pPr>
    </w:p>
    <w:p>
      <w:pPr>
        <w:ind w:left="980" w:right="680" w:hanging="432"/>
        <w:spacing w:after="0" w:line="218"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Our reports on Form 6-K furnished to the SEC on </w:t>
      </w:r>
      <w:hyperlink r:id="rId40">
        <w:r>
          <w:rPr>
            <w:rFonts w:ascii="Arial" w:cs="Arial" w:eastAsia="Arial" w:hAnsi="Arial"/>
            <w:sz w:val="18"/>
            <w:szCs w:val="18"/>
            <w:u w:val="single" w:color="auto"/>
            <w:color w:val="0000EE"/>
          </w:rPr>
          <w:t>September 29, 2020</w:t>
        </w:r>
      </w:hyperlink>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EE"/>
          </w:rPr>
          <w:t>October 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2">
        <w:r>
          <w:rPr>
            <w:rFonts w:ascii="Arial" w:cs="Arial" w:eastAsia="Arial" w:hAnsi="Arial"/>
            <w:sz w:val="18"/>
            <w:szCs w:val="18"/>
            <w:u w:val="single" w:color="auto"/>
            <w:color w:val="0000EE"/>
          </w:rPr>
          <w:t>October 19,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that we incorporate by reference into this prospectus; and</w:t>
      </w:r>
    </w:p>
    <w:p>
      <w:pPr>
        <w:spacing w:after="0" w:line="27" w:lineRule="exact"/>
        <w:rPr>
          <w:rFonts w:ascii="Arial" w:cs="Arial" w:eastAsia="Arial" w:hAnsi="Arial"/>
          <w:sz w:val="18"/>
          <w:szCs w:val="18"/>
          <w:color w:val="auto"/>
        </w:rPr>
      </w:pPr>
    </w:p>
    <w:p>
      <w:pPr>
        <w:ind w:left="980" w:hanging="432"/>
        <w:spacing w:after="0" w:line="226"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in Item 1 of the Registration Statement on </w:t>
      </w:r>
      <w:hyperlink r:id="rId43">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 No. 001-38452, originally filed with the SEC on April 9, 2018 and subsequently amended on April 15, 2019, as updated by </w:t>
      </w:r>
      <w:hyperlink r:id="rId44">
        <w:r>
          <w:rPr>
            <w:rFonts w:ascii="Arial" w:cs="Arial" w:eastAsia="Arial" w:hAnsi="Arial"/>
            <w:sz w:val="18"/>
            <w:szCs w:val="18"/>
            <w:u w:val="single" w:color="auto"/>
            <w:color w:val="0000EE"/>
          </w:rPr>
          <w:t>Exhibit 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2019 Form 20-F, including the “Description of Ordinary Shares” and the “Description of American Depositary Shares” contained therein and any amendment or report filed for the purpose of further updating such descriptions.</w:t>
      </w:r>
    </w:p>
    <w:p>
      <w:pPr>
        <w:spacing w:after="0" w:line="203" w:lineRule="exact"/>
        <w:rPr>
          <w:rFonts w:ascii="MS PGothic" w:cs="MS PGothic" w:eastAsia="MS PGothic" w:hAnsi="MS PGothic"/>
          <w:sz w:val="25"/>
          <w:szCs w:val="25"/>
          <w:color w:val="auto"/>
          <w:vertAlign w:val="superscript"/>
        </w:rPr>
      </w:pPr>
    </w:p>
    <w:p>
      <w:pPr>
        <w:ind w:left="120" w:firstLine="440"/>
        <w:spacing w:after="0" w:line="237" w:lineRule="auto"/>
        <w:rPr>
          <w:sz w:val="20"/>
          <w:szCs w:val="20"/>
          <w:color w:val="auto"/>
        </w:rPr>
      </w:pPr>
      <w:r>
        <w:rPr>
          <w:rFonts w:ascii="Arial" w:cs="Arial" w:eastAsia="Arial" w:hAnsi="Arial"/>
          <w:sz w:val="18"/>
          <w:szCs w:val="18"/>
          <w:color w:val="auto"/>
        </w:rPr>
        <w:t>In addition, any reports on Form 6-K submitted to the SEC by us pursuant to the Exchange Act after the date of the initial registration statement and prior to effectiveness of the registration statement that we specifically identify in such forms as being incorporated by reference into the registration statement of which this prospectus forms a part and all subsequent annual reports on Form 20-F filed after the effective date of this registration statement and prior to the termination of this offering and any reports on Form 6-K subsequently submitted to the SEC or portions thereof that we specifically identify in such forms as being incorporated by reference into the registration statement of which this prospectus forms a part, shall be considered to be incorporated into this prospectus by reference and shall be considered a part of this prospectus from the date of filing or submission of such documents.</w:t>
      </w:r>
    </w:p>
    <w:p>
      <w:pPr>
        <w:spacing w:after="0" w:line="203" w:lineRule="exact"/>
        <w:rPr>
          <w:rFonts w:ascii="MS PGothic" w:cs="MS PGothic" w:eastAsia="MS PGothic" w:hAnsi="MS PGothic"/>
          <w:sz w:val="25"/>
          <w:szCs w:val="25"/>
          <w:color w:val="auto"/>
          <w:vertAlign w:val="superscript"/>
        </w:rPr>
      </w:pPr>
    </w:p>
    <w:p>
      <w:pPr>
        <w:ind w:left="120" w:right="80" w:firstLine="440"/>
        <w:spacing w:after="0" w:line="238" w:lineRule="auto"/>
        <w:rPr>
          <w:sz w:val="20"/>
          <w:szCs w:val="20"/>
          <w:color w:val="auto"/>
        </w:rPr>
      </w:pPr>
      <w:r>
        <w:rPr>
          <w:rFonts w:ascii="Arial" w:cs="Arial" w:eastAsia="Arial" w:hAnsi="Arial"/>
          <w:sz w:val="18"/>
          <w:szCs w:val="18"/>
          <w:color w:val="auto"/>
        </w:rPr>
        <w:t>As you read the above documents, you may find inconsistencies in information from one document to another. If you find inconsistencies between the documents and this prospectus, you should rely on the statements made in the most recent document. All information appearing in this prospectus is qualified in its entirety by the information and financial statements, including the notes thereto, contained in the documents incorporated by reference herein.</w:t>
      </w:r>
    </w:p>
    <w:p>
      <w:pPr>
        <w:spacing w:after="0" w:line="205" w:lineRule="exact"/>
        <w:rPr>
          <w:rFonts w:ascii="MS PGothic" w:cs="MS PGothic" w:eastAsia="MS PGothic" w:hAnsi="MS PGothic"/>
          <w:sz w:val="25"/>
          <w:szCs w:val="25"/>
          <w:color w:val="auto"/>
          <w:vertAlign w:val="superscript"/>
        </w:rPr>
      </w:pPr>
    </w:p>
    <w:p>
      <w:pPr>
        <w:ind w:left="120" w:right="260" w:firstLine="440"/>
        <w:spacing w:after="0" w:line="246" w:lineRule="auto"/>
        <w:rPr>
          <w:sz w:val="20"/>
          <w:szCs w:val="20"/>
          <w:color w:val="auto"/>
        </w:rPr>
      </w:pPr>
      <w:r>
        <w:rPr>
          <w:rFonts w:ascii="Arial" w:cs="Arial" w:eastAsia="Arial" w:hAnsi="Arial"/>
          <w:sz w:val="18"/>
          <w:szCs w:val="18"/>
          <w:color w:val="auto"/>
        </w:rPr>
        <w:t>We will provide to each person, including any beneficial owner, to whom this prospectus is delivered, a copy of these filings, at no cost, upon written or oral request to us at the following address:</w:t>
      </w:r>
    </w:p>
    <w:p>
      <w:pPr>
        <w:spacing w:after="0" w:line="84" w:lineRule="exact"/>
        <w:rPr>
          <w:rFonts w:ascii="MS PGothic" w:cs="MS PGothic" w:eastAsia="MS PGothic" w:hAnsi="MS PGothic"/>
          <w:sz w:val="25"/>
          <w:szCs w:val="25"/>
          <w:color w:val="auto"/>
          <w:vertAlign w:val="superscript"/>
        </w:rPr>
      </w:pPr>
    </w:p>
    <w:p>
      <w:pPr>
        <w:ind w:left="3980"/>
        <w:spacing w:after="0"/>
        <w:rPr>
          <w:sz w:val="20"/>
          <w:szCs w:val="20"/>
          <w:color w:val="auto"/>
        </w:rPr>
      </w:pPr>
      <w:r>
        <w:rPr>
          <w:rFonts w:ascii="Arial" w:cs="Arial" w:eastAsia="Arial" w:hAnsi="Arial"/>
          <w:sz w:val="18"/>
          <w:szCs w:val="18"/>
          <w:color w:val="auto"/>
        </w:rPr>
        <w:t>Mereo BioPharma Group plc</w:t>
      </w:r>
    </w:p>
    <w:p>
      <w:pPr>
        <w:ind w:left="3980"/>
        <w:spacing w:after="0" w:line="234" w:lineRule="auto"/>
        <w:rPr>
          <w:sz w:val="20"/>
          <w:szCs w:val="20"/>
          <w:color w:val="auto"/>
        </w:rPr>
      </w:pPr>
      <w:r>
        <w:rPr>
          <w:rFonts w:ascii="Arial" w:cs="Arial" w:eastAsia="Arial" w:hAnsi="Arial"/>
          <w:sz w:val="18"/>
          <w:szCs w:val="18"/>
          <w:color w:val="auto"/>
        </w:rPr>
        <w:t>1 Cavendish Place</w:t>
      </w:r>
    </w:p>
    <w:p>
      <w:pPr>
        <w:ind w:left="3980"/>
        <w:spacing w:after="0" w:line="235" w:lineRule="auto"/>
        <w:rPr>
          <w:sz w:val="20"/>
          <w:szCs w:val="20"/>
          <w:color w:val="auto"/>
        </w:rPr>
      </w:pPr>
      <w:r>
        <w:rPr>
          <w:rFonts w:ascii="Arial" w:cs="Arial" w:eastAsia="Arial" w:hAnsi="Arial"/>
          <w:sz w:val="18"/>
          <w:szCs w:val="18"/>
          <w:color w:val="auto"/>
        </w:rPr>
        <w:t>4th Floor</w:t>
      </w:r>
    </w:p>
    <w:p>
      <w:pPr>
        <w:ind w:left="3980"/>
        <w:spacing w:after="0" w:line="235" w:lineRule="auto"/>
        <w:rPr>
          <w:sz w:val="20"/>
          <w:szCs w:val="20"/>
          <w:color w:val="auto"/>
        </w:rPr>
      </w:pPr>
      <w:r>
        <w:rPr>
          <w:rFonts w:ascii="Arial" w:cs="Arial" w:eastAsia="Arial" w:hAnsi="Arial"/>
          <w:sz w:val="18"/>
          <w:szCs w:val="18"/>
          <w:color w:val="auto"/>
        </w:rPr>
        <w:t>London, W1G 0QF</w:t>
      </w:r>
    </w:p>
    <w:p>
      <w:pPr>
        <w:ind w:left="3980"/>
        <w:spacing w:after="0" w:line="235" w:lineRule="auto"/>
        <w:rPr>
          <w:sz w:val="20"/>
          <w:szCs w:val="20"/>
          <w:color w:val="auto"/>
        </w:rPr>
      </w:pPr>
      <w:r>
        <w:rPr>
          <w:rFonts w:ascii="Arial" w:cs="Arial" w:eastAsia="Arial" w:hAnsi="Arial"/>
          <w:sz w:val="18"/>
          <w:szCs w:val="18"/>
          <w:color w:val="auto"/>
        </w:rPr>
        <w:t>United Kingdom</w:t>
      </w:r>
    </w:p>
    <w:p>
      <w:pPr>
        <w:ind w:left="3980"/>
        <w:spacing w:after="0" w:line="235" w:lineRule="auto"/>
        <w:rPr>
          <w:sz w:val="20"/>
          <w:szCs w:val="20"/>
          <w:color w:val="auto"/>
        </w:rPr>
      </w:pPr>
      <w:r>
        <w:rPr>
          <w:rFonts w:ascii="Arial" w:cs="Arial" w:eastAsia="Arial" w:hAnsi="Arial"/>
          <w:sz w:val="18"/>
          <w:szCs w:val="18"/>
          <w:color w:val="auto"/>
        </w:rPr>
        <w:t>Tel: +44-333-023-7300</w:t>
      </w:r>
    </w:p>
    <w:p>
      <w:pPr>
        <w:ind w:left="3980"/>
        <w:spacing w:after="0"/>
        <w:rPr>
          <w:sz w:val="20"/>
          <w:szCs w:val="20"/>
          <w:color w:val="auto"/>
        </w:rPr>
      </w:pPr>
      <w:r>
        <w:rPr>
          <w:rFonts w:ascii="Arial" w:cs="Arial" w:eastAsia="Arial" w:hAnsi="Arial"/>
          <w:sz w:val="18"/>
          <w:szCs w:val="18"/>
          <w:color w:val="auto"/>
        </w:rPr>
        <w:t>Attention: Investor Relations</w:t>
      </w:r>
    </w:p>
    <w:p>
      <w:pPr>
        <w:spacing w:after="0" w:line="144" w:lineRule="exact"/>
        <w:rPr>
          <w:rFonts w:ascii="MS PGothic" w:cs="MS PGothic" w:eastAsia="MS PGothic" w:hAnsi="MS PGothic"/>
          <w:sz w:val="25"/>
          <w:szCs w:val="25"/>
          <w:color w:val="auto"/>
          <w:vertAlign w:val="superscript"/>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20"/>
        <w:spacing w:after="0"/>
        <w:rPr>
          <w:sz w:val="20"/>
          <w:szCs w:val="20"/>
          <w:color w:val="auto"/>
        </w:rPr>
      </w:pPr>
      <w:r>
        <w:rPr>
          <w:rFonts w:ascii="Arial" w:cs="Arial" w:eastAsia="Arial" w:hAnsi="Arial"/>
          <w:sz w:val="25"/>
          <w:szCs w:val="25"/>
          <w:b w:val="1"/>
          <w:bCs w:val="1"/>
          <w:color w:val="auto"/>
        </w:rPr>
        <w:t>$50,000,000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805180</wp:posOffset>
            </wp:positionV>
            <wp:extent cx="2468880" cy="900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246888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979"/>
        <w:spacing w:after="0"/>
        <w:rPr>
          <w:sz w:val="20"/>
          <w:szCs w:val="20"/>
          <w:color w:val="auto"/>
        </w:rPr>
      </w:pPr>
      <w:r>
        <w:rPr>
          <w:rFonts w:ascii="Arial" w:cs="Arial" w:eastAsia="Arial" w:hAnsi="Arial"/>
          <w:sz w:val="25"/>
          <w:szCs w:val="25"/>
          <w:b w:val="1"/>
          <w:bCs w:val="1"/>
          <w:color w:val="auto"/>
        </w:rPr>
        <w:t>American Depositary Shares representing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1071245</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PROSPECTUS</w:t>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SVB Leerink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569595</wp:posOffset>
            </wp:positionV>
            <wp:extent cx="18173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October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478155</wp:posOffset>
            </wp:positionV>
            <wp:extent cx="699516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lowerRoman"/>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1)"/>
      <w:numFmt w:val="lowerLetter"/>
      <w:start w:val="2"/>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jpe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jpe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39" Type="http://schemas.openxmlformats.org/officeDocument/2006/relationships/hyperlink" Target="http://www.sec.gov/Archives/edgar/data/1719714/000119312520169533/d876622d20f.htm" TargetMode="External"/><Relationship Id="rId40" Type="http://schemas.openxmlformats.org/officeDocument/2006/relationships/hyperlink" Target="http://www.sec.gov/Archives/edgar/data/1719714/000119312520257170/d72033d6k.htm" TargetMode="External"/><Relationship Id="rId41" Type="http://schemas.openxmlformats.org/officeDocument/2006/relationships/hyperlink" Target="http://www.sec.gov/Archives/edgar/data/1719714/000119312520261346/d25529d6k.htm" TargetMode="External"/><Relationship Id="rId42" Type="http://schemas.openxmlformats.org/officeDocument/2006/relationships/hyperlink" Target="http://www.sec.gov/Archives/edgar/data/1719714/000119312520271685/d72385d6k.htm" TargetMode="External"/><Relationship Id="rId43" Type="http://schemas.openxmlformats.org/officeDocument/2006/relationships/hyperlink" Target="http://www.sec.gov/Archives/edgar/data/1719714/000119312518111700/d566514d8a12b.htm" TargetMode="External"/><Relationship Id="rId44" Type="http://schemas.openxmlformats.org/officeDocument/2006/relationships/hyperlink" Target="http://www.sec.gov/Archives/edgar/data/1719714/000119312520169533/d876622d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2020-10-23T16:05:59Z</dcterms:created>
  <dcterms:modified xsi:type="dcterms:W3CDTF">2020-10-23T16:05:59Z</dcterms:modified>
</cp:coreProperties>
</file>