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1442720</wp:posOffset>
            </wp:positionH>
            <wp:positionV relativeFrom="page">
              <wp:posOffset>140335</wp:posOffset>
            </wp:positionV>
            <wp:extent cx="466344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663440" cy="5715"/>
                    </a:xfrm>
                    <a:prstGeom prst="rect">
                      <a:avLst/>
                    </a:prstGeom>
                    <a:noFill/>
                  </pic:spPr>
                </pic:pic>
              </a:graphicData>
            </a:graphic>
          </wp:anchor>
        </w:drawing>
        <w:drawing>
          <wp:anchor simplePos="0" relativeHeight="251657728" behindDoc="1" locked="0" layoutInCell="0" allowOverlap="1">
            <wp:simplePos x="0" y="0"/>
            <wp:positionH relativeFrom="page">
              <wp:posOffset>1442720</wp:posOffset>
            </wp:positionH>
            <wp:positionV relativeFrom="page">
              <wp:posOffset>168910</wp:posOffset>
            </wp:positionV>
            <wp:extent cx="46634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663440" cy="5715"/>
                    </a:xfrm>
                    <a:prstGeom prst="rect">
                      <a:avLst/>
                    </a:prstGeom>
                    <a:noFill/>
                  </pic:spPr>
                </pic:pic>
              </a:graphicData>
            </a:graphic>
          </wp:anchor>
        </w:drawing>
        <w:t>UNITED STATES</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150495</wp:posOffset>
            </wp:positionV>
            <wp:extent cx="98298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27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113665</wp:posOffset>
            </wp:positionV>
            <wp:extent cx="98298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294"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REPORT OF FOREIGN PRIVATE ISSUER PURSUANT</w:t>
      </w:r>
    </w:p>
    <w:p>
      <w:pPr>
        <w:spacing w:after="0" w:line="17" w:lineRule="exact"/>
        <w:rPr>
          <w:sz w:val="24"/>
          <w:szCs w:val="24"/>
          <w:color w:val="auto"/>
        </w:rPr>
      </w:pPr>
    </w:p>
    <w:p>
      <w:pPr>
        <w:ind w:left="3200"/>
        <w:spacing w:after="0"/>
        <w:rPr>
          <w:sz w:val="20"/>
          <w:szCs w:val="20"/>
          <w:color w:val="auto"/>
        </w:rPr>
      </w:pPr>
      <w:r>
        <w:rPr>
          <w:rFonts w:ascii="Arial" w:cs="Arial" w:eastAsia="Arial" w:hAnsi="Arial"/>
          <w:sz w:val="14"/>
          <w:szCs w:val="14"/>
          <w:b w:val="1"/>
          <w:bCs w:val="1"/>
          <w:color w:val="auto"/>
        </w:rPr>
        <w:t>TO RULE 13a-16 or 15d-16 UNDER THE</w:t>
      </w:r>
    </w:p>
    <w:p>
      <w:pPr>
        <w:spacing w:after="0" w:line="1" w:lineRule="exact"/>
        <w:rPr>
          <w:sz w:val="24"/>
          <w:szCs w:val="24"/>
          <w:color w:val="auto"/>
        </w:rPr>
      </w:pPr>
    </w:p>
    <w:p>
      <w:pPr>
        <w:ind w:left="3180"/>
        <w:spacing w:after="0"/>
        <w:rPr>
          <w:sz w:val="20"/>
          <w:szCs w:val="20"/>
          <w:color w:val="auto"/>
        </w:rPr>
      </w:pPr>
      <w:r>
        <w:rPr>
          <w:rFonts w:ascii="Arial" w:cs="Arial" w:eastAsia="Arial" w:hAnsi="Arial"/>
          <w:sz w:val="14"/>
          <w:szCs w:val="14"/>
          <w:b w:val="1"/>
          <w:bCs w:val="1"/>
          <w:color w:val="auto"/>
        </w:rPr>
        <w:t>SECURITIES EXCHANGE ACT OF 1934</w:t>
      </w:r>
    </w:p>
    <w:p>
      <w:pPr>
        <w:spacing w:after="0" w:line="129" w:lineRule="exact"/>
        <w:rPr>
          <w:sz w:val="24"/>
          <w:szCs w:val="24"/>
          <w:color w:val="auto"/>
        </w:rPr>
      </w:pPr>
    </w:p>
    <w:p>
      <w:pPr>
        <w:ind w:left="3580"/>
        <w:spacing w:after="0"/>
        <w:rPr>
          <w:sz w:val="20"/>
          <w:szCs w:val="20"/>
          <w:color w:val="auto"/>
        </w:rPr>
      </w:pPr>
      <w:r>
        <w:rPr>
          <w:rFonts w:ascii="Arial" w:cs="Arial" w:eastAsia="Arial" w:hAnsi="Arial"/>
          <w:sz w:val="14"/>
          <w:szCs w:val="14"/>
          <w:b w:val="1"/>
          <w:bCs w:val="1"/>
          <w:color w:val="auto"/>
        </w:rPr>
        <w:t>For the month of March, 2022</w:t>
      </w:r>
    </w:p>
    <w:p>
      <w:pPr>
        <w:spacing w:after="0" w:line="149" w:lineRule="exact"/>
        <w:rPr>
          <w:sz w:val="24"/>
          <w:szCs w:val="24"/>
          <w:color w:val="auto"/>
        </w:rPr>
      </w:pPr>
    </w:p>
    <w:p>
      <w:pPr>
        <w:ind w:left="3400"/>
        <w:spacing w:after="0"/>
        <w:rPr>
          <w:sz w:val="20"/>
          <w:szCs w:val="20"/>
          <w:color w:val="auto"/>
        </w:rPr>
      </w:pPr>
      <w:r>
        <w:rPr>
          <w:rFonts w:ascii="Arial" w:cs="Arial" w:eastAsia="Arial" w:hAnsi="Arial"/>
          <w:sz w:val="14"/>
          <w:szCs w:val="14"/>
          <w:color w:val="auto"/>
        </w:rPr>
        <w:t>Commission File Number: 001-38452</w:t>
      </w:r>
    </w:p>
    <w:p>
      <w:pPr>
        <w:spacing w:after="0" w:line="141" w:lineRule="exact"/>
        <w:rPr>
          <w:sz w:val="24"/>
          <w:szCs w:val="24"/>
          <w:color w:val="auto"/>
        </w:rPr>
      </w:pPr>
    </w:p>
    <w:p>
      <w:pPr>
        <w:ind w:left="3320"/>
        <w:spacing w:after="0"/>
        <w:rPr>
          <w:sz w:val="20"/>
          <w:szCs w:val="20"/>
          <w:color w:val="auto"/>
        </w:rPr>
      </w:pPr>
      <w:r>
        <w:rPr>
          <w:rFonts w:ascii="Arial" w:cs="Arial" w:eastAsia="Arial" w:hAnsi="Arial"/>
          <w:sz w:val="14"/>
          <w:szCs w:val="14"/>
          <w:b w:val="1"/>
          <w:bCs w:val="1"/>
          <w:color w:val="auto"/>
        </w:rPr>
        <w:t>MEREO BIOPHARMA GROUP PLC</w:t>
      </w:r>
    </w:p>
    <w:p>
      <w:pPr>
        <w:spacing w:after="0" w:line="17" w:lineRule="exact"/>
        <w:rPr>
          <w:sz w:val="24"/>
          <w:szCs w:val="24"/>
          <w:color w:val="auto"/>
        </w:rPr>
      </w:pPr>
    </w:p>
    <w:p>
      <w:pPr>
        <w:ind w:left="3180"/>
        <w:spacing w:after="0"/>
        <w:rPr>
          <w:sz w:val="20"/>
          <w:szCs w:val="20"/>
          <w:color w:val="auto"/>
        </w:rPr>
      </w:pPr>
      <w:r>
        <w:rPr>
          <w:rFonts w:ascii="Arial" w:cs="Arial" w:eastAsia="Arial" w:hAnsi="Arial"/>
          <w:sz w:val="14"/>
          <w:szCs w:val="14"/>
          <w:color w:val="auto"/>
        </w:rPr>
        <w:t>(Translation of registrant’s name into English)</w:t>
      </w:r>
    </w:p>
    <w:p>
      <w:pPr>
        <w:spacing w:after="0" w:line="129" w:lineRule="exact"/>
        <w:rPr>
          <w:sz w:val="24"/>
          <w:szCs w:val="24"/>
          <w:color w:val="auto"/>
        </w:rPr>
      </w:pPr>
    </w:p>
    <w:p>
      <w:pPr>
        <w:ind w:left="3520"/>
        <w:spacing w:after="0"/>
        <w:rPr>
          <w:sz w:val="20"/>
          <w:szCs w:val="20"/>
          <w:color w:val="auto"/>
        </w:rPr>
      </w:pPr>
      <w:r>
        <w:rPr>
          <w:rFonts w:ascii="Arial" w:cs="Arial" w:eastAsia="Arial" w:hAnsi="Arial"/>
          <w:sz w:val="14"/>
          <w:szCs w:val="14"/>
          <w:b w:val="1"/>
          <w:bCs w:val="1"/>
          <w:color w:val="auto"/>
        </w:rPr>
        <w:t>4</w:t>
      </w:r>
      <w:r>
        <w:rPr>
          <w:rFonts w:ascii="Arial" w:cs="Arial" w:eastAsia="Arial" w:hAnsi="Arial"/>
          <w:sz w:val="12"/>
          <w:szCs w:val="12"/>
          <w:b w:val="1"/>
          <w:bCs w:val="1"/>
          <w:color w:val="auto"/>
        </w:rPr>
        <w:t>th</w:t>
      </w:r>
      <w:r>
        <w:rPr>
          <w:rFonts w:ascii="Arial" w:cs="Arial" w:eastAsia="Arial" w:hAnsi="Arial"/>
          <w:sz w:val="14"/>
          <w:szCs w:val="14"/>
          <w:b w:val="1"/>
          <w:bCs w:val="1"/>
          <w:color w:val="auto"/>
        </w:rPr>
        <w:t xml:space="preserve"> Floor, One Cavendish Place,</w:t>
      </w:r>
    </w:p>
    <w:p>
      <w:pPr>
        <w:spacing w:after="0" w:line="17" w:lineRule="exact"/>
        <w:rPr>
          <w:sz w:val="24"/>
          <w:szCs w:val="24"/>
          <w:color w:val="auto"/>
        </w:rPr>
      </w:pPr>
    </w:p>
    <w:p>
      <w:pPr>
        <w:ind w:left="3360"/>
        <w:spacing w:after="0"/>
        <w:rPr>
          <w:sz w:val="20"/>
          <w:szCs w:val="20"/>
          <w:color w:val="auto"/>
        </w:rPr>
      </w:pPr>
      <w:r>
        <w:rPr>
          <w:rFonts w:ascii="Arial" w:cs="Arial" w:eastAsia="Arial" w:hAnsi="Arial"/>
          <w:sz w:val="14"/>
          <w:szCs w:val="14"/>
          <w:b w:val="1"/>
          <w:bCs w:val="1"/>
          <w:color w:val="auto"/>
        </w:rPr>
        <w:t>London, W1G 0QF, United Kingdom</w:t>
      </w:r>
    </w:p>
    <w:p>
      <w:pPr>
        <w:spacing w:after="0" w:line="1" w:lineRule="exact"/>
        <w:rPr>
          <w:sz w:val="24"/>
          <w:szCs w:val="24"/>
          <w:color w:val="auto"/>
        </w:rPr>
      </w:pPr>
    </w:p>
    <w:p>
      <w:pPr>
        <w:ind w:left="3380"/>
        <w:spacing w:after="0"/>
        <w:rPr>
          <w:sz w:val="20"/>
          <w:szCs w:val="20"/>
          <w:color w:val="auto"/>
        </w:rPr>
      </w:pPr>
      <w:r>
        <w:rPr>
          <w:rFonts w:ascii="Arial" w:cs="Arial" w:eastAsia="Arial" w:hAnsi="Arial"/>
          <w:sz w:val="14"/>
          <w:szCs w:val="14"/>
          <w:color w:val="auto"/>
        </w:rPr>
        <w:t>(Address of principal executive office)</w:t>
      </w:r>
    </w:p>
    <w:p>
      <w:pPr>
        <w:spacing w:after="0" w:line="133" w:lineRule="exact"/>
        <w:rPr>
          <w:sz w:val="24"/>
          <w:szCs w:val="24"/>
          <w:color w:val="auto"/>
        </w:rPr>
      </w:pPr>
    </w:p>
    <w:p>
      <w:pPr>
        <w:ind w:left="840"/>
        <w:spacing w:after="0"/>
        <w:rPr>
          <w:sz w:val="20"/>
          <w:szCs w:val="20"/>
          <w:color w:val="auto"/>
        </w:rPr>
      </w:pPr>
      <w:r>
        <w:rPr>
          <w:rFonts w:ascii="Arial" w:cs="Arial" w:eastAsia="Arial" w:hAnsi="Arial"/>
          <w:sz w:val="13"/>
          <w:szCs w:val="13"/>
          <w:color w:val="auto"/>
        </w:rPr>
        <w:t>Indicate by check mark whether the registrant files or will file annual reports under cover of Form 20-F or Form 40-F.</w:t>
      </w:r>
    </w:p>
    <w:p>
      <w:pPr>
        <w:spacing w:after="0" w:line="144" w:lineRule="exact"/>
        <w:rPr>
          <w:sz w:val="24"/>
          <w:szCs w:val="24"/>
          <w:color w:val="auto"/>
        </w:rPr>
      </w:pPr>
    </w:p>
    <w:p>
      <w:pPr>
        <w:ind w:left="840"/>
        <w:spacing w:after="0" w:line="161" w:lineRule="exact"/>
        <w:tabs>
          <w:tab w:leader="none" w:pos="1780" w:val="left"/>
        </w:tabs>
        <w:rPr>
          <w:sz w:val="20"/>
          <w:szCs w:val="20"/>
          <w:color w:val="auto"/>
        </w:rPr>
      </w:pPr>
      <w:r>
        <w:rPr>
          <w:rFonts w:ascii="Arial" w:cs="Arial" w:eastAsia="Arial" w:hAnsi="Arial"/>
          <w:sz w:val="14"/>
          <w:szCs w:val="14"/>
          <w:color w:val="auto"/>
        </w:rPr>
        <w:t xml:space="preserve">Form 20-F </w:t>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 xml:space="preserve">Form 40-F </w:t>
      </w:r>
      <w:r>
        <w:rPr>
          <w:rFonts w:ascii="MS PGothic" w:cs="MS PGothic" w:eastAsia="MS PGothic" w:hAnsi="MS PGothic"/>
          <w:sz w:val="13"/>
          <w:szCs w:val="13"/>
          <w:color w:val="auto"/>
        </w:rPr>
        <w:t>☐</w:t>
      </w:r>
    </w:p>
    <w:p>
      <w:pPr>
        <w:spacing w:after="0" w:line="167" w:lineRule="exact"/>
        <w:rPr>
          <w:sz w:val="24"/>
          <w:szCs w:val="24"/>
          <w:color w:val="auto"/>
        </w:rPr>
      </w:pPr>
    </w:p>
    <w:p>
      <w:pPr>
        <w:ind w:left="840"/>
        <w:spacing w:after="0"/>
        <w:rPr>
          <w:sz w:val="20"/>
          <w:szCs w:val="20"/>
          <w:color w:val="auto"/>
        </w:rPr>
      </w:pPr>
      <w:r>
        <w:rPr>
          <w:rFonts w:ascii="Arial" w:cs="Arial" w:eastAsia="Arial" w:hAnsi="Arial"/>
          <w:sz w:val="13"/>
          <w:szCs w:val="13"/>
          <w:color w:val="auto"/>
        </w:rPr>
        <w:t>Indicate by check mark if the registrant is submitting the Form 6-K in paper as permitted by Regulation S-T Rule 101(b)</w:t>
      </w:r>
    </w:p>
    <w:p>
      <w:pPr>
        <w:spacing w:after="0" w:line="28" w:lineRule="exact"/>
        <w:rPr>
          <w:sz w:val="24"/>
          <w:szCs w:val="24"/>
          <w:color w:val="auto"/>
        </w:rPr>
      </w:pPr>
    </w:p>
    <w:p>
      <w:pPr>
        <w:ind w:left="840"/>
        <w:spacing w:after="0" w:line="161" w:lineRule="exact"/>
        <w:rPr>
          <w:sz w:val="20"/>
          <w:szCs w:val="20"/>
          <w:color w:val="auto"/>
        </w:rPr>
      </w:pPr>
      <w:r>
        <w:rPr>
          <w:rFonts w:ascii="Arial" w:cs="Arial" w:eastAsia="Arial" w:hAnsi="Arial"/>
          <w:sz w:val="14"/>
          <w:szCs w:val="14"/>
          <w:color w:val="auto"/>
        </w:rPr>
        <w:t xml:space="preserve">(1): </w:t>
      </w:r>
      <w:r>
        <w:rPr>
          <w:rFonts w:ascii="MS PGothic" w:cs="MS PGothic" w:eastAsia="MS PGothic" w:hAnsi="MS PGothic"/>
          <w:sz w:val="14"/>
          <w:szCs w:val="14"/>
          <w:color w:val="auto"/>
        </w:rPr>
        <w:t>☐</w:t>
      </w:r>
    </w:p>
    <w:p>
      <w:pPr>
        <w:spacing w:after="0" w:line="138" w:lineRule="exact"/>
        <w:rPr>
          <w:sz w:val="24"/>
          <w:szCs w:val="24"/>
          <w:color w:val="auto"/>
        </w:rPr>
      </w:pPr>
    </w:p>
    <w:p>
      <w:pPr>
        <w:ind w:left="840"/>
        <w:spacing w:after="0"/>
        <w:rPr>
          <w:sz w:val="20"/>
          <w:szCs w:val="20"/>
          <w:color w:val="auto"/>
        </w:rPr>
      </w:pPr>
      <w:r>
        <w:rPr>
          <w:rFonts w:ascii="Arial" w:cs="Arial" w:eastAsia="Arial" w:hAnsi="Arial"/>
          <w:sz w:val="13"/>
          <w:szCs w:val="13"/>
          <w:color w:val="auto"/>
        </w:rPr>
        <w:t>Indicate by check mark if the registrant is submitting the Form 6-K in paper as permitted by Regulation S-T Rule 101(b)</w:t>
      </w:r>
    </w:p>
    <w:p>
      <w:pPr>
        <w:spacing w:after="0" w:line="28" w:lineRule="exact"/>
        <w:rPr>
          <w:sz w:val="24"/>
          <w:szCs w:val="24"/>
          <w:color w:val="auto"/>
        </w:rPr>
      </w:pPr>
    </w:p>
    <w:p>
      <w:pPr>
        <w:ind w:left="840"/>
        <w:spacing w:after="0" w:line="161" w:lineRule="exact"/>
        <w:rPr>
          <w:sz w:val="20"/>
          <w:szCs w:val="20"/>
          <w:color w:val="auto"/>
        </w:rPr>
      </w:pPr>
      <w:r>
        <w:rPr>
          <w:rFonts w:ascii="Arial" w:cs="Arial" w:eastAsia="Arial" w:hAnsi="Arial"/>
          <w:sz w:val="14"/>
          <w:szCs w:val="14"/>
          <w:color w:val="auto"/>
        </w:rPr>
        <w:t xml:space="preserve">(7):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528320</wp:posOffset>
            </wp:positionH>
            <wp:positionV relativeFrom="paragraph">
              <wp:posOffset>102870</wp:posOffset>
            </wp:positionV>
            <wp:extent cx="466344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663440" cy="5715"/>
                    </a:xfrm>
                    <a:prstGeom prst="rect">
                      <a:avLst/>
                    </a:prstGeom>
                    <a:noFill/>
                  </pic:spPr>
                </pic:pic>
              </a:graphicData>
            </a:graphic>
          </wp:anchor>
        </w:drawing>
        <w:drawing>
          <wp:anchor simplePos="0" relativeHeight="251657728" behindDoc="1" locked="0" layoutInCell="0" allowOverlap="1">
            <wp:simplePos x="0" y="0"/>
            <wp:positionH relativeFrom="column">
              <wp:posOffset>528320</wp:posOffset>
            </wp:positionH>
            <wp:positionV relativeFrom="paragraph">
              <wp:posOffset>131445</wp:posOffset>
            </wp:positionV>
            <wp:extent cx="466344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663440" cy="5715"/>
                    </a:xfrm>
                    <a:prstGeom prst="rect">
                      <a:avLst/>
                    </a:prstGeom>
                    <a:noFill/>
                  </pic:spPr>
                </pic:pic>
              </a:graphicData>
            </a:graphic>
          </wp:anchor>
        </w:drawing>
      </w:r>
    </w:p>
    <w:p>
      <w:pPr>
        <w:sectPr>
          <w:pgSz w:w="11900" w:h="16838" w:orient="portrait"/>
          <w:cols w:equalWidth="0" w:num="1">
            <w:col w:w="9019"/>
          </w:cols>
          <w:pgMar w:left="1440" w:top="319" w:right="1440" w:bottom="1440" w:gutter="0" w:footer="0" w:header="0"/>
        </w:sectPr>
      </w:pPr>
    </w:p>
    <w:bookmarkStart w:id="1" w:name="page2"/>
    <w:bookmarkEnd w:id="1"/>
    <w:p>
      <w:pPr>
        <w:ind w:left="840"/>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14870" cy="29845"/>
                    </a:xfrm>
                    <a:prstGeom prst="rect">
                      <a:avLst/>
                    </a:prstGeom>
                    <a:noFill/>
                  </pic:spPr>
                </pic:pic>
              </a:graphicData>
            </a:graphic>
          </wp:anchor>
        </w:drawing>
        <w:t>Highlights from Virtual Research and Development Day</w:t>
      </w:r>
    </w:p>
    <w:p>
      <w:pPr>
        <w:spacing w:after="0" w:line="80" w:lineRule="exact"/>
        <w:rPr>
          <w:sz w:val="20"/>
          <w:szCs w:val="20"/>
          <w:color w:val="auto"/>
        </w:rPr>
      </w:pPr>
    </w:p>
    <w:p>
      <w:pPr>
        <w:jc w:val="both"/>
        <w:ind w:left="840" w:right="839"/>
        <w:spacing w:after="0" w:line="278" w:lineRule="auto"/>
        <w:rPr>
          <w:sz w:val="20"/>
          <w:szCs w:val="20"/>
          <w:color w:val="auto"/>
        </w:rPr>
      </w:pPr>
      <w:r>
        <w:rPr>
          <w:rFonts w:ascii="Arial" w:cs="Arial" w:eastAsia="Arial" w:hAnsi="Arial"/>
          <w:sz w:val="12"/>
          <w:szCs w:val="12"/>
          <w:color w:val="auto"/>
        </w:rPr>
        <w:t>On March 14, 2022, Mereo BioPharma Group plc (the “Company”) is hosting a virtual research and development (R&amp;D) day to review the Company’s alvelestat (MPH966) program focused on the ongoing Phase 2 studies evaluating alvelestat in the treatment of alpha-1 antitrypsin deficiency (AATD)-related lung disease, and to provide updates on the ongoing investigator sponsored Phase 1b/2 study in patients with Bronchiolitis Obliterans (BOS) following hematopoietic stem cell transplantation (HCT) and the Phase 1b/2 hospitalized COVID-19 trial. This event features scientific opinion leaders and members of the Company’s management team.</w:t>
      </w:r>
    </w:p>
    <w:p>
      <w:pPr>
        <w:spacing w:after="0" w:line="38" w:lineRule="exact"/>
        <w:rPr>
          <w:sz w:val="20"/>
          <w:szCs w:val="20"/>
          <w:color w:val="auto"/>
        </w:rPr>
      </w:pPr>
    </w:p>
    <w:p>
      <w:pPr>
        <w:ind w:left="840"/>
        <w:spacing w:after="0"/>
        <w:rPr>
          <w:sz w:val="20"/>
          <w:szCs w:val="20"/>
          <w:color w:val="auto"/>
        </w:rPr>
      </w:pPr>
      <w:r>
        <w:rPr>
          <w:rFonts w:ascii="Arial" w:cs="Arial" w:eastAsia="Arial" w:hAnsi="Arial"/>
          <w:sz w:val="13"/>
          <w:szCs w:val="13"/>
          <w:color w:val="auto"/>
        </w:rPr>
        <w:t>Highlights from the virtual R&amp;D Day include:</w:t>
      </w:r>
    </w:p>
    <w:p>
      <w:pPr>
        <w:spacing w:after="0" w:line="166" w:lineRule="exact"/>
        <w:rPr>
          <w:sz w:val="20"/>
          <w:szCs w:val="20"/>
          <w:color w:val="auto"/>
        </w:rPr>
      </w:pPr>
    </w:p>
    <w:p>
      <w:pPr>
        <w:ind w:left="1560" w:right="1239" w:hanging="296"/>
        <w:spacing w:after="0" w:line="271" w:lineRule="auto"/>
        <w:tabs>
          <w:tab w:leader="none" w:pos="1560" w:val="left"/>
        </w:tabs>
        <w:numPr>
          <w:ilvl w:val="0"/>
          <w:numId w:val="1"/>
        </w:numPr>
        <w:rPr>
          <w:rFonts w:ascii="Arial" w:cs="Arial" w:eastAsia="Arial" w:hAnsi="Arial"/>
          <w:sz w:val="13"/>
          <w:szCs w:val="13"/>
          <w:color w:val="auto"/>
        </w:rPr>
      </w:pPr>
      <w:r>
        <w:rPr>
          <w:rFonts w:ascii="Arial" w:cs="Arial" w:eastAsia="Arial" w:hAnsi="Arial"/>
          <w:sz w:val="13"/>
          <w:szCs w:val="13"/>
          <w:color w:val="auto"/>
        </w:rPr>
        <w:t>An update on the ASTRAEUS 12-week Phase 2 trial for alvelestat in AATD patients with lung emphysema, including blinded baseline data for three key biomarkers, desmosine, neutrophil elastase and Aα-Val</w:t>
      </w:r>
      <w:r>
        <w:rPr>
          <w:rFonts w:ascii="Arial" w:cs="Arial" w:eastAsia="Arial" w:hAnsi="Arial"/>
          <w:sz w:val="11"/>
          <w:szCs w:val="11"/>
          <w:color w:val="auto"/>
        </w:rPr>
        <w:t>360</w:t>
      </w:r>
    </w:p>
    <w:p>
      <w:pPr>
        <w:spacing w:after="0" w:line="130" w:lineRule="exact"/>
        <w:rPr>
          <w:rFonts w:ascii="Arial" w:cs="Arial" w:eastAsia="Arial" w:hAnsi="Arial"/>
          <w:sz w:val="13"/>
          <w:szCs w:val="13"/>
          <w:color w:val="auto"/>
        </w:rPr>
      </w:pPr>
    </w:p>
    <w:p>
      <w:pPr>
        <w:ind w:left="1560" w:right="1099" w:hanging="296"/>
        <w:spacing w:after="0" w:line="271" w:lineRule="auto"/>
        <w:tabs>
          <w:tab w:leader="none" w:pos="1560" w:val="left"/>
        </w:tabs>
        <w:numPr>
          <w:ilvl w:val="0"/>
          <w:numId w:val="1"/>
        </w:numPr>
        <w:rPr>
          <w:rFonts w:ascii="Arial" w:cs="Arial" w:eastAsia="Arial" w:hAnsi="Arial"/>
          <w:sz w:val="13"/>
          <w:szCs w:val="13"/>
          <w:color w:val="auto"/>
        </w:rPr>
      </w:pPr>
      <w:r>
        <w:rPr>
          <w:rFonts w:ascii="Arial" w:cs="Arial" w:eastAsia="Arial" w:hAnsi="Arial"/>
          <w:sz w:val="13"/>
          <w:szCs w:val="13"/>
          <w:color w:val="auto"/>
        </w:rPr>
        <w:t>Discussion of the revised biomarker primary endpoints of the study following development of the Company’s biomarker strategy and a Type C meeting with the FDA</w:t>
      </w:r>
    </w:p>
    <w:p>
      <w:pPr>
        <w:spacing w:after="0" w:line="130" w:lineRule="exact"/>
        <w:rPr>
          <w:rFonts w:ascii="Arial" w:cs="Arial" w:eastAsia="Arial" w:hAnsi="Arial"/>
          <w:sz w:val="13"/>
          <w:szCs w:val="13"/>
          <w:color w:val="auto"/>
        </w:rPr>
      </w:pPr>
    </w:p>
    <w:p>
      <w:pPr>
        <w:ind w:left="1560" w:hanging="296"/>
        <w:spacing w:after="0"/>
        <w:tabs>
          <w:tab w:leader="none" w:pos="1560" w:val="left"/>
        </w:tabs>
        <w:numPr>
          <w:ilvl w:val="0"/>
          <w:numId w:val="1"/>
        </w:numPr>
        <w:rPr>
          <w:rFonts w:ascii="Arial" w:cs="Arial" w:eastAsia="Arial" w:hAnsi="Arial"/>
          <w:sz w:val="13"/>
          <w:szCs w:val="13"/>
          <w:color w:val="auto"/>
        </w:rPr>
      </w:pPr>
      <w:r>
        <w:rPr>
          <w:rFonts w:ascii="Arial" w:cs="Arial" w:eastAsia="Arial" w:hAnsi="Arial"/>
          <w:sz w:val="13"/>
          <w:szCs w:val="13"/>
          <w:color w:val="auto"/>
        </w:rPr>
        <w:t>An update on the ATALANTa Phase 2 study</w:t>
      </w:r>
    </w:p>
    <w:p>
      <w:pPr>
        <w:spacing w:after="0" w:line="165" w:lineRule="exact"/>
        <w:rPr>
          <w:rFonts w:ascii="Arial" w:cs="Arial" w:eastAsia="Arial" w:hAnsi="Arial"/>
          <w:sz w:val="13"/>
          <w:szCs w:val="13"/>
          <w:color w:val="auto"/>
        </w:rPr>
      </w:pPr>
    </w:p>
    <w:p>
      <w:pPr>
        <w:ind w:left="1560" w:hanging="296"/>
        <w:spacing w:after="0"/>
        <w:tabs>
          <w:tab w:leader="none" w:pos="1560" w:val="left"/>
        </w:tabs>
        <w:numPr>
          <w:ilvl w:val="0"/>
          <w:numId w:val="1"/>
        </w:numPr>
        <w:rPr>
          <w:rFonts w:ascii="Arial" w:cs="Arial" w:eastAsia="Arial" w:hAnsi="Arial"/>
          <w:sz w:val="13"/>
          <w:szCs w:val="13"/>
          <w:color w:val="auto"/>
        </w:rPr>
      </w:pPr>
      <w:r>
        <w:rPr>
          <w:rFonts w:ascii="Arial" w:cs="Arial" w:eastAsia="Arial" w:hAnsi="Arial"/>
          <w:sz w:val="13"/>
          <w:szCs w:val="13"/>
          <w:color w:val="auto"/>
        </w:rPr>
        <w:t>An up-to-date report on the safety profile of alvelestat from all the ongoing clinical studies</w:t>
      </w:r>
    </w:p>
    <w:p>
      <w:pPr>
        <w:spacing w:after="0" w:line="165" w:lineRule="exact"/>
        <w:rPr>
          <w:rFonts w:ascii="Arial" w:cs="Arial" w:eastAsia="Arial" w:hAnsi="Arial"/>
          <w:sz w:val="13"/>
          <w:szCs w:val="13"/>
          <w:color w:val="auto"/>
        </w:rPr>
      </w:pPr>
    </w:p>
    <w:p>
      <w:pPr>
        <w:ind w:left="1560" w:right="979" w:hanging="296"/>
        <w:spacing w:after="0" w:line="271" w:lineRule="auto"/>
        <w:tabs>
          <w:tab w:leader="none" w:pos="1560" w:val="left"/>
        </w:tabs>
        <w:numPr>
          <w:ilvl w:val="0"/>
          <w:numId w:val="1"/>
        </w:numPr>
        <w:rPr>
          <w:rFonts w:ascii="Arial" w:cs="Arial" w:eastAsia="Arial" w:hAnsi="Arial"/>
          <w:sz w:val="13"/>
          <w:szCs w:val="13"/>
          <w:color w:val="auto"/>
        </w:rPr>
      </w:pPr>
      <w:r>
        <w:rPr>
          <w:rFonts w:ascii="Arial" w:cs="Arial" w:eastAsia="Arial" w:hAnsi="Arial"/>
          <w:sz w:val="13"/>
          <w:szCs w:val="13"/>
          <w:color w:val="auto"/>
        </w:rPr>
        <w:t>An update on the study of alvelestat in bronchiolitis obliterans following allogenic hematopoietic stem cell transplantation, with Phase 2 set to be initiated in earlier stage patients in 2022</w:t>
      </w:r>
    </w:p>
    <w:p>
      <w:pPr>
        <w:spacing w:after="0" w:line="112" w:lineRule="exact"/>
        <w:rPr>
          <w:sz w:val="20"/>
          <w:szCs w:val="20"/>
          <w:color w:val="auto"/>
        </w:rPr>
      </w:pPr>
    </w:p>
    <w:p>
      <w:pPr>
        <w:jc w:val="both"/>
        <w:ind w:left="840" w:right="839"/>
        <w:spacing w:after="0" w:line="290" w:lineRule="auto"/>
        <w:rPr>
          <w:sz w:val="20"/>
          <w:szCs w:val="20"/>
          <w:color w:val="auto"/>
        </w:rPr>
      </w:pPr>
      <w:r>
        <w:rPr>
          <w:rFonts w:ascii="Arial" w:cs="Arial" w:eastAsia="Arial" w:hAnsi="Arial"/>
          <w:sz w:val="12"/>
          <w:szCs w:val="12"/>
          <w:color w:val="auto"/>
        </w:rPr>
        <w:t>A live audio webcast of the R&amp;D Day can be accessed through the Investors section of the Company’s website at www.mereobiopharma.com/investors. An archived replay of the webcast will be made available on the Company’s website. No part of the Company’s website is incorporated by reference herein. Highlights from the presentation are furnished as Exhibit 99.1 hereto.</w:t>
      </w:r>
    </w:p>
    <w:p>
      <w:pPr>
        <w:spacing w:after="0" w:line="99" w:lineRule="exact"/>
        <w:rPr>
          <w:sz w:val="20"/>
          <w:szCs w:val="20"/>
          <w:color w:val="auto"/>
        </w:rPr>
      </w:pPr>
    </w:p>
    <w:p>
      <w:pPr>
        <w:ind w:left="840"/>
        <w:spacing w:after="0"/>
        <w:rPr>
          <w:sz w:val="20"/>
          <w:szCs w:val="20"/>
          <w:color w:val="auto"/>
        </w:rPr>
      </w:pPr>
      <w:r>
        <w:rPr>
          <w:rFonts w:ascii="Arial" w:cs="Arial" w:eastAsia="Arial" w:hAnsi="Arial"/>
          <w:sz w:val="13"/>
          <w:szCs w:val="13"/>
          <w:b w:val="1"/>
          <w:bCs w:val="1"/>
          <w:u w:val="single" w:color="auto"/>
          <w:color w:val="auto"/>
        </w:rPr>
        <w:t>Exhibit Index</w:t>
      </w:r>
    </w:p>
    <w:p>
      <w:pPr>
        <w:spacing w:after="0" w:line="166" w:lineRule="exact"/>
        <w:rPr>
          <w:sz w:val="20"/>
          <w:szCs w:val="20"/>
          <w:color w:val="auto"/>
        </w:rPr>
      </w:pPr>
    </w:p>
    <w:p>
      <w:pPr>
        <w:ind w:left="840"/>
        <w:spacing w:after="0"/>
        <w:rPr>
          <w:sz w:val="20"/>
          <w:szCs w:val="20"/>
          <w:color w:val="auto"/>
        </w:rPr>
      </w:pPr>
      <w:r>
        <w:rPr>
          <w:rFonts w:ascii="Arial" w:cs="Arial" w:eastAsia="Arial" w:hAnsi="Arial"/>
          <w:sz w:val="13"/>
          <w:szCs w:val="13"/>
          <w:b w:val="1"/>
          <w:bCs w:val="1"/>
          <w:u w:val="single" w:color="auto"/>
          <w:color w:val="auto"/>
        </w:rPr>
        <w:t>Exhibits</w:t>
      </w:r>
    </w:p>
    <w:p>
      <w:pPr>
        <w:spacing w:after="0" w:line="89" w:lineRule="exact"/>
        <w:rPr>
          <w:sz w:val="20"/>
          <w:szCs w:val="20"/>
          <w:color w:val="auto"/>
        </w:rPr>
      </w:pPr>
    </w:p>
    <w:p>
      <w:pPr>
        <w:ind w:left="840"/>
        <w:spacing w:after="0"/>
        <w:tabs>
          <w:tab w:leader="none" w:pos="1200" w:val="left"/>
        </w:tabs>
        <w:rPr>
          <w:rFonts w:ascii="Arial" w:cs="Arial" w:eastAsia="Arial" w:hAnsi="Arial"/>
          <w:sz w:val="12"/>
          <w:szCs w:val="12"/>
          <w:u w:val="single" w:color="auto"/>
          <w:color w:val="0000EE"/>
        </w:rPr>
      </w:pPr>
      <w:r>
        <w:rPr>
          <w:rFonts w:ascii="Arial" w:cs="Arial" w:eastAsia="Arial" w:hAnsi="Arial"/>
          <w:sz w:val="13"/>
          <w:szCs w:val="13"/>
          <w:color w:val="auto"/>
        </w:rPr>
        <w:t>99.1</w:t>
      </w:r>
      <w:r>
        <w:rPr>
          <w:sz w:val="20"/>
          <w:szCs w:val="20"/>
          <w:color w:val="auto"/>
        </w:rPr>
        <w:tab/>
      </w:r>
      <w:hyperlink w:anchor="page4">
        <w:r>
          <w:rPr>
            <w:rFonts w:ascii="Arial" w:cs="Arial" w:eastAsia="Arial" w:hAnsi="Arial"/>
            <w:sz w:val="12"/>
            <w:szCs w:val="12"/>
            <w:u w:val="single" w:color="auto"/>
            <w:color w:val="0000EE"/>
          </w:rPr>
          <w:t>R&amp;D Day Presentation Highlights dated March 14, 2022 titled “Mereo BioPharma Alvelestat (MPH966) R&amp;D Day.”</w:t>
        </w:r>
      </w:hyperlink>
    </w:p>
    <w:p>
      <w:pPr>
        <w:sectPr>
          <w:pgSz w:w="11900" w:h="16838" w:orient="portrait"/>
          <w:cols w:equalWidth="0" w:num="1">
            <w:col w:w="9019"/>
          </w:cols>
          <w:pgMar w:left="1440" w:top="224" w:right="1440" w:bottom="1440" w:gutter="0" w:footer="0" w:header="0"/>
        </w:sectPr>
      </w:pPr>
    </w:p>
    <w:bookmarkStart w:id="2" w:name="page3"/>
    <w:bookmarkEnd w:id="2"/>
    <w:p>
      <w:pPr>
        <w:jc w:val="center"/>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14870" cy="29845"/>
                    </a:xfrm>
                    <a:prstGeom prst="rect">
                      <a:avLst/>
                    </a:prstGeom>
                    <a:noFill/>
                  </pic:spPr>
                </pic:pic>
              </a:graphicData>
            </a:graphic>
          </wp:anchor>
        </w:drawing>
        <w:t>SIGNATURES</w:t>
      </w:r>
    </w:p>
    <w:p>
      <w:pPr>
        <w:spacing w:after="0" w:line="152" w:lineRule="exact"/>
        <w:rPr>
          <w:sz w:val="20"/>
          <w:szCs w:val="20"/>
          <w:color w:val="auto"/>
        </w:rPr>
      </w:pPr>
    </w:p>
    <w:p>
      <w:pPr>
        <w:ind w:left="840" w:right="839" w:firstLine="367"/>
        <w:spacing w:after="0" w:line="271" w:lineRule="auto"/>
        <w:rPr>
          <w:sz w:val="20"/>
          <w:szCs w:val="20"/>
          <w:color w:val="auto"/>
        </w:rPr>
      </w:pPr>
      <w:r>
        <w:rPr>
          <w:rFonts w:ascii="Arial" w:cs="Arial" w:eastAsia="Arial" w:hAnsi="Arial"/>
          <w:sz w:val="13"/>
          <w:szCs w:val="13"/>
          <w:color w:val="auto"/>
        </w:rPr>
        <w:t>Pursuant to the requirements of the Securities Exchange Act of 1934, the registrant has duly caused this report to be signed on its behalf by the undersigned, thereunto duly authorized.</w:t>
      </w:r>
    </w:p>
    <w:p>
      <w:pPr>
        <w:spacing w:after="0" w:line="112" w:lineRule="exact"/>
        <w:rPr>
          <w:sz w:val="20"/>
          <w:szCs w:val="20"/>
          <w:color w:val="auto"/>
        </w:rPr>
      </w:pPr>
    </w:p>
    <w:p>
      <w:pPr>
        <w:ind w:left="840"/>
        <w:spacing w:after="0"/>
        <w:rPr>
          <w:sz w:val="20"/>
          <w:szCs w:val="20"/>
          <w:color w:val="auto"/>
        </w:rPr>
      </w:pPr>
      <w:r>
        <w:rPr>
          <w:rFonts w:ascii="Arial" w:cs="Arial" w:eastAsia="Arial" w:hAnsi="Arial"/>
          <w:sz w:val="13"/>
          <w:szCs w:val="13"/>
          <w:color w:val="auto"/>
        </w:rPr>
        <w:t>Date: March 14, 2022</w:t>
      </w:r>
    </w:p>
    <w:p>
      <w:pPr>
        <w:spacing w:after="0" w:line="162" w:lineRule="exact"/>
        <w:rPr>
          <w:sz w:val="20"/>
          <w:szCs w:val="20"/>
          <w:color w:val="auto"/>
        </w:rPr>
      </w:pPr>
    </w:p>
    <w:p>
      <w:pPr>
        <w:ind w:left="5240"/>
        <w:spacing w:after="0"/>
        <w:rPr>
          <w:sz w:val="20"/>
          <w:szCs w:val="20"/>
          <w:color w:val="auto"/>
        </w:rPr>
      </w:pPr>
      <w:r>
        <w:rPr>
          <w:rFonts w:ascii="Arial" w:cs="Arial" w:eastAsia="Arial" w:hAnsi="Arial"/>
          <w:sz w:val="13"/>
          <w:szCs w:val="13"/>
          <w:b w:val="1"/>
          <w:bCs w:val="1"/>
          <w:color w:val="auto"/>
        </w:rPr>
        <w:t>MEREO BIOPHARMA GROUP PLC</w:t>
      </w:r>
    </w:p>
    <w:p>
      <w:pPr>
        <w:spacing w:after="0" w:line="152" w:lineRule="exact"/>
        <w:rPr>
          <w:sz w:val="20"/>
          <w:szCs w:val="20"/>
          <w:color w:val="auto"/>
        </w:rPr>
      </w:pPr>
    </w:p>
    <w:p>
      <w:pPr>
        <w:ind w:left="5240"/>
        <w:spacing w:after="0"/>
        <w:rPr>
          <w:sz w:val="20"/>
          <w:szCs w:val="20"/>
          <w:color w:val="auto"/>
        </w:rPr>
      </w:pPr>
      <w:r>
        <w:rPr>
          <w:rFonts w:ascii="Arial" w:cs="Arial" w:eastAsia="Arial" w:hAnsi="Arial"/>
          <w:sz w:val="13"/>
          <w:szCs w:val="13"/>
          <w:color w:val="auto"/>
        </w:rPr>
        <w:t>By: /s/ Charles Sermon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3482975</wp:posOffset>
            </wp:positionH>
            <wp:positionV relativeFrom="paragraph">
              <wp:posOffset>8890</wp:posOffset>
            </wp:positionV>
            <wp:extent cx="1708785"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708785" cy="5715"/>
                    </a:xfrm>
                    <a:prstGeom prst="rect">
                      <a:avLst/>
                    </a:prstGeom>
                    <a:noFill/>
                  </pic:spPr>
                </pic:pic>
              </a:graphicData>
            </a:graphic>
          </wp:anchor>
        </w:drawing>
      </w:r>
    </w:p>
    <w:p>
      <w:pPr>
        <w:spacing w:after="0" w:line="2" w:lineRule="exact"/>
        <w:rPr>
          <w:sz w:val="20"/>
          <w:szCs w:val="20"/>
          <w:color w:val="auto"/>
        </w:rPr>
      </w:pPr>
    </w:p>
    <w:p>
      <w:pPr>
        <w:ind w:left="5480"/>
        <w:spacing w:after="0"/>
        <w:tabs>
          <w:tab w:leader="none" w:pos="5940" w:val="left"/>
        </w:tabs>
        <w:rPr>
          <w:sz w:val="20"/>
          <w:szCs w:val="20"/>
          <w:color w:val="auto"/>
        </w:rPr>
      </w:pPr>
      <w:r>
        <w:rPr>
          <w:rFonts w:ascii="Arial" w:cs="Arial" w:eastAsia="Arial" w:hAnsi="Arial"/>
          <w:sz w:val="13"/>
          <w:szCs w:val="13"/>
          <w:color w:val="auto"/>
        </w:rPr>
        <w:t>Name:</w:t>
      </w:r>
      <w:r>
        <w:rPr>
          <w:sz w:val="20"/>
          <w:szCs w:val="20"/>
          <w:color w:val="auto"/>
        </w:rPr>
        <w:tab/>
      </w:r>
      <w:r>
        <w:rPr>
          <w:rFonts w:ascii="Arial" w:cs="Arial" w:eastAsia="Arial" w:hAnsi="Arial"/>
          <w:sz w:val="11"/>
          <w:szCs w:val="11"/>
          <w:color w:val="auto"/>
        </w:rPr>
        <w:t>Charles Sermon</w:t>
      </w:r>
    </w:p>
    <w:p>
      <w:pPr>
        <w:spacing w:after="0" w:line="14" w:lineRule="exact"/>
        <w:rPr>
          <w:sz w:val="20"/>
          <w:szCs w:val="20"/>
          <w:color w:val="auto"/>
        </w:rPr>
      </w:pPr>
    </w:p>
    <w:p>
      <w:pPr>
        <w:ind w:left="5480"/>
        <w:spacing w:after="0"/>
        <w:tabs>
          <w:tab w:leader="none" w:pos="5940" w:val="left"/>
        </w:tabs>
        <w:rPr>
          <w:sz w:val="20"/>
          <w:szCs w:val="20"/>
          <w:color w:val="auto"/>
        </w:rPr>
      </w:pPr>
      <w:r>
        <w:rPr>
          <w:rFonts w:ascii="Arial" w:cs="Arial" w:eastAsia="Arial" w:hAnsi="Arial"/>
          <w:sz w:val="13"/>
          <w:szCs w:val="13"/>
          <w:color w:val="auto"/>
        </w:rPr>
        <w:t>Title:</w:t>
        <w:tab/>
        <w:t>General Counsel</w:t>
      </w:r>
    </w:p>
    <w:p>
      <w:pPr>
        <w:sectPr>
          <w:pgSz w:w="11900" w:h="16838" w:orient="portrait"/>
          <w:cols w:equalWidth="0" w:num="1">
            <w:col w:w="9019"/>
          </w:cols>
          <w:pgMar w:left="1440" w:top="224" w:right="1440" w:bottom="1440" w:gutter="0" w:footer="0" w:header="0"/>
        </w:sectPr>
      </w:pPr>
    </w:p>
    <w:bookmarkStart w:id="3" w:name="page4"/>
    <w:bookmarkEnd w:id="3"/>
    <w:p>
      <w:pPr>
        <w:spacing w:after="0"/>
        <w:tabs>
          <w:tab w:leader="none" w:pos="5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1148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721868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tabs>
          <w:tab w:leader="none" w:pos="5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tabs>
          <w:tab w:leader="none" w:pos="5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tabs>
          <w:tab w:leader="none" w:pos="5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tabs>
          <w:tab w:leader="none" w:pos="5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tabs>
          <w:tab w:leader="none" w:pos="5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tabs>
          <w:tab w:leader="none" w:pos="5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tabs>
          <w:tab w:leader="none" w:pos="5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tabs>
          <w:tab w:leader="none" w:pos="5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tabs>
          <w:tab w:leader="none" w:pos="5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tabs>
          <w:tab w:leader="none" w:pos="5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tabs>
          <w:tab w:leader="none" w:pos="5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tabs>
          <w:tab w:leader="none" w:pos="5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tabs>
          <w:tab w:leader="none" w:pos="5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tabs>
          <w:tab w:leader="none" w:pos="5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tabs>
          <w:tab w:leader="none" w:pos="5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tabs>
          <w:tab w:leader="none" w:pos="5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tabs>
          <w:tab w:leader="none" w:pos="5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tabs>
          <w:tab w:leader="none" w:pos="5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tabs>
          <w:tab w:leader="none" w:pos="5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2022-03-14T09:07:21Z</dcterms:created>
  <dcterms:modified xsi:type="dcterms:W3CDTF">2022-03-14T09:07:21Z</dcterms:modified>
</cp:coreProperties>
</file>