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9" w:lineRule="exact"/>
        <w:rPr>
          <w:sz w:val="24"/>
          <w:szCs w:val="24"/>
          <w:color w:val="auto"/>
        </w:rPr>
      </w:pPr>
    </w:p>
    <w:p>
      <w:pPr>
        <w:ind w:left="340" w:right="8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-224790</wp:posOffset>
            </wp:positionV>
            <wp:extent cx="121920" cy="1219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14" w:lineRule="exact"/>
        <w:rPr>
          <w:sz w:val="24"/>
          <w:szCs w:val="24"/>
          <w:color w:val="auto"/>
        </w:rPr>
      </w:pPr>
    </w:p>
    <w:p>
      <w:pPr>
        <w:ind w:left="340"/>
        <w:spacing w:after="0" w:line="22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-654685</wp:posOffset>
            </wp:positionV>
            <wp:extent cx="121920" cy="1219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60" w:type="dxa"/>
            <w:vAlign w:val="bottom"/>
          </w:tcPr>
          <w:p>
            <w:pPr>
              <w:jc w:val="center"/>
              <w:ind w:right="17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60" w:type="dxa"/>
            <w:vAlign w:val="bottom"/>
            <w:vMerge w:val="restart"/>
          </w:tcPr>
          <w:p>
            <w:pPr>
              <w:jc w:val="center"/>
              <w:ind w:right="17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5241925</wp:posOffset>
            </wp:positionH>
            <wp:positionV relativeFrom="paragraph">
              <wp:posOffset>-621030</wp:posOffset>
            </wp:positionV>
            <wp:extent cx="5778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4365"/>
                    </a:xfrm>
                    <a:prstGeom prst="rect">
                      <a:avLst/>
                    </a:prstGeom>
                    <a:noFill/>
                  </pic:spPr>
                </pic:pic>
              </a:graphicData>
            </a:graphic>
          </wp:anchor>
        </w:drawing>
        <w:drawing>
          <wp:anchor simplePos="0" relativeHeight="251657728" behindDoc="1" locked="0" layoutInCell="0" allowOverlap="1">
            <wp:simplePos x="0" y="0"/>
            <wp:positionH relativeFrom="column">
              <wp:posOffset>3966845</wp:posOffset>
            </wp:positionH>
            <wp:positionV relativeFrom="paragraph">
              <wp:posOffset>-621030</wp:posOffset>
            </wp:positionV>
            <wp:extent cx="57785" cy="6343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436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737235</wp:posOffset>
            </wp:positionV>
            <wp:extent cx="7047230" cy="51428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5142865"/>
                    </a:xfrm>
                    <a:prstGeom prst="rect">
                      <a:avLst/>
                    </a:prstGeom>
                    <a:noFill/>
                  </pic:spPr>
                </pic:pic>
              </a:graphicData>
            </a:graphic>
          </wp:anchor>
        </w:drawing>
      </w:r>
    </w:p>
    <w:p>
      <w:pPr>
        <w:spacing w:after="0" w:line="1223" w:lineRule="exact"/>
        <w:rPr>
          <w:sz w:val="24"/>
          <w:szCs w:val="24"/>
          <w:color w:val="auto"/>
        </w:rPr>
      </w:pPr>
    </w:p>
    <w:p>
      <w:pPr>
        <w:sectPr>
          <w:pgSz w:w="11900" w:h="16838" w:orient="portrait"/>
          <w:cols w:equalWidth="0" w:num="2">
            <w:col w:w="2300" w:space="300"/>
            <w:col w:w="8480"/>
          </w:cols>
          <w:pgMar w:left="460" w:top="217"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WYZGA MICHAEL S</w:t>
        </w:r>
      </w:hyperlink>
    </w:p>
    <w:p>
      <w:pPr>
        <w:spacing w:after="0" w:line="29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8" w:lineRule="exact"/>
        <w:rPr>
          <w:sz w:val="24"/>
          <w:szCs w:val="24"/>
          <w:color w:val="auto"/>
        </w:rPr>
      </w:pPr>
    </w:p>
    <w:p>
      <w:pPr>
        <w:ind w:left="120" w:right="260"/>
        <w:spacing w:after="0" w:line="375" w:lineRule="auto"/>
        <w:rPr>
          <w:sz w:val="20"/>
          <w:szCs w:val="20"/>
          <w:color w:val="auto"/>
        </w:rPr>
      </w:pPr>
      <w:r>
        <w:rPr>
          <w:rFonts w:ascii="Times New Roman" w:cs="Times New Roman" w:eastAsia="Times New Roman" w:hAnsi="Times New Roman"/>
          <w:sz w:val="16"/>
          <w:szCs w:val="16"/>
          <w:color w:val="0000FF"/>
        </w:rPr>
        <w:t>C/O MEREO BIOPHARMA GROUP PLC 4TH FLOOR, ONE CAVENDISH PLACE</w:t>
      </w:r>
    </w:p>
    <w:p>
      <w:pPr>
        <w:spacing w:after="0" w:line="154"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0"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7"/>
          <w:szCs w:val="17"/>
          <w:color w:val="0000FF"/>
        </w:rPr>
        <w:t>LONDON</w:t>
      </w:r>
      <w:r>
        <w:rPr>
          <w:sz w:val="20"/>
          <w:szCs w:val="20"/>
          <w:color w:val="auto"/>
        </w:rPr>
        <w:tab/>
      </w:r>
      <w:r>
        <w:rPr>
          <w:rFonts w:ascii="Times New Roman" w:cs="Times New Roman" w:eastAsia="Times New Roman" w:hAnsi="Times New Roman"/>
          <w:sz w:val="17"/>
          <w:szCs w:val="17"/>
          <w:color w:val="0000FF"/>
        </w:rPr>
        <w:t>X0</w:t>
      </w:r>
      <w:r>
        <w:rPr>
          <w:sz w:val="20"/>
          <w:szCs w:val="20"/>
          <w:color w:val="auto"/>
        </w:rPr>
        <w:tab/>
      </w:r>
      <w:r>
        <w:rPr>
          <w:rFonts w:ascii="Times New Roman" w:cs="Times New Roman" w:eastAsia="Times New Roman" w:hAnsi="Times New Roman"/>
          <w:sz w:val="16"/>
          <w:szCs w:val="16"/>
          <w:color w:val="0000FF"/>
        </w:rPr>
        <w:t>W1G 0QF</w:t>
      </w:r>
    </w:p>
    <w:p>
      <w:pPr>
        <w:spacing w:after="0" w:line="316"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0"/>
        </w:trPr>
        <w:tc>
          <w:tcPr>
            <w:tcW w:w="3820" w:type="dxa"/>
            <w:vAlign w:val="bottom"/>
            <w:gridSpan w:val="4"/>
          </w:tcPr>
          <w:p>
            <w:pPr>
              <w:ind w:left="60"/>
              <w:spacing w:after="0" w:line="141"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Mereo BioPharma Group plc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MREO</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6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260" w:type="dxa"/>
            <w:vAlign w:val="bottom"/>
            <w:tcBorders>
              <w:bottom w:val="single" w:sz="8" w:color="0000EE"/>
            </w:tcBorders>
          </w:tcPr>
          <w:p>
            <w:pPr>
              <w:spacing w:after="0"/>
              <w:rPr>
                <w:sz w:val="3"/>
                <w:szCs w:val="3"/>
                <w:color w:val="auto"/>
              </w:rPr>
            </w:pPr>
          </w:p>
        </w:tc>
        <w:tc>
          <w:tcPr>
            <w:tcW w:w="13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4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48"/>
        </w:trPr>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40" w:type="dxa"/>
            <w:vAlign w:val="bottom"/>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6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tcPr>
          <w:p>
            <w:pPr>
              <w:spacing w:after="0"/>
              <w:rPr>
                <w:sz w:val="10"/>
                <w:szCs w:val="10"/>
                <w:color w:val="auto"/>
              </w:rPr>
            </w:pPr>
          </w:p>
        </w:tc>
        <w:tc>
          <w:tcPr>
            <w:tcW w:w="138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4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1"/>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4"/>
                <w:szCs w:val="4"/>
                <w:color w:val="auto"/>
              </w:rPr>
            </w:pPr>
          </w:p>
        </w:tc>
        <w:tc>
          <w:tcPr>
            <w:tcW w:w="164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8"/>
        </w:trPr>
        <w:tc>
          <w:tcPr>
            <w:tcW w:w="180" w:type="dxa"/>
            <w:vAlign w:val="bottom"/>
            <w:gridSpan w:val="2"/>
            <w:vMerge w:val="continue"/>
          </w:tcPr>
          <w:p>
            <w:pPr>
              <w:spacing w:after="0"/>
              <w:rPr>
                <w:sz w:val="11"/>
                <w:szCs w:val="11"/>
                <w:color w:val="auto"/>
              </w:rPr>
            </w:pPr>
          </w:p>
        </w:tc>
        <w:tc>
          <w:tcPr>
            <w:tcW w:w="364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640" w:type="dxa"/>
            <w:vAlign w:val="bottom"/>
          </w:tcPr>
          <w:p>
            <w:pPr>
              <w:ind w:left="400"/>
              <w:spacing w:after="0" w:line="128" w:lineRule="exact"/>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line="128"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6"/>
        </w:trPr>
        <w:tc>
          <w:tcPr>
            <w:tcW w:w="24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02/05/2025</w:t>
            </w: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60" w:type="dxa"/>
            <w:vAlign w:val="bottom"/>
            <w:tcBorders>
              <w:bottom w:val="single" w:sz="8" w:color="2C2C2C"/>
            </w:tcBorders>
          </w:tcPr>
          <w:p>
            <w:pPr>
              <w:spacing w:after="0"/>
              <w:rPr>
                <w:sz w:val="23"/>
                <w:szCs w:val="23"/>
                <w:color w:val="auto"/>
              </w:rPr>
            </w:pPr>
          </w:p>
        </w:tc>
        <w:tc>
          <w:tcPr>
            <w:tcW w:w="120" w:type="dxa"/>
            <w:vAlign w:val="bottom"/>
            <w:tcBorders>
              <w:bottom w:val="single" w:sz="8" w:color="2C2C2C"/>
            </w:tcBorders>
          </w:tcPr>
          <w:p>
            <w:pPr>
              <w:spacing w:after="0"/>
              <w:rPr>
                <w:sz w:val="23"/>
                <w:szCs w:val="23"/>
                <w:color w:val="auto"/>
              </w:rPr>
            </w:pPr>
          </w:p>
        </w:tc>
        <w:tc>
          <w:tcPr>
            <w:tcW w:w="2260" w:type="dxa"/>
            <w:vAlign w:val="bottom"/>
            <w:tcBorders>
              <w:bottom w:val="single" w:sz="8" w:color="2C2C2C"/>
            </w:tcBorders>
          </w:tcPr>
          <w:p>
            <w:pPr>
              <w:spacing w:after="0"/>
              <w:rPr>
                <w:sz w:val="23"/>
                <w:szCs w:val="23"/>
                <w:color w:val="auto"/>
              </w:rPr>
            </w:pPr>
          </w:p>
        </w:tc>
        <w:tc>
          <w:tcPr>
            <w:tcW w:w="1380" w:type="dxa"/>
            <w:vAlign w:val="bottom"/>
            <w:tcBorders>
              <w:bottom w:val="single" w:sz="8" w:color="2C2C2C"/>
            </w:tcBorders>
          </w:tcPr>
          <w:p>
            <w:pPr>
              <w:spacing w:after="0"/>
              <w:rPr>
                <w:sz w:val="23"/>
                <w:szCs w:val="23"/>
                <w:color w:val="auto"/>
              </w:rPr>
            </w:pPr>
          </w:p>
        </w:tc>
        <w:tc>
          <w:tcPr>
            <w:tcW w:w="200" w:type="dxa"/>
            <w:vAlign w:val="bottom"/>
            <w:tcBorders>
              <w:bottom w:val="single" w:sz="8" w:color="2C2C2C"/>
            </w:tcBorders>
          </w:tcPr>
          <w:p>
            <w:pPr>
              <w:spacing w:after="0"/>
              <w:rPr>
                <w:sz w:val="23"/>
                <w:szCs w:val="23"/>
                <w:color w:val="auto"/>
              </w:rPr>
            </w:pPr>
          </w:p>
        </w:tc>
        <w:tc>
          <w:tcPr>
            <w:tcW w:w="3100" w:type="dxa"/>
            <w:vAlign w:val="bottom"/>
            <w:tcBorders>
              <w:bottom w:val="single" w:sz="8" w:color="2C2C2C"/>
            </w:tcBorders>
            <w:gridSpan w:val="2"/>
          </w:tcPr>
          <w:p>
            <w:pPr>
              <w:spacing w:after="0"/>
              <w:rPr>
                <w:sz w:val="23"/>
                <w:szCs w:val="23"/>
                <w:color w:val="auto"/>
              </w:rPr>
            </w:pPr>
          </w:p>
        </w:tc>
        <w:tc>
          <w:tcPr>
            <w:tcW w:w="0" w:type="dxa"/>
            <w:vAlign w:val="bottom"/>
          </w:tcPr>
          <w:p>
            <w:pPr>
              <w:spacing w:after="0"/>
              <w:rPr>
                <w:sz w:val="1"/>
                <w:szCs w:val="1"/>
                <w:color w:val="auto"/>
              </w:rPr>
            </w:pPr>
          </w:p>
        </w:tc>
      </w:tr>
      <w:tr>
        <w:trPr>
          <w:trHeight w:val="191"/>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spacing w:after="0" w:line="43"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6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78" w:lineRule="exact"/>
        <w:rPr>
          <w:sz w:val="24"/>
          <w:szCs w:val="24"/>
          <w:color w:val="auto"/>
        </w:rPr>
      </w:pPr>
    </w:p>
    <w:p>
      <w:pPr>
        <w:sectPr>
          <w:pgSz w:w="11900" w:h="16838" w:orient="portrait"/>
          <w:cols w:equalWidth="0" w:num="2">
            <w:col w:w="3260" w:space="58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00"/>
              <w:spacing w:after="0" w:line="127"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7"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27" w:lineRule="exact"/>
              <w:rPr>
                <w:sz w:val="20"/>
                <w:szCs w:val="20"/>
                <w:color w:val="auto"/>
              </w:rPr>
            </w:pPr>
            <w:r>
              <w:rPr>
                <w:rFonts w:ascii="Arial" w:cs="Arial" w:eastAsia="Arial" w:hAnsi="Arial"/>
                <w:sz w:val="12"/>
                <w:szCs w:val="12"/>
                <w:b w:val="1"/>
                <w:bCs w:val="1"/>
                <w:color w:val="auto"/>
                <w:w w:val="99"/>
              </w:rPr>
              <w:t>Transaction</w:t>
            </w:r>
          </w:p>
        </w:tc>
        <w:tc>
          <w:tcPr>
            <w:tcW w:w="1920" w:type="dxa"/>
            <w:vAlign w:val="bottom"/>
            <w:gridSpan w:val="3"/>
          </w:tcPr>
          <w:p>
            <w:pPr>
              <w:ind w:left="60"/>
              <w:spacing w:after="0" w:line="127"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7"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100"/>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tcPr>
          <w:p>
            <w:pPr>
              <w:ind w:left="100"/>
              <w:spacing w:after="0" w:line="127"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(D) or Indirect</w:t>
            </w:r>
          </w:p>
        </w:tc>
        <w:tc>
          <w:tcPr>
            <w:tcW w:w="8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(I) (Instr. 4)</w:t>
            </w:r>
          </w:p>
        </w:tc>
        <w:tc>
          <w:tcPr>
            <w:tcW w:w="8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8"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vMerge w:val="restart"/>
          </w:tcPr>
          <w:p>
            <w:pPr>
              <w:ind w:left="10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200"/>
              <w:spacing w:after="0" w:line="128"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2"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97"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Conversion</w:t>
            </w:r>
          </w:p>
        </w:tc>
        <w:tc>
          <w:tcPr>
            <w:tcW w:w="10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Expiration Date</w:t>
            </w: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of Securities</w:t>
            </w:r>
          </w:p>
        </w:tc>
        <w:tc>
          <w:tcPr>
            <w:tcW w:w="54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Ownership</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8"/>
        </w:trPr>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or Exercise</w:t>
            </w:r>
          </w:p>
        </w:tc>
        <w:tc>
          <w:tcPr>
            <w:tcW w:w="10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10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Underlying</w:t>
            </w:r>
          </w:p>
        </w:tc>
        <w:tc>
          <w:tcPr>
            <w:tcW w:w="54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8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5)</w:t>
            </w: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Direct (D)</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or Indirect</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w w:val="99"/>
              </w:rPr>
              <w:t>of (D) (Instr.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9"/>
              </w:rPr>
              <w:t>Transaction(s)</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Expiration</w:t>
            </w:r>
          </w:p>
        </w:tc>
        <w:tc>
          <w:tcPr>
            <w:tcW w:w="760" w:type="dxa"/>
            <w:vAlign w:val="bottom"/>
          </w:tcPr>
          <w:p>
            <w:pPr>
              <w:spacing w:after="0"/>
              <w:rPr>
                <w:sz w:val="11"/>
                <w:szCs w:val="11"/>
                <w:color w:val="auto"/>
              </w:rPr>
            </w:pPr>
          </w:p>
        </w:tc>
        <w:tc>
          <w:tcPr>
            <w:tcW w:w="54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Share</w:t>
            </w:r>
          </w:p>
        </w:tc>
        <w:tc>
          <w:tcPr>
            <w:tcW w:w="7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vMerge w:val="restart"/>
          </w:tcPr>
          <w:p>
            <w:pPr>
              <w:jc w:val="center"/>
              <w:ind w:right="1"/>
              <w:spacing w:after="0"/>
              <w:rPr>
                <w:sz w:val="20"/>
                <w:szCs w:val="20"/>
                <w:color w:val="auto"/>
              </w:rPr>
            </w:pPr>
            <w:r>
              <w:rPr>
                <w:rFonts w:ascii="Times New Roman" w:cs="Times New Roman" w:eastAsia="Times New Roman" w:hAnsi="Times New Roman"/>
                <w:sz w:val="13"/>
                <w:szCs w:val="13"/>
                <w:color w:val="0000FF"/>
                <w:w w:val="97"/>
              </w:rPr>
              <w:t>American</w:t>
            </w: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1"/>
        </w:trPr>
        <w:tc>
          <w:tcPr>
            <w:tcW w:w="680" w:type="dxa"/>
            <w:vAlign w:val="bottom"/>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Options</w:t>
            </w:r>
          </w:p>
        </w:tc>
        <w:tc>
          <w:tcPr>
            <w:tcW w:w="7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800" w:type="dxa"/>
            <w:vAlign w:val="bottom"/>
          </w:tcPr>
          <w:p>
            <w:pPr>
              <w:spacing w:after="0"/>
              <w:rPr>
                <w:sz w:val="4"/>
                <w:szCs w:val="4"/>
                <w:color w:val="auto"/>
              </w:rPr>
            </w:pPr>
          </w:p>
        </w:tc>
        <w:tc>
          <w:tcPr>
            <w:tcW w:w="500" w:type="dxa"/>
            <w:vAlign w:val="bottom"/>
          </w:tcPr>
          <w:p>
            <w:pPr>
              <w:spacing w:after="0"/>
              <w:rPr>
                <w:sz w:val="4"/>
                <w:szCs w:val="4"/>
                <w:color w:val="auto"/>
              </w:rPr>
            </w:pPr>
          </w:p>
        </w:tc>
        <w:tc>
          <w:tcPr>
            <w:tcW w:w="280" w:type="dxa"/>
            <w:vAlign w:val="bottom"/>
          </w:tcPr>
          <w:p>
            <w:pPr>
              <w:spacing w:after="0"/>
              <w:rPr>
                <w:sz w:val="4"/>
                <w:szCs w:val="4"/>
                <w:color w:val="auto"/>
              </w:rPr>
            </w:pPr>
          </w:p>
        </w:tc>
        <w:tc>
          <w:tcPr>
            <w:tcW w:w="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540" w:type="dxa"/>
            <w:vAlign w:val="bottom"/>
            <w:vMerge w:val="restart"/>
          </w:tcPr>
          <w:p>
            <w:pPr>
              <w:ind w:left="20"/>
              <w:spacing w:after="0" w:line="192" w:lineRule="exact"/>
              <w:rPr>
                <w:sz w:val="20"/>
                <w:szCs w:val="20"/>
                <w:color w:val="auto"/>
              </w:rPr>
            </w:pPr>
            <w:r>
              <w:rPr>
                <w:rFonts w:ascii="Times New Roman" w:cs="Times New Roman" w:eastAsia="Times New Roman" w:hAnsi="Times New Roman"/>
                <w:sz w:val="17"/>
                <w:szCs w:val="17"/>
                <w:color w:val="0000FF"/>
              </w:rPr>
              <w:t>55,000</w:t>
            </w:r>
          </w:p>
        </w:tc>
        <w:tc>
          <w:tcPr>
            <w:tcW w:w="6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4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0"/>
        </w:trPr>
        <w:tc>
          <w:tcPr>
            <w:tcW w:w="680" w:type="dxa"/>
            <w:vAlign w:val="bottom"/>
            <w:vMerge w:val="continue"/>
          </w:tcPr>
          <w:p>
            <w:pPr>
              <w:spacing w:after="0"/>
              <w:rPr>
                <w:sz w:val="7"/>
                <w:szCs w:val="7"/>
                <w:color w:val="auto"/>
              </w:rPr>
            </w:pPr>
          </w:p>
        </w:tc>
        <w:tc>
          <w:tcPr>
            <w:tcW w:w="780" w:type="dxa"/>
            <w:vAlign w:val="bottom"/>
            <w:vMerge w:val="restart"/>
          </w:tcPr>
          <w:p>
            <w:pPr>
              <w:jc w:val="center"/>
              <w:ind w:right="163"/>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3.16</w:t>
            </w:r>
          </w:p>
        </w:tc>
        <w:tc>
          <w:tcPr>
            <w:tcW w:w="1060" w:type="dxa"/>
            <w:vAlign w:val="bottom"/>
            <w:vMerge w:val="restart"/>
          </w:tcPr>
          <w:p>
            <w:pPr>
              <w:jc w:val="right"/>
              <w:ind w:right="180"/>
              <w:spacing w:after="0" w:line="141" w:lineRule="exact"/>
              <w:rPr>
                <w:sz w:val="20"/>
                <w:szCs w:val="20"/>
                <w:color w:val="auto"/>
              </w:rPr>
            </w:pPr>
            <w:r>
              <w:rPr>
                <w:rFonts w:ascii="Times New Roman" w:cs="Times New Roman" w:eastAsia="Times New Roman" w:hAnsi="Times New Roman"/>
                <w:sz w:val="13"/>
                <w:szCs w:val="13"/>
                <w:color w:val="0000FF"/>
              </w:rPr>
              <w:t>02/05/2025</w:t>
            </w:r>
          </w:p>
        </w:tc>
        <w:tc>
          <w:tcPr>
            <w:tcW w:w="1080" w:type="dxa"/>
            <w:vAlign w:val="bottom"/>
          </w:tcPr>
          <w:p>
            <w:pPr>
              <w:spacing w:after="0"/>
              <w:rPr>
                <w:sz w:val="7"/>
                <w:szCs w:val="7"/>
                <w:color w:val="auto"/>
              </w:rPr>
            </w:pPr>
          </w:p>
        </w:tc>
        <w:tc>
          <w:tcPr>
            <w:tcW w:w="800" w:type="dxa"/>
            <w:vAlign w:val="bottom"/>
            <w:vMerge w:val="restart"/>
          </w:tcPr>
          <w:p>
            <w:pPr>
              <w:ind w:left="160"/>
              <w:spacing w:after="0" w:line="141" w:lineRule="exact"/>
              <w:rPr>
                <w:sz w:val="20"/>
                <w:szCs w:val="20"/>
                <w:color w:val="auto"/>
              </w:rPr>
            </w:pPr>
            <w:r>
              <w:rPr>
                <w:rFonts w:ascii="Times New Roman" w:cs="Times New Roman" w:eastAsia="Times New Roman" w:hAnsi="Times New Roman"/>
                <w:sz w:val="13"/>
                <w:szCs w:val="13"/>
                <w:color w:val="0000FF"/>
              </w:rPr>
              <w:t>A</w:t>
            </w:r>
          </w:p>
        </w:tc>
        <w:tc>
          <w:tcPr>
            <w:tcW w:w="500" w:type="dxa"/>
            <w:vAlign w:val="bottom"/>
            <w:vMerge w:val="restart"/>
          </w:tcPr>
          <w:p>
            <w:pPr>
              <w:ind w:left="80"/>
              <w:spacing w:after="0" w:line="141" w:lineRule="exact"/>
              <w:rPr>
                <w:sz w:val="20"/>
                <w:szCs w:val="20"/>
                <w:color w:val="auto"/>
              </w:rPr>
            </w:pPr>
            <w:r>
              <w:rPr>
                <w:rFonts w:ascii="Times New Roman" w:cs="Times New Roman" w:eastAsia="Times New Roman" w:hAnsi="Times New Roman"/>
                <w:sz w:val="13"/>
                <w:szCs w:val="13"/>
                <w:color w:val="0000FF"/>
              </w:rPr>
              <w:t>55,000</w:t>
            </w:r>
          </w:p>
        </w:tc>
        <w:tc>
          <w:tcPr>
            <w:tcW w:w="280" w:type="dxa"/>
            <w:vAlign w:val="bottom"/>
          </w:tcPr>
          <w:p>
            <w:pPr>
              <w:spacing w:after="0"/>
              <w:rPr>
                <w:sz w:val="7"/>
                <w:szCs w:val="7"/>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vMerge w:val="restart"/>
          </w:tcPr>
          <w:p>
            <w:pPr>
              <w:jc w:val="right"/>
              <w:ind w:right="2"/>
              <w:spacing w:after="0" w:line="141" w:lineRule="exact"/>
              <w:rPr>
                <w:sz w:val="20"/>
                <w:szCs w:val="20"/>
                <w:color w:val="auto"/>
              </w:rPr>
            </w:pPr>
            <w:r>
              <w:rPr>
                <w:rFonts w:ascii="Times New Roman" w:cs="Times New Roman" w:eastAsia="Times New Roman" w:hAnsi="Times New Roman"/>
                <w:sz w:val="13"/>
                <w:szCs w:val="13"/>
                <w:color w:val="0000FF"/>
              </w:rPr>
              <w:t>02/05/2035</w:t>
            </w:r>
          </w:p>
        </w:tc>
        <w:tc>
          <w:tcPr>
            <w:tcW w:w="760" w:type="dxa"/>
            <w:vAlign w:val="bottom"/>
            <w:vMerge w:val="restart"/>
          </w:tcPr>
          <w:p>
            <w:pPr>
              <w:ind w:left="80"/>
              <w:spacing w:after="0" w:line="141" w:lineRule="exact"/>
              <w:rPr>
                <w:sz w:val="20"/>
                <w:szCs w:val="20"/>
                <w:color w:val="auto"/>
              </w:rPr>
            </w:pPr>
            <w:r>
              <w:rPr>
                <w:rFonts w:ascii="Times New Roman" w:cs="Times New Roman" w:eastAsia="Times New Roman" w:hAnsi="Times New Roman"/>
                <w:sz w:val="13"/>
                <w:szCs w:val="13"/>
                <w:color w:val="0000FF"/>
              </w:rPr>
              <w:t>Depositary</w:t>
            </w:r>
          </w:p>
        </w:tc>
        <w:tc>
          <w:tcPr>
            <w:tcW w:w="540" w:type="dxa"/>
            <w:vAlign w:val="bottom"/>
            <w:vMerge w:val="continue"/>
          </w:tcPr>
          <w:p>
            <w:pPr>
              <w:spacing w:after="0"/>
              <w:rPr>
                <w:sz w:val="7"/>
                <w:szCs w:val="7"/>
                <w:color w:val="auto"/>
              </w:rPr>
            </w:pPr>
          </w:p>
        </w:tc>
        <w:tc>
          <w:tcPr>
            <w:tcW w:w="680" w:type="dxa"/>
            <w:vAlign w:val="bottom"/>
            <w:vMerge w:val="restart"/>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20" w:type="dxa"/>
            <w:vAlign w:val="bottom"/>
            <w:vMerge w:val="restart"/>
          </w:tcPr>
          <w:p>
            <w:pPr>
              <w:ind w:left="300"/>
              <w:spacing w:after="0" w:line="141" w:lineRule="exact"/>
              <w:rPr>
                <w:sz w:val="20"/>
                <w:szCs w:val="20"/>
                <w:color w:val="auto"/>
              </w:rPr>
            </w:pPr>
            <w:r>
              <w:rPr>
                <w:rFonts w:ascii="Times New Roman" w:cs="Times New Roman" w:eastAsia="Times New Roman" w:hAnsi="Times New Roman"/>
                <w:sz w:val="13"/>
                <w:szCs w:val="13"/>
                <w:color w:val="0000FF"/>
              </w:rPr>
              <w:t>55,000</w:t>
            </w:r>
          </w:p>
        </w:tc>
        <w:tc>
          <w:tcPr>
            <w:tcW w:w="740" w:type="dxa"/>
            <w:vAlign w:val="bottom"/>
            <w:vMerge w:val="restart"/>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1"/>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4"/>
                <w:szCs w:val="4"/>
                <w:color w:val="auto"/>
              </w:rPr>
            </w:pPr>
          </w:p>
        </w:tc>
        <w:tc>
          <w:tcPr>
            <w:tcW w:w="1060" w:type="dxa"/>
            <w:vAlign w:val="bottom"/>
            <w:vMerge w:val="continue"/>
          </w:tcPr>
          <w:p>
            <w:pPr>
              <w:spacing w:after="0"/>
              <w:rPr>
                <w:sz w:val="4"/>
                <w:szCs w:val="4"/>
                <w:color w:val="auto"/>
              </w:rPr>
            </w:pPr>
          </w:p>
        </w:tc>
        <w:tc>
          <w:tcPr>
            <w:tcW w:w="1080" w:type="dxa"/>
            <w:vAlign w:val="bottom"/>
          </w:tcPr>
          <w:p>
            <w:pPr>
              <w:spacing w:after="0"/>
              <w:rPr>
                <w:sz w:val="4"/>
                <w:szCs w:val="4"/>
                <w:color w:val="auto"/>
              </w:rPr>
            </w:pPr>
          </w:p>
        </w:tc>
        <w:tc>
          <w:tcPr>
            <w:tcW w:w="800" w:type="dxa"/>
            <w:vAlign w:val="bottom"/>
            <w:vMerge w:val="continue"/>
          </w:tcPr>
          <w:p>
            <w:pPr>
              <w:spacing w:after="0"/>
              <w:rPr>
                <w:sz w:val="4"/>
                <w:szCs w:val="4"/>
                <w:color w:val="auto"/>
              </w:rPr>
            </w:pPr>
          </w:p>
        </w:tc>
        <w:tc>
          <w:tcPr>
            <w:tcW w:w="500" w:type="dxa"/>
            <w:vAlign w:val="bottom"/>
            <w:vMerge w:val="continue"/>
          </w:tcPr>
          <w:p>
            <w:pPr>
              <w:spacing w:after="0"/>
              <w:rPr>
                <w:sz w:val="4"/>
                <w:szCs w:val="4"/>
                <w:color w:val="auto"/>
              </w:rPr>
            </w:pPr>
          </w:p>
        </w:tc>
        <w:tc>
          <w:tcPr>
            <w:tcW w:w="28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540" w:type="dxa"/>
            <w:vAlign w:val="bottom"/>
            <w:vMerge w:val="continue"/>
          </w:tcPr>
          <w:p>
            <w:pPr>
              <w:spacing w:after="0"/>
              <w:rPr>
                <w:sz w:val="4"/>
                <w:szCs w:val="4"/>
                <w:color w:val="auto"/>
              </w:rPr>
            </w:pPr>
          </w:p>
        </w:tc>
        <w:tc>
          <w:tcPr>
            <w:tcW w:w="680" w:type="dxa"/>
            <w:vAlign w:val="bottom"/>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680" w:type="dxa"/>
            <w:vAlign w:val="bottom"/>
            <w:vMerge w:val="continue"/>
          </w:tcPr>
          <w:p>
            <w:pPr>
              <w:spacing w:after="0"/>
              <w:rPr>
                <w:sz w:val="13"/>
                <w:szCs w:val="13"/>
                <w:color w:val="auto"/>
              </w:rPr>
            </w:pPr>
          </w:p>
        </w:tc>
        <w:tc>
          <w:tcPr>
            <w:tcW w:w="7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jc w:val="center"/>
              <w:ind w:right="1"/>
              <w:spacing w:after="0" w:line="154" w:lineRule="exact"/>
              <w:rPr>
                <w:sz w:val="20"/>
                <w:szCs w:val="20"/>
                <w:color w:val="auto"/>
              </w:rPr>
            </w:pPr>
            <w:r>
              <w:rPr>
                <w:rFonts w:ascii="Times New Roman" w:cs="Times New Roman" w:eastAsia="Times New Roman" w:hAnsi="Times New Roman"/>
                <w:sz w:val="11"/>
                <w:szCs w:val="11"/>
                <w:color w:val="0000FF"/>
              </w:rPr>
              <w:t>Shares</w:t>
            </w:r>
            <w:r>
              <w:rPr>
                <w:rFonts w:ascii="Times New Roman" w:cs="Times New Roman" w:eastAsia="Times New Roman" w:hAnsi="Times New Roman"/>
                <w:sz w:val="17"/>
                <w:szCs w:val="17"/>
                <w:color w:val="008000"/>
                <w:vertAlign w:val="superscript"/>
              </w:rPr>
              <w:t>(2)</w:t>
            </w: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680" w:type="dxa"/>
            <w:vAlign w:val="bottom"/>
            <w:tcBorders>
              <w:bottom w:val="single" w:sz="8" w:color="2C2C2C"/>
            </w:tcBorders>
          </w:tcPr>
          <w:p>
            <w:pPr>
              <w:ind w:left="60"/>
              <w:spacing w:after="0" w:line="141" w:lineRule="exact"/>
              <w:rPr>
                <w:sz w:val="20"/>
                <w:szCs w:val="20"/>
                <w:color w:val="auto"/>
              </w:rPr>
            </w:pPr>
            <w:r>
              <w:rPr>
                <w:rFonts w:ascii="Times New Roman" w:cs="Times New Roman" w:eastAsia="Times New Roman" w:hAnsi="Times New Roman"/>
                <w:sz w:val="13"/>
                <w:szCs w:val="13"/>
                <w:color w:val="0000FF"/>
              </w:rPr>
              <w:t>buy)</w:t>
            </w:r>
          </w:p>
        </w:tc>
        <w:tc>
          <w:tcPr>
            <w:tcW w:w="780" w:type="dxa"/>
            <w:vAlign w:val="bottom"/>
            <w:tcBorders>
              <w:bottom w:val="single" w:sz="8" w:color="2C2C2C"/>
            </w:tcBorders>
          </w:tcPr>
          <w:p>
            <w:pPr>
              <w:spacing w:after="0"/>
              <w:rPr>
                <w:sz w:val="12"/>
                <w:szCs w:val="12"/>
                <w:color w:val="auto"/>
              </w:rPr>
            </w:pPr>
          </w:p>
        </w:tc>
        <w:tc>
          <w:tcPr>
            <w:tcW w:w="1060" w:type="dxa"/>
            <w:vAlign w:val="bottom"/>
            <w:tcBorders>
              <w:bottom w:val="single" w:sz="8" w:color="2C2C2C"/>
            </w:tcBorders>
          </w:tcPr>
          <w:p>
            <w:pPr>
              <w:spacing w:after="0"/>
              <w:rPr>
                <w:sz w:val="12"/>
                <w:szCs w:val="12"/>
                <w:color w:val="auto"/>
              </w:rPr>
            </w:pPr>
          </w:p>
        </w:tc>
        <w:tc>
          <w:tcPr>
            <w:tcW w:w="108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92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Deferred</w:t>
            </w:r>
          </w:p>
        </w:tc>
        <w:tc>
          <w:tcPr>
            <w:tcW w:w="7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vMerge w:val="restart"/>
          </w:tcPr>
          <w:p>
            <w:pPr>
              <w:jc w:val="center"/>
              <w:ind w:right="1"/>
              <w:spacing w:after="0"/>
              <w:rPr>
                <w:sz w:val="20"/>
                <w:szCs w:val="20"/>
                <w:color w:val="auto"/>
              </w:rPr>
            </w:pPr>
            <w:r>
              <w:rPr>
                <w:rFonts w:ascii="Times New Roman" w:cs="Times New Roman" w:eastAsia="Times New Roman" w:hAnsi="Times New Roman"/>
                <w:sz w:val="13"/>
                <w:szCs w:val="13"/>
                <w:color w:val="0000FF"/>
                <w:w w:val="97"/>
              </w:rPr>
              <w:t>American</w:t>
            </w: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1"/>
        </w:trPr>
        <w:tc>
          <w:tcPr>
            <w:tcW w:w="680" w:type="dxa"/>
            <w:vAlign w:val="bottom"/>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800" w:type="dxa"/>
            <w:vAlign w:val="bottom"/>
          </w:tcPr>
          <w:p>
            <w:pPr>
              <w:spacing w:after="0"/>
              <w:rPr>
                <w:sz w:val="4"/>
                <w:szCs w:val="4"/>
                <w:color w:val="auto"/>
              </w:rPr>
            </w:pPr>
          </w:p>
        </w:tc>
        <w:tc>
          <w:tcPr>
            <w:tcW w:w="500" w:type="dxa"/>
            <w:vAlign w:val="bottom"/>
          </w:tcPr>
          <w:p>
            <w:pPr>
              <w:spacing w:after="0"/>
              <w:rPr>
                <w:sz w:val="4"/>
                <w:szCs w:val="4"/>
                <w:color w:val="auto"/>
              </w:rPr>
            </w:pPr>
          </w:p>
        </w:tc>
        <w:tc>
          <w:tcPr>
            <w:tcW w:w="280" w:type="dxa"/>
            <w:vAlign w:val="bottom"/>
          </w:tcPr>
          <w:p>
            <w:pPr>
              <w:spacing w:after="0"/>
              <w:rPr>
                <w:sz w:val="4"/>
                <w:szCs w:val="4"/>
                <w:color w:val="auto"/>
              </w:rPr>
            </w:pPr>
          </w:p>
        </w:tc>
        <w:tc>
          <w:tcPr>
            <w:tcW w:w="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540" w:type="dxa"/>
            <w:vAlign w:val="bottom"/>
            <w:vMerge w:val="restart"/>
          </w:tcPr>
          <w:p>
            <w:pPr>
              <w:ind w:left="20"/>
              <w:spacing w:after="0" w:line="192" w:lineRule="exact"/>
              <w:rPr>
                <w:sz w:val="20"/>
                <w:szCs w:val="20"/>
                <w:color w:val="auto"/>
              </w:rPr>
            </w:pPr>
            <w:r>
              <w:rPr>
                <w:rFonts w:ascii="Times New Roman" w:cs="Times New Roman" w:eastAsia="Times New Roman" w:hAnsi="Times New Roman"/>
                <w:sz w:val="17"/>
                <w:szCs w:val="17"/>
                <w:color w:val="0000FF"/>
              </w:rPr>
              <w:t>30,487</w:t>
            </w:r>
          </w:p>
        </w:tc>
        <w:tc>
          <w:tcPr>
            <w:tcW w:w="6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4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0"/>
        </w:trPr>
        <w:tc>
          <w:tcPr>
            <w:tcW w:w="680" w:type="dxa"/>
            <w:vAlign w:val="bottom"/>
            <w:vMerge w:val="continue"/>
          </w:tcPr>
          <w:p>
            <w:pPr>
              <w:spacing w:after="0"/>
              <w:rPr>
                <w:sz w:val="7"/>
                <w:szCs w:val="7"/>
                <w:color w:val="auto"/>
              </w:rPr>
            </w:pPr>
          </w:p>
        </w:tc>
        <w:tc>
          <w:tcPr>
            <w:tcW w:w="780" w:type="dxa"/>
            <w:vAlign w:val="bottom"/>
            <w:vMerge w:val="restart"/>
          </w:tcPr>
          <w:p>
            <w:pPr>
              <w:jc w:val="right"/>
              <w:ind w:right="263"/>
              <w:spacing w:after="0"/>
              <w:rPr>
                <w:sz w:val="20"/>
                <w:szCs w:val="20"/>
                <w:color w:val="auto"/>
              </w:rPr>
            </w:pPr>
            <w:r>
              <w:rPr>
                <w:rFonts w:ascii="Times New Roman" w:cs="Times New Roman" w:eastAsia="Times New Roman" w:hAnsi="Times New Roman"/>
                <w:sz w:val="11"/>
                <w:szCs w:val="11"/>
                <w:color w:val="008000"/>
              </w:rPr>
              <w:t>(3)</w:t>
            </w:r>
          </w:p>
        </w:tc>
        <w:tc>
          <w:tcPr>
            <w:tcW w:w="1060" w:type="dxa"/>
            <w:vAlign w:val="bottom"/>
            <w:vMerge w:val="restart"/>
          </w:tcPr>
          <w:p>
            <w:pPr>
              <w:jc w:val="right"/>
              <w:ind w:right="180"/>
              <w:spacing w:after="0" w:line="141" w:lineRule="exact"/>
              <w:rPr>
                <w:sz w:val="20"/>
                <w:szCs w:val="20"/>
                <w:color w:val="auto"/>
              </w:rPr>
            </w:pPr>
            <w:r>
              <w:rPr>
                <w:rFonts w:ascii="Times New Roman" w:cs="Times New Roman" w:eastAsia="Times New Roman" w:hAnsi="Times New Roman"/>
                <w:sz w:val="13"/>
                <w:szCs w:val="13"/>
                <w:color w:val="0000FF"/>
              </w:rPr>
              <w:t>02/05/2025</w:t>
            </w:r>
          </w:p>
        </w:tc>
        <w:tc>
          <w:tcPr>
            <w:tcW w:w="1080" w:type="dxa"/>
            <w:vAlign w:val="bottom"/>
          </w:tcPr>
          <w:p>
            <w:pPr>
              <w:spacing w:after="0"/>
              <w:rPr>
                <w:sz w:val="7"/>
                <w:szCs w:val="7"/>
                <w:color w:val="auto"/>
              </w:rPr>
            </w:pPr>
          </w:p>
        </w:tc>
        <w:tc>
          <w:tcPr>
            <w:tcW w:w="800" w:type="dxa"/>
            <w:vAlign w:val="bottom"/>
            <w:vMerge w:val="restart"/>
          </w:tcPr>
          <w:p>
            <w:pPr>
              <w:ind w:left="160"/>
              <w:spacing w:after="0" w:line="141" w:lineRule="exact"/>
              <w:rPr>
                <w:sz w:val="20"/>
                <w:szCs w:val="20"/>
                <w:color w:val="auto"/>
              </w:rPr>
            </w:pPr>
            <w:r>
              <w:rPr>
                <w:rFonts w:ascii="Times New Roman" w:cs="Times New Roman" w:eastAsia="Times New Roman" w:hAnsi="Times New Roman"/>
                <w:sz w:val="13"/>
                <w:szCs w:val="13"/>
                <w:color w:val="0000FF"/>
              </w:rPr>
              <w:t>A</w:t>
            </w:r>
          </w:p>
        </w:tc>
        <w:tc>
          <w:tcPr>
            <w:tcW w:w="500" w:type="dxa"/>
            <w:vAlign w:val="bottom"/>
            <w:vMerge w:val="restart"/>
          </w:tcPr>
          <w:p>
            <w:pPr>
              <w:ind w:left="80"/>
              <w:spacing w:after="0" w:line="141" w:lineRule="exact"/>
              <w:rPr>
                <w:sz w:val="20"/>
                <w:szCs w:val="20"/>
                <w:color w:val="auto"/>
              </w:rPr>
            </w:pPr>
            <w:r>
              <w:rPr>
                <w:rFonts w:ascii="Times New Roman" w:cs="Times New Roman" w:eastAsia="Times New Roman" w:hAnsi="Times New Roman"/>
                <w:sz w:val="13"/>
                <w:szCs w:val="13"/>
                <w:color w:val="0000FF"/>
              </w:rPr>
              <w:t>30,487</w:t>
            </w:r>
          </w:p>
        </w:tc>
        <w:tc>
          <w:tcPr>
            <w:tcW w:w="280" w:type="dxa"/>
            <w:vAlign w:val="bottom"/>
          </w:tcPr>
          <w:p>
            <w:pPr>
              <w:spacing w:after="0"/>
              <w:rPr>
                <w:sz w:val="7"/>
                <w:szCs w:val="7"/>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(3)</w:t>
            </w:r>
          </w:p>
        </w:tc>
        <w:tc>
          <w:tcPr>
            <w:tcW w:w="720" w:type="dxa"/>
            <w:vAlign w:val="bottom"/>
            <w:vMerge w:val="restart"/>
          </w:tcPr>
          <w:p>
            <w:pPr>
              <w:jc w:val="right"/>
              <w:ind w:right="242"/>
              <w:spacing w:after="0"/>
              <w:rPr>
                <w:sz w:val="20"/>
                <w:szCs w:val="20"/>
                <w:color w:val="auto"/>
              </w:rPr>
            </w:pPr>
            <w:r>
              <w:rPr>
                <w:rFonts w:ascii="Times New Roman" w:cs="Times New Roman" w:eastAsia="Times New Roman" w:hAnsi="Times New Roman"/>
                <w:sz w:val="11"/>
                <w:szCs w:val="11"/>
                <w:color w:val="008000"/>
              </w:rPr>
              <w:t>(3)</w:t>
            </w:r>
          </w:p>
        </w:tc>
        <w:tc>
          <w:tcPr>
            <w:tcW w:w="760" w:type="dxa"/>
            <w:vAlign w:val="bottom"/>
            <w:vMerge w:val="restart"/>
          </w:tcPr>
          <w:p>
            <w:pPr>
              <w:ind w:left="80"/>
              <w:spacing w:after="0" w:line="141" w:lineRule="exact"/>
              <w:rPr>
                <w:sz w:val="20"/>
                <w:szCs w:val="20"/>
                <w:color w:val="auto"/>
              </w:rPr>
            </w:pPr>
            <w:r>
              <w:rPr>
                <w:rFonts w:ascii="Times New Roman" w:cs="Times New Roman" w:eastAsia="Times New Roman" w:hAnsi="Times New Roman"/>
                <w:sz w:val="13"/>
                <w:szCs w:val="13"/>
                <w:color w:val="0000FF"/>
              </w:rPr>
              <w:t>Depository</w:t>
            </w:r>
          </w:p>
        </w:tc>
        <w:tc>
          <w:tcPr>
            <w:tcW w:w="540" w:type="dxa"/>
            <w:vAlign w:val="bottom"/>
            <w:vMerge w:val="continue"/>
          </w:tcPr>
          <w:p>
            <w:pPr>
              <w:spacing w:after="0"/>
              <w:rPr>
                <w:sz w:val="7"/>
                <w:szCs w:val="7"/>
                <w:color w:val="auto"/>
              </w:rPr>
            </w:pPr>
          </w:p>
        </w:tc>
        <w:tc>
          <w:tcPr>
            <w:tcW w:w="68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920" w:type="dxa"/>
            <w:vAlign w:val="bottom"/>
            <w:vMerge w:val="restart"/>
          </w:tcPr>
          <w:p>
            <w:pPr>
              <w:ind w:left="300"/>
              <w:spacing w:after="0" w:line="141" w:lineRule="exact"/>
              <w:rPr>
                <w:sz w:val="20"/>
                <w:szCs w:val="20"/>
                <w:color w:val="auto"/>
              </w:rPr>
            </w:pPr>
            <w:r>
              <w:rPr>
                <w:rFonts w:ascii="Times New Roman" w:cs="Times New Roman" w:eastAsia="Times New Roman" w:hAnsi="Times New Roman"/>
                <w:sz w:val="13"/>
                <w:szCs w:val="13"/>
                <w:color w:val="0000FF"/>
              </w:rPr>
              <w:t>30,487</w:t>
            </w:r>
          </w:p>
        </w:tc>
        <w:tc>
          <w:tcPr>
            <w:tcW w:w="740" w:type="dxa"/>
            <w:vAlign w:val="bottom"/>
            <w:vMerge w:val="restart"/>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1"/>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4"/>
                <w:szCs w:val="4"/>
                <w:color w:val="auto"/>
              </w:rPr>
            </w:pPr>
          </w:p>
        </w:tc>
        <w:tc>
          <w:tcPr>
            <w:tcW w:w="1060" w:type="dxa"/>
            <w:vAlign w:val="bottom"/>
            <w:vMerge w:val="continue"/>
          </w:tcPr>
          <w:p>
            <w:pPr>
              <w:spacing w:after="0"/>
              <w:rPr>
                <w:sz w:val="4"/>
                <w:szCs w:val="4"/>
                <w:color w:val="auto"/>
              </w:rPr>
            </w:pPr>
          </w:p>
        </w:tc>
        <w:tc>
          <w:tcPr>
            <w:tcW w:w="1080" w:type="dxa"/>
            <w:vAlign w:val="bottom"/>
          </w:tcPr>
          <w:p>
            <w:pPr>
              <w:spacing w:after="0"/>
              <w:rPr>
                <w:sz w:val="4"/>
                <w:szCs w:val="4"/>
                <w:color w:val="auto"/>
              </w:rPr>
            </w:pPr>
          </w:p>
        </w:tc>
        <w:tc>
          <w:tcPr>
            <w:tcW w:w="800" w:type="dxa"/>
            <w:vAlign w:val="bottom"/>
            <w:vMerge w:val="continue"/>
          </w:tcPr>
          <w:p>
            <w:pPr>
              <w:spacing w:after="0"/>
              <w:rPr>
                <w:sz w:val="4"/>
                <w:szCs w:val="4"/>
                <w:color w:val="auto"/>
              </w:rPr>
            </w:pPr>
          </w:p>
        </w:tc>
        <w:tc>
          <w:tcPr>
            <w:tcW w:w="500" w:type="dxa"/>
            <w:vAlign w:val="bottom"/>
            <w:vMerge w:val="continue"/>
          </w:tcPr>
          <w:p>
            <w:pPr>
              <w:spacing w:after="0"/>
              <w:rPr>
                <w:sz w:val="4"/>
                <w:szCs w:val="4"/>
                <w:color w:val="auto"/>
              </w:rPr>
            </w:pPr>
          </w:p>
        </w:tc>
        <w:tc>
          <w:tcPr>
            <w:tcW w:w="28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540" w:type="dxa"/>
            <w:vAlign w:val="bottom"/>
            <w:vMerge w:val="continue"/>
          </w:tcPr>
          <w:p>
            <w:pPr>
              <w:spacing w:after="0"/>
              <w:rPr>
                <w:sz w:val="4"/>
                <w:szCs w:val="4"/>
                <w:color w:val="auto"/>
              </w:rPr>
            </w:pPr>
          </w:p>
        </w:tc>
        <w:tc>
          <w:tcPr>
            <w:tcW w:w="680" w:type="dxa"/>
            <w:vAlign w:val="bottom"/>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680" w:type="dxa"/>
            <w:vAlign w:val="bottom"/>
            <w:vMerge w:val="continue"/>
          </w:tcPr>
          <w:p>
            <w:pPr>
              <w:spacing w:after="0"/>
              <w:rPr>
                <w:sz w:val="13"/>
                <w:szCs w:val="13"/>
                <w:color w:val="auto"/>
              </w:rPr>
            </w:pPr>
          </w:p>
        </w:tc>
        <w:tc>
          <w:tcPr>
            <w:tcW w:w="7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jc w:val="center"/>
              <w:ind w:right="1"/>
              <w:spacing w:after="0" w:line="154" w:lineRule="exact"/>
              <w:rPr>
                <w:sz w:val="20"/>
                <w:szCs w:val="20"/>
                <w:color w:val="auto"/>
              </w:rPr>
            </w:pPr>
            <w:r>
              <w:rPr>
                <w:rFonts w:ascii="Times New Roman" w:cs="Times New Roman" w:eastAsia="Times New Roman" w:hAnsi="Times New Roman"/>
                <w:sz w:val="11"/>
                <w:szCs w:val="11"/>
                <w:color w:val="0000FF"/>
              </w:rPr>
              <w:t>Shares</w:t>
            </w:r>
            <w:r>
              <w:rPr>
                <w:rFonts w:ascii="Times New Roman" w:cs="Times New Roman" w:eastAsia="Times New Roman" w:hAnsi="Times New Roman"/>
                <w:sz w:val="17"/>
                <w:szCs w:val="17"/>
                <w:color w:val="008000"/>
                <w:vertAlign w:val="superscript"/>
              </w:rPr>
              <w:t>(2)</w:t>
            </w: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Vests in substantially equal monthly installments over a one year period from the February 5, 2025 grant date</w:t>
      </w:r>
    </w:p>
    <w:p>
      <w:pPr>
        <w:spacing w:after="0" w:line="42"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American Depositary Share ("ADS") represents five ordinary shares, nominal value GBP 0.003 per ordinary share, of the Issuer</w:t>
      </w:r>
    </w:p>
    <w:p>
      <w:pPr>
        <w:spacing w:after="0" w:line="42" w:lineRule="exact"/>
        <w:rPr>
          <w:rFonts w:ascii="Times New Roman" w:cs="Times New Roman" w:eastAsia="Times New Roman" w:hAnsi="Times New Roman"/>
          <w:sz w:val="13"/>
          <w:szCs w:val="13"/>
          <w:color w:val="008000"/>
        </w:rPr>
      </w:pPr>
    </w:p>
    <w:p>
      <w:pPr>
        <w:ind w:left="40" w:right="480" w:firstLine="1"/>
        <w:spacing w:after="0" w:line="252"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Deferred restricted stock units ("DRSU") are granted to non-executive directors who elected to receive DRSUs in the form of ADSs in lieu of annual cash compensation. DRSUs vest in substantially equal monthly installments over the plan year following the grant date. Payment of DRSUs in ADSs will generally be made 180 days following separation of service.</w:t>
      </w:r>
    </w:p>
    <w:p>
      <w:pPr>
        <w:spacing w:after="0" w:line="2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Christine Fox, by power of</w:t>
            </w:r>
          </w:p>
        </w:tc>
        <w:tc>
          <w:tcPr>
            <w:tcW w:w="8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w w:val="92"/>
              </w:rPr>
              <w:t>02/06/2025</w:t>
            </w:r>
          </w:p>
        </w:tc>
        <w:tc>
          <w:tcPr>
            <w:tcW w:w="0" w:type="dxa"/>
            <w:vAlign w:val="bottom"/>
          </w:tcPr>
          <w:p>
            <w:pPr>
              <w:spacing w:after="0"/>
              <w:rPr>
                <w:sz w:val="1"/>
                <w:szCs w:val="1"/>
                <w:color w:val="auto"/>
              </w:rPr>
            </w:pPr>
          </w:p>
        </w:tc>
      </w:tr>
      <w:tr>
        <w:trPr>
          <w:trHeight w:val="82"/>
        </w:trPr>
        <w:tc>
          <w:tcPr>
            <w:tcW w:w="540" w:type="dxa"/>
            <w:vAlign w:val="bottom"/>
            <w:tcBorders>
              <w:top w:val="single" w:sz="8" w:color="auto"/>
            </w:tcBorders>
            <w:vMerge w:val="restart"/>
          </w:tcPr>
          <w:p>
            <w:pPr>
              <w:spacing w:after="0" w:line="185" w:lineRule="exact"/>
              <w:rPr>
                <w:sz w:val="20"/>
                <w:szCs w:val="20"/>
                <w:color w:val="auto"/>
              </w:rPr>
            </w:pPr>
            <w:r>
              <w:rPr>
                <w:rFonts w:ascii="Times New Roman" w:cs="Times New Roman" w:eastAsia="Times New Roman" w:hAnsi="Times New Roman"/>
                <w:sz w:val="17"/>
                <w:szCs w:val="17"/>
                <w:color w:val="0000FF"/>
                <w:w w:val="93"/>
              </w:rPr>
              <w:t>attorney</w:t>
            </w:r>
          </w:p>
        </w:tc>
        <w:tc>
          <w:tcPr>
            <w:tcW w:w="1440" w:type="dxa"/>
            <w:vAlign w:val="bottom"/>
            <w:tcBorders>
              <w:top w:val="single" w:sz="8" w:color="auto"/>
            </w:tcBorders>
            <w:vMerge w:val="restart"/>
          </w:tcPr>
          <w:p>
            <w:pPr>
              <w:spacing w:after="0"/>
              <w:rPr>
                <w:sz w:val="7"/>
                <w:szCs w:val="7"/>
                <w:color w:val="auto"/>
              </w:rPr>
            </w:pPr>
          </w:p>
        </w:tc>
        <w:tc>
          <w:tcPr>
            <w:tcW w:w="100" w:type="dxa"/>
            <w:vAlign w:val="bottom"/>
            <w:vMerge w:val="restart"/>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540" w:type="dxa"/>
            <w:vAlign w:val="bottom"/>
            <w:tcBorders>
              <w:top w:val="single" w:sz="8" w:color="auto"/>
              <w:bottom w:val="single" w:sz="8" w:color="auto"/>
            </w:tcBorders>
            <w:vMerge w:val="continue"/>
          </w:tcPr>
          <w:p>
            <w:pPr>
              <w:spacing w:after="0"/>
              <w:rPr>
                <w:sz w:val="7"/>
                <w:szCs w:val="7"/>
                <w:color w:val="auto"/>
              </w:rPr>
            </w:pPr>
          </w:p>
        </w:tc>
        <w:tc>
          <w:tcPr>
            <w:tcW w:w="1440" w:type="dxa"/>
            <w:vAlign w:val="bottom"/>
            <w:tcBorders>
              <w:top w:val="single" w:sz="8" w:color="auto"/>
            </w:tcBorders>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60" w:firstLine="1"/>
        <w:spacing w:after="0" w:line="333"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201256" TargetMode="External"/><Relationship Id="rId14" Type="http://schemas.openxmlformats.org/officeDocument/2006/relationships/hyperlink" Target="http://www.sec.gov/cgi-bin/browse-edgar?action=getcompany&amp;CIK=000171971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2025-02-06T15:43:57Z</dcterms:created>
  <dcterms:modified xsi:type="dcterms:W3CDTF">2025-02-06T15:43:57Z</dcterms:modified>
</cp:coreProperties>
</file>