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**There is no CUSIP number assigned to the Ordinary Shares. CUSIP number 589492107 has been assigned to the American Depositary Receipts ("</w:t>
      </w:r>
      <w:r>
        <w:rPr>
          <w:rFonts w:ascii="Times New Roman" w:cs="Times New Roman" w:eastAsia="Times New Roman" w:hAnsi="Times New Roman"/>
          <w:sz w:val="17"/>
          <w:szCs w:val="17"/>
          <w:u w:val="single" w:color="auto"/>
          <w:color w:val="auto"/>
        </w:rPr>
        <w:t>ADRs</w:t>
      </w:r>
      <w:r>
        <w:rPr>
          <w:rFonts w:ascii="Times New Roman" w:cs="Times New Roman" w:eastAsia="Times New Roman" w:hAnsi="Times New Roman"/>
          <w:sz w:val="17"/>
          <w:szCs w:val="17"/>
          <w:color w:val="auto"/>
        </w:rPr>
        <w:t>") of the Issuer, which are quoted on the Nasdaq Global Market under the symbol "MREO." Each ADR represents 5 Ordinary Shares.</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4"/>
          <w:szCs w:val="24"/>
          <w:color w:val="auto"/>
        </w:rPr>
      </w:pPr>
    </w:p>
    <w:p>
      <w:pPr>
        <w:ind w:right="4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920" w:type="dxa"/>
            <w:vAlign w:val="bottom"/>
            <w:tcBorders>
              <w:top w:val="single" w:sz="8" w:color="auto"/>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920" w:type="dxa"/>
            <w:vAlign w:val="bottom"/>
            <w:tcBorders>
              <w:top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1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Borders>
              <w:left w:val="single" w:sz="8" w:color="auto"/>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gridSpan w:val="2"/>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264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60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Rubric Capital Management LP</w:t>
            </w: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tcPr>
          <w:p>
            <w:pPr>
              <w:spacing w:after="0"/>
              <w:rPr>
                <w:sz w:val="18"/>
                <w:szCs w:val="18"/>
                <w:color w:val="auto"/>
              </w:rPr>
            </w:pPr>
          </w:p>
        </w:tc>
        <w:tc>
          <w:tcPr>
            <w:tcW w:w="1060" w:type="dxa"/>
            <w:vAlign w:val="bottom"/>
            <w:tcBorders>
              <w:right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bottom w:val="single" w:sz="8" w:color="auto"/>
              <w:right w:val="single" w:sz="8" w:color="auto"/>
            </w:tcBorders>
          </w:tcPr>
          <w:p>
            <w:pPr>
              <w:spacing w:after="0"/>
              <w:rPr>
                <w:sz w:val="9"/>
                <w:szCs w:val="9"/>
                <w:color w:val="auto"/>
              </w:rPr>
            </w:pPr>
          </w:p>
        </w:tc>
        <w:tc>
          <w:tcPr>
            <w:tcW w:w="6000" w:type="dxa"/>
            <w:vAlign w:val="bottom"/>
            <w:tcBorders>
              <w:bottom w:val="single" w:sz="8" w:color="auto"/>
            </w:tcBorders>
            <w:gridSpan w:val="4"/>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AF</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8640" w:type="dxa"/>
            <w:vAlign w:val="bottom"/>
            <w:tcBorders>
              <w:bottom w:val="single" w:sz="8" w:color="auto"/>
            </w:tcBorders>
            <w:gridSpan w:val="5"/>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 or 2(e)</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gridSpan w:val="4"/>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60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State of Delaware</w:t>
            </w: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2"/>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3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540" w:type="dxa"/>
            <w:vAlign w:val="bottom"/>
            <w:tcBorders>
              <w:left w:val="single" w:sz="8" w:color="auto"/>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0" w:type="dxa"/>
            <w:vAlign w:val="bottom"/>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64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540" w:type="dxa"/>
            <w:vAlign w:val="bottom"/>
            <w:tcBorders>
              <w:left w:val="single" w:sz="8" w:color="auto"/>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Borders>
              <w:right w:val="single" w:sz="8" w:color="auto"/>
            </w:tcBorders>
            <w:gridSpan w:val="4"/>
          </w:tcPr>
          <w:p>
            <w:pPr>
              <w:ind w:left="360"/>
              <w:spacing w:after="0" w:line="181" w:lineRule="exact"/>
              <w:rPr>
                <w:sz w:val="20"/>
                <w:szCs w:val="20"/>
                <w:color w:val="auto"/>
              </w:rPr>
            </w:pPr>
            <w:r>
              <w:rPr>
                <w:rFonts w:ascii="Times New Roman" w:cs="Times New Roman" w:eastAsia="Times New Roman" w:hAnsi="Times New Roman"/>
                <w:sz w:val="18"/>
                <w:szCs w:val="18"/>
                <w:color w:val="auto"/>
              </w:rPr>
              <w:t>99,714,985 Ordinary Shares (including 67,764,985 Ordinary Shares represented by 13,552,997 ADRs)</w:t>
            </w:r>
          </w:p>
        </w:tc>
        <w:tc>
          <w:tcPr>
            <w:tcW w:w="0" w:type="dxa"/>
            <w:vAlign w:val="bottom"/>
          </w:tcPr>
          <w:p>
            <w:pPr>
              <w:spacing w:after="0"/>
              <w:rPr>
                <w:sz w:val="1"/>
                <w:szCs w:val="1"/>
                <w:color w:val="auto"/>
              </w:rPr>
            </w:pPr>
          </w:p>
        </w:tc>
      </w:tr>
      <w:tr>
        <w:trPr>
          <w:trHeight w:val="171"/>
        </w:trPr>
        <w:tc>
          <w:tcPr>
            <w:tcW w:w="1540" w:type="dxa"/>
            <w:vAlign w:val="bottom"/>
            <w:tcBorders>
              <w:left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BENEFICIALLY</w:t>
            </w: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3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64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540" w:type="dxa"/>
            <w:vAlign w:val="bottom"/>
            <w:tcBorders>
              <w:left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13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99,714,985 Ordinary Shares (including 67,764,985 Ordinary Shares represented by 13,552,997 ADRs)</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8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99,714,985 Ordinary Shares (including 67,764,985 Ordinary Shares represented by 13,552,997 ADRs)</w:t>
            </w: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gridSpan w:val="4"/>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700" w:type="dxa"/>
            <w:vAlign w:val="bottom"/>
            <w:tcBorders>
              <w:bottom w:val="single" w:sz="8" w:color="auto"/>
            </w:tcBorders>
            <w:gridSpan w:val="3"/>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PN, IA</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920" w:type="dxa"/>
            <w:vAlign w:val="bottom"/>
            <w:tcBorders>
              <w:top w:val="single" w:sz="8" w:color="auto"/>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920" w:type="dxa"/>
            <w:vAlign w:val="bottom"/>
            <w:tcBorders>
              <w:top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 of 5 Pages</w:t>
            </w:r>
          </w:p>
        </w:tc>
        <w:tc>
          <w:tcPr>
            <w:tcW w:w="1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40" w:type="dxa"/>
            <w:vAlign w:val="bottom"/>
            <w:tcBorders>
              <w:left w:val="single" w:sz="8" w:color="auto"/>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gridSpan w:val="2"/>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264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David Rosen</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6000" w:type="dxa"/>
            <w:vAlign w:val="bottom"/>
            <w:tcBorders>
              <w:bottom w:val="single" w:sz="8" w:color="auto"/>
            </w:tcBorders>
            <w:gridSpan w:val="4"/>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40" w:type="dxa"/>
            <w:vAlign w:val="bottom"/>
          </w:tcPr>
          <w:p>
            <w:pPr>
              <w:spacing w:after="0"/>
              <w:rPr>
                <w:sz w:val="18"/>
                <w:szCs w:val="18"/>
                <w:color w:val="auto"/>
              </w:rPr>
            </w:pPr>
          </w:p>
        </w:tc>
        <w:tc>
          <w:tcPr>
            <w:tcW w:w="1060" w:type="dxa"/>
            <w:vAlign w:val="bottom"/>
            <w:tcBorders>
              <w:right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auto"/>
              <w:bottom w:val="single" w:sz="8" w:color="auto"/>
              <w:right w:val="single" w:sz="8" w:color="auto"/>
            </w:tcBorders>
          </w:tcPr>
          <w:p>
            <w:pPr>
              <w:spacing w:after="0"/>
              <w:rPr>
                <w:sz w:val="9"/>
                <w:szCs w:val="9"/>
                <w:color w:val="auto"/>
              </w:rPr>
            </w:pPr>
          </w:p>
        </w:tc>
        <w:tc>
          <w:tcPr>
            <w:tcW w:w="6000" w:type="dxa"/>
            <w:vAlign w:val="bottom"/>
            <w:tcBorders>
              <w:bottom w:val="single" w:sz="8" w:color="auto"/>
            </w:tcBorders>
            <w:gridSpan w:val="4"/>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AF</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8640" w:type="dxa"/>
            <w:vAlign w:val="bottom"/>
            <w:tcBorders>
              <w:bottom w:val="single" w:sz="8" w:color="auto"/>
            </w:tcBorders>
            <w:gridSpan w:val="5"/>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 or 2(e)</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gridSpan w:val="4"/>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60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2"/>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3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540" w:type="dxa"/>
            <w:vAlign w:val="bottom"/>
            <w:tcBorders>
              <w:left w:val="single" w:sz="8" w:color="auto"/>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0" w:type="dxa"/>
            <w:vAlign w:val="bottom"/>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64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540" w:type="dxa"/>
            <w:vAlign w:val="bottom"/>
            <w:tcBorders>
              <w:left w:val="single" w:sz="8" w:color="auto"/>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tcBorders>
              <w:right w:val="single" w:sz="8" w:color="auto"/>
            </w:tcBorders>
            <w:gridSpan w:val="4"/>
          </w:tcPr>
          <w:p>
            <w:pPr>
              <w:ind w:left="360"/>
              <w:spacing w:after="0" w:line="181" w:lineRule="exact"/>
              <w:rPr>
                <w:sz w:val="20"/>
                <w:szCs w:val="20"/>
                <w:color w:val="auto"/>
              </w:rPr>
            </w:pPr>
            <w:r>
              <w:rPr>
                <w:rFonts w:ascii="Times New Roman" w:cs="Times New Roman" w:eastAsia="Times New Roman" w:hAnsi="Times New Roman"/>
                <w:sz w:val="18"/>
                <w:szCs w:val="18"/>
                <w:color w:val="auto"/>
              </w:rPr>
              <w:t>99,714,985 Ordinary Shares (including 67,764,985 Ordinary Shares represented by 13,552,997 ADRs)</w:t>
            </w:r>
          </w:p>
        </w:tc>
        <w:tc>
          <w:tcPr>
            <w:tcW w:w="0" w:type="dxa"/>
            <w:vAlign w:val="bottom"/>
          </w:tcPr>
          <w:p>
            <w:pPr>
              <w:spacing w:after="0"/>
              <w:rPr>
                <w:sz w:val="1"/>
                <w:szCs w:val="1"/>
                <w:color w:val="auto"/>
              </w:rPr>
            </w:pPr>
          </w:p>
        </w:tc>
      </w:tr>
      <w:tr>
        <w:trPr>
          <w:trHeight w:val="171"/>
        </w:trPr>
        <w:tc>
          <w:tcPr>
            <w:tcW w:w="1540" w:type="dxa"/>
            <w:vAlign w:val="bottom"/>
            <w:tcBorders>
              <w:left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BENEFICIALLY</w:t>
            </w: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3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tcBorders>
              <w:left w:val="single" w:sz="8" w:color="auto"/>
              <w:right w:val="single" w:sz="8" w:color="auto"/>
            </w:tcBorders>
            <w:vMerge w:val="continue"/>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64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3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540" w:type="dxa"/>
            <w:vAlign w:val="bottom"/>
            <w:tcBorders>
              <w:left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13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 w:type="dxa"/>
            <w:vAlign w:val="bottom"/>
          </w:tcPr>
          <w:p>
            <w:pPr>
              <w:spacing w:after="0"/>
              <w:rPr>
                <w:sz w:val="21"/>
                <w:szCs w:val="21"/>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tcPr>
          <w:p>
            <w:pPr>
              <w:spacing w:after="0"/>
              <w:rPr>
                <w:sz w:val="20"/>
                <w:szCs w:val="20"/>
                <w:color w:val="auto"/>
              </w:rPr>
            </w:pPr>
          </w:p>
        </w:tc>
        <w:tc>
          <w:tcPr>
            <w:tcW w:w="130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320" w:type="dxa"/>
            <w:vAlign w:val="bottom"/>
            <w:tcBorders>
              <w:right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99,714,985 Ordinary Shares (including 67,764,985 Ordinary Shares represented by 13,552,997 ADRs)</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8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99,714,985 Ordinary Shares (including 67,764,985 Ordinary Shares represented by 13,552,997 ADRs)</w:t>
            </w: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gridSpan w:val="4"/>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06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700" w:type="dxa"/>
            <w:vAlign w:val="bottom"/>
            <w:tcBorders>
              <w:bottom w:val="single" w:sz="8" w:color="auto"/>
            </w:tcBorders>
            <w:gridSpan w:val="3"/>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6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64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auto"/>
              <w:right w:val="single" w:sz="8" w:color="auto"/>
            </w:tcBorders>
            <w:vMerge w:val="continue"/>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w:t>
            </w:r>
          </w:p>
        </w:tc>
        <w:tc>
          <w:tcPr>
            <w:tcW w:w="9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 of 5 Pages</w:t>
            </w:r>
          </w:p>
        </w:tc>
      </w:tr>
      <w:tr>
        <w:trPr>
          <w:trHeight w:val="270"/>
        </w:trPr>
        <w:tc>
          <w:tcPr>
            <w:tcW w:w="3840" w:type="dxa"/>
            <w:vAlign w:val="bottom"/>
            <w:tcBorders>
              <w:left w:val="single" w:sz="8" w:color="auto"/>
              <w:bottom w:val="single" w:sz="8" w:color="auto"/>
              <w:right w:val="single" w:sz="8" w:color="auto"/>
            </w:tcBorders>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spacing w:after="0"/>
              <w:rPr>
                <w:sz w:val="23"/>
                <w:szCs w:val="23"/>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Mereo BioPharma Group plc, a public limited company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was subsequently amended on June 9, 2022, June 14, 2022, August 24, 2022, September 23, 2022, October 28, 2022, June 14, 2023, October 31, 2023, November 2, 2023, November 6, 2023, November 8, 2023, November 13, 2023, November 15, 2023, and November 20, 2023 (collectively, including this amendment,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by adding the following.</w:t>
      </w:r>
    </w:p>
    <w:p>
      <w:pPr>
        <w:spacing w:after="0" w:line="225" w:lineRule="exact"/>
        <w:rPr>
          <w:sz w:val="20"/>
          <w:szCs w:val="20"/>
          <w:color w:val="auto"/>
        </w:rPr>
      </w:pPr>
    </w:p>
    <w:p>
      <w:pPr>
        <w:ind w:right="200" w:firstLine="324"/>
        <w:spacing w:after="0" w:line="276" w:lineRule="auto"/>
        <w:rPr>
          <w:sz w:val="20"/>
          <w:szCs w:val="20"/>
          <w:color w:val="auto"/>
        </w:rPr>
      </w:pPr>
      <w:r>
        <w:rPr>
          <w:rFonts w:ascii="Times New Roman" w:cs="Times New Roman" w:eastAsia="Times New Roman" w:hAnsi="Times New Roman"/>
          <w:sz w:val="17"/>
          <w:szCs w:val="17"/>
          <w:color w:val="auto"/>
        </w:rPr>
        <w:t>On April 15, 2024, Rubric Capital entered into a letter agreement with the Issuer (the “Extension Letter”) in connection with that certain cooperation agreement, dated October 28, 2022 (the “Cooperation Agreement”), between the Issuer and Rubric Capital. Pursuant to the Extension Letter, the parties</w:t>
      </w:r>
    </w:p>
    <w:p>
      <w:pPr>
        <w:spacing w:after="0" w:line="1" w:lineRule="exact"/>
        <w:rPr>
          <w:sz w:val="20"/>
          <w:szCs w:val="20"/>
          <w:color w:val="auto"/>
        </w:rPr>
      </w:pPr>
    </w:p>
    <w:p>
      <w:pPr>
        <w:ind w:right="60" w:firstLine="8"/>
        <w:spacing w:after="0" w:line="253"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waived the requirement under Section 1(f) of the Cooperation Agreement for Mr. Justin Roberts to offer to resign from the Issuer’s Board of Directors and all applicable committees thereof upon the termination date of the Cooperation Agreement, which was initially scheduled to be immediately following the conclusion of the Issuer’s 2024 annual shareholder meeting, and (ii) extended the termination date of the Cooperation Agreement until immediately following the conclusion of the Issuer’s 2025 annual shareholder meeting.</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Extension Letter does not purport to be complete and is qualified in its entirety by reference to the full text of the Extension Letter, a copy of which is attached as Exhibit 99.1 hereto and is incorporated herein in its entirety by reference.</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LIST OF EXHIBITS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Item 7 of the Schedule 13D is hereby amended by adding the following:</w:t>
      </w:r>
    </w:p>
    <w:p>
      <w:pPr>
        <w:spacing w:after="0" w:line="225" w:lineRule="exact"/>
        <w:rPr>
          <w:sz w:val="20"/>
          <w:szCs w:val="20"/>
          <w:color w:val="auto"/>
        </w:rPr>
      </w:pPr>
    </w:p>
    <w:p>
      <w:pPr>
        <w:ind w:left="1260" w:right="740"/>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Exhibit 99.1: Extension Letter, dated April 15, 2024, by and between Rubric Capital and the Issuer (incorporated by reference to </w:t>
      </w:r>
      <w:hyperlink r:id="rId19">
        <w:r>
          <w:rPr>
            <w:rFonts w:ascii="Times New Roman" w:cs="Times New Roman" w:eastAsia="Times New Roman" w:hAnsi="Times New Roman"/>
            <w:sz w:val="18"/>
            <w:szCs w:val="18"/>
            <w:u w:val="single" w:color="auto"/>
            <w:color w:val="0000EE"/>
          </w:rPr>
          <w:t>Exhibit 10.1 to the Form 8-K filed by the Issuer with the Securities and Exchange Commission on April 15, 2024</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 of 5 Pages</w:t>
            </w:r>
          </w:p>
        </w:tc>
      </w:tr>
      <w:tr>
        <w:trPr>
          <w:trHeight w:val="270"/>
        </w:trPr>
        <w:tc>
          <w:tcPr>
            <w:tcW w:w="3840" w:type="dxa"/>
            <w:vAlign w:val="bottom"/>
            <w:tcBorders>
              <w:left w:val="single" w:sz="8" w:color="auto"/>
              <w:bottom w:val="single" w:sz="8" w:color="auto"/>
              <w:right w:val="single" w:sz="8" w:color="auto"/>
            </w:tcBorders>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spacing w:after="0"/>
              <w:rPr>
                <w:sz w:val="23"/>
                <w:szCs w:val="23"/>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9" Type="http://schemas.openxmlformats.org/officeDocument/2006/relationships/hyperlink" Target="https://www.sec.gov/ix?doc=/Archives/edgar/data/0001719714/000119312524095508/d81838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2024-04-16T14:02:34Z</dcterms:created>
  <dcterms:modified xsi:type="dcterms:W3CDTF">2024-04-16T14:02:34Z</dcterms:modified>
</cp:coreProperties>
</file>